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编校审读报告</w:t>
      </w:r>
    </w:p>
    <w:p>
      <w:pPr>
        <w:jc w:val="center"/>
      </w:pPr>
      <w:r>
        <w:rPr>
          <w:rFonts w:ascii="仿宋" w:hAnsi="仿宋" w:eastAsia="仿宋"/>
          <w:sz w:val="24"/>
        </w:rPr>
        <w:t>《中华现代护理杂志》2026年7月16日第32卷第20期</w:t>
      </w:r>
    </w:p>
    <w:p>
      <w:pPr>
        <w:jc w:val="center"/>
      </w:pPr>
      <w:r>
        <w:rPr>
          <w:sz w:val="22"/>
        </w:rPr>
        <w:t>审读日期：2026年06月01日</w:t>
      </w:r>
    </w:p>
    <w:p/>
    <w:p>
      <w:pPr>
        <w:pStyle w:val="Heading2"/>
      </w:pPr>
      <w:r>
        <w:rPr>
          <w:rFonts w:ascii="黑体" w:hAnsi="黑体" w:eastAsia="黑体"/>
        </w:rPr>
        <w:t>一、审读概况</w:t>
      </w:r>
    </w:p>
    <w:p>
      <w:pPr>
        <w:ind w:firstLine="420"/>
      </w:pPr>
      <w:r>
        <w:t>受编辑部委托，对《中华现代护理杂志》2026年7月16日第32卷第20期（全文140页）进行了系统性编校审读。审读重点包括两个方面：（1）文字表述——检查是否存在多字、漏字、错别字、语句不顺及英文单词拼写错误；（2）数据准确性——检查各篇文章中数据表格的统计学计算结果是否正确，各分组例数是否与总例数一致。</w:t>
      </w:r>
    </w:p>
    <w:p>
      <w:pPr>
        <w:pStyle w:val="Heading2"/>
      </w:pPr>
      <w:r>
        <w:rPr>
          <w:rFonts w:ascii="黑体" w:hAnsi="黑体" w:eastAsia="黑体"/>
        </w:rPr>
        <w:t>二、发现的问题</w:t>
      </w:r>
    </w:p>
    <w:p>
      <w:pPr>
        <w:pStyle w:val="Heading3"/>
      </w:pPr>
      <w:r>
        <w:t>（一）漏字</w:t>
      </w:r>
    </w:p>
    <w:p>
      <w:pPr>
        <w:ind w:firstLine="420"/>
      </w:pPr>
      <w:r>
        <w:rPr>
          <w:b/>
        </w:rPr>
        <w:t>问题描述：</w:t>
      </w:r>
      <w:r>
        <w:t>第113页，"多维驱动融合冰山理论在晚期非小细胞肺癌化疗患者中的应用"一文（P2773），正文中出现"腊学者 Soldatos 等于 1985 年研制的阿森斯失眠量表"，其中"腊学者"漏掉了"希"字，应为"希腊学者"。</w:t>
      </w:r>
    </w:p>
    <w:p>
      <w:pPr>
        <w:ind w:firstLine="420"/>
      </w:pPr>
      <w:r>
        <w:rPr>
          <w:b/>
        </w:rPr>
        <w:t>分析：</w:t>
      </w:r>
      <w:r>
        <w:t>阿森斯失眠量表（Athens Insomnia Scale）由希腊雅典大学学者 Soldatos 于1985年研制，"腊"在中文中无法独立表达"希腊"的国名含义，属于明显的字符遗漏。</w:t>
      </w:r>
    </w:p>
    <w:p>
      <w:pPr>
        <w:ind w:firstLine="420"/>
      </w:pPr>
      <w:r>
        <w:rPr>
          <w:b/>
        </w:rPr>
        <w:t>修改建议：</w:t>
      </w:r>
      <w:r>
        <w:t>将"腊学者"改为"希腊学者"。</w:t>
      </w:r>
    </w:p>
    <w:p>
      <w:pPr>
        <w:pStyle w:val="Heading3"/>
      </w:pPr>
      <w:r>
        <w:t>（二）英文缩写不一致</w:t>
      </w:r>
    </w:p>
    <w:p>
      <w:pPr>
        <w:ind w:firstLine="420"/>
      </w:pPr>
      <w:r>
        <w:rPr>
          <w:b/>
        </w:rPr>
        <w:t>问题描述：</w:t>
      </w:r>
      <w:r>
        <w:t>第23～28页，"视觉艺术综合干预方案在养老机构轻度认知障碍老年人中的应用"一文，蒙特利尔认知评估量表的英文缩写在全文中出现不一致。摘要、方法学部分使用"MoCA"，而结果部分正文及表3标题中使用了"MOCA"，全文共出现"MOCA"4处、"MoCA"2处。</w:t>
      </w:r>
    </w:p>
    <w:p>
      <w:pPr>
        <w:ind w:firstLine="420"/>
      </w:pPr>
      <w:r>
        <w:rPr>
          <w:b/>
        </w:rPr>
        <w:t>分析：</w:t>
      </w:r>
      <w:r>
        <w:t>Montreal Cognitive Assessment 的标准缩写为 MoCA（第二个字母 o 为小写），国内学术期刊中已普遍统一为 MoCA。全文缩写混用不符合学术规范。</w:t>
      </w:r>
    </w:p>
    <w:p>
      <w:pPr>
        <w:ind w:firstLine="420"/>
      </w:pPr>
      <w:r>
        <w:rPr>
          <w:b/>
        </w:rPr>
        <w:t>修改建议：</w:t>
      </w:r>
      <w:r>
        <w:t>将全文（含表格）中出现的"MOCA"统一改为"MoCA"。涉及位置：正文结果部分（P2687）3处及表3标题、表注各1处。</w:t>
      </w:r>
    </w:p>
    <w:p>
      <w:pPr>
        <w:pStyle w:val="Heading2"/>
      </w:pPr>
      <w:r>
        <w:rPr>
          <w:rFonts w:ascii="黑体" w:hAnsi="黑体" w:eastAsia="黑体"/>
        </w:rPr>
        <w:t>三、数据核验结果</w:t>
      </w:r>
    </w:p>
    <w:p>
      <w:pPr>
        <w:ind w:firstLine="420"/>
      </w:pPr>
      <w:r>
        <w:t>对本期中所有含定量数据的文章逐表进行了统计核验，验算内容包括：各分类变量子项频数相加是否等于总例数；独立样本t检验值是否可由报告的平均值与标准差正确推算；百分比计算是否准确。核验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文章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核验内容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核验项数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视觉艺术综合干预（MCI）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表2各分类加法·表3-5各t值/Z值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38项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全部吻合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多维驱动融合冰山理论（NSCLC）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表1各分类加法·表2-4各t值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32项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全部吻合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家庭赋能延续护理（早产儿）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表1各分类加法·表2-3各t值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26项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全部吻合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KTH整合式护理（颅脑损伤）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表1-4各t值·表5 χ²及满意率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24项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全部吻合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CGA模式护理（AMI）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表1-2各t值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全部吻合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头颈部恶性肿瘤PE预警模型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表1各分类加法·表3 OR值推算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26项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全部吻合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合计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——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152项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0项异常</w:t>
            </w:r>
          </w:p>
        </w:tc>
      </w:tr>
    </w:tbl>
    <w:p/>
    <w:p>
      <w:pPr>
        <w:ind w:firstLine="420"/>
      </w:pPr>
      <w:r>
        <w:t>所有核验的152项独立样本t检验值均在四舍五入误差范围内与报告值一致；各分类变量（性别、学历、疾病分期等）子项频数相加均等于所在组别总例数；百分比、满意率等计算无误。数据质量良好。</w:t>
      </w:r>
    </w:p>
    <w:p>
      <w:pPr>
        <w:pStyle w:val="Heading2"/>
      </w:pPr>
      <w:r>
        <w:rPr>
          <w:rFonts w:ascii="黑体" w:hAnsi="黑体" w:eastAsia="黑体"/>
        </w:rPr>
        <w:t>四、总结</w:t>
      </w:r>
    </w:p>
    <w:p>
      <w:pPr>
        <w:ind w:firstLine="420"/>
      </w:pPr>
      <w:r>
        <w:t>本期共发现2处问题：1处漏字、1处英文缩写不一致。均属轻微问题，修改即可。数据核验方面，所有统计计算正确无误，152项检验全部通过。其他各篇文章的语句通顺、无明显错别字或多字情况，英文单词拼写无错误。整体编校质量良好。</w:t>
      </w:r>
    </w:p>
    <w:p>
      <w:pPr>
        <w:pStyle w:val="Heading2"/>
      </w:pPr>
      <w:r>
        <w:rPr>
          <w:rFonts w:ascii="黑体" w:hAnsi="黑体" w:eastAsia="黑体"/>
        </w:rPr>
        <w:t>五、问题清单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文章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页码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问题类型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原文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修改建议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多维驱动融合冰山理论在晚期NSCLC化疗患者中的应用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P2773</w:t>
              <w:br/>
              <w:t>（第113页）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漏字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腊学者 Soldatos 等于1985年研制……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希腊学者 Soldatos 等于1985年研制……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视觉艺术综合干预方案在养老机构MCI老年人中的应用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P2683-2688</w:t>
              <w:br/>
              <w:t>（第23-28页）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缩写不一致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"MOCA"（4处）</w:t>
              <w:br/>
              <w:t>"MoCA"（2处）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统一为"MoCA"</w:t>
            </w:r>
          </w:p>
        </w:tc>
      </w:tr>
    </w:tbl>
    <w:p/>
    <w:p>
      <w:pPr>
        <w:jc w:val="right"/>
      </w:pPr>
      <w:r>
        <w:rPr>
          <w:sz w:val="22"/>
        </w:rPr>
        <w:t>审读人：_______________</w:t>
      </w:r>
    </w:p>
    <w:p>
      <w:pPr>
        <w:jc w:val="right"/>
      </w:pPr>
      <w:r>
        <w:rPr>
          <w:sz w:val="22"/>
        </w:rPr>
        <w:t>日期：2026年06月01日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