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993B5">
      <w:pPr>
        <w:rPr>
          <w:rFonts w:ascii="Times New Roman" w:cs="Times New Roman"/>
          <w:sz w:val="21"/>
          <w:szCs w:val="21"/>
        </w:rPr>
      </w:pPr>
      <w:r>
        <w:rPr>
          <w:rFonts w:hint="eastAsia" w:ascii="Times New Roman" w:cs="Times New Roman"/>
          <w:sz w:val="21"/>
          <w:szCs w:val="21"/>
        </w:rPr>
        <w:t xml:space="preserve">您好！ </w:t>
      </w:r>
    </w:p>
    <w:p w14:paraId="4D0A02AA">
      <w:pPr>
        <w:rPr>
          <w:rFonts w:ascii="Times New Roman" w:cs="Times New Roman"/>
          <w:sz w:val="21"/>
          <w:szCs w:val="21"/>
        </w:rPr>
      </w:pPr>
      <w:r>
        <w:rPr>
          <w:rFonts w:hint="eastAsia" w:ascii="Times New Roman" w:cs="Times New Roman"/>
          <w:sz w:val="21"/>
          <w:szCs w:val="21"/>
        </w:rPr>
        <w:t>《“互联网+”模式下社区居家失能老人压力性损伤护理专家共识（2025）》经审核，建议：</w:t>
      </w:r>
    </w:p>
    <w:p w14:paraId="4D042CFC">
      <w:pPr>
        <w:numPr>
          <w:ilvl w:val="0"/>
          <w:numId w:val="1"/>
        </w:numPr>
        <w:rPr>
          <w:rFonts w:hint="eastAsia" w:ascii="Times New Roman" w:cs="Times New Roman"/>
          <w:strike w:val="0"/>
          <w:dstrike w:val="0"/>
          <w:sz w:val="21"/>
          <w:szCs w:val="21"/>
        </w:rPr>
      </w:pPr>
      <w:r>
        <w:rPr>
          <w:rFonts w:hint="eastAsia" w:ascii="Times New Roman" w:cs="Times New Roman"/>
          <w:strike w:val="0"/>
          <w:dstrike w:val="0"/>
          <w:sz w:val="21"/>
          <w:szCs w:val="21"/>
        </w:rPr>
        <w:t>统计学方法内容建议删除</w:t>
      </w:r>
    </w:p>
    <w:p w14:paraId="25FA868E">
      <w:pPr>
        <w:rPr>
          <w:rFonts w:ascii="Times New Roman" w:cs="Times New Roman"/>
          <w:strike w:val="0"/>
          <w:dstrike w:val="0"/>
          <w:sz w:val="21"/>
          <w:szCs w:val="21"/>
        </w:rPr>
      </w:pPr>
      <w:r>
        <w:rPr>
          <w:rFonts w:hint="eastAsia" w:ascii="Times New Roman" w:cs="Times New Roman"/>
          <w:strike w:val="0"/>
          <w:dstrike w:val="0"/>
          <w:sz w:val="21"/>
          <w:szCs w:val="21"/>
        </w:rPr>
        <w:t>2.确保文中的标准术语符合规范</w:t>
      </w:r>
    </w:p>
    <w:p w14:paraId="77A4C42E">
      <w:pPr>
        <w:rPr>
          <w:rFonts w:ascii="Times New Roman" w:cs="Times New Roman"/>
          <w:strike w:val="0"/>
          <w:dstrike w:val="0"/>
          <w:sz w:val="21"/>
          <w:szCs w:val="21"/>
        </w:rPr>
      </w:pPr>
      <w:r>
        <w:rPr>
          <w:rFonts w:hint="eastAsia" w:ascii="Times New Roman" w:cs="Times New Roman"/>
          <w:strike w:val="0"/>
          <w:dstrike w:val="0"/>
          <w:sz w:val="21"/>
          <w:szCs w:val="21"/>
        </w:rPr>
        <w:t>3.对于文中出现的英文缩写在第一次出现时应以标注中英文全称</w:t>
      </w:r>
    </w:p>
    <w:p w14:paraId="45FE0002">
      <w:pPr>
        <w:spacing w:line="360" w:lineRule="auto"/>
        <w:rPr>
          <w:rFonts w:ascii="宋体" w:hAnsi="宋体" w:cs="宋体"/>
          <w:b/>
          <w:bCs/>
          <w:szCs w:val="21"/>
        </w:rPr>
      </w:pPr>
    </w:p>
    <w:p w14:paraId="52E62062">
      <w:pPr>
        <w:spacing w:line="360" w:lineRule="auto"/>
        <w:rPr>
          <w:rFonts w:hint="eastAsia" w:ascii="宋体" w:hAnsi="宋体" w:cs="宋体"/>
          <w:b/>
          <w:bCs/>
          <w:szCs w:val="21"/>
        </w:rPr>
      </w:pPr>
      <w:r>
        <w:rPr>
          <w:rFonts w:hint="eastAsia" w:ascii="宋体" w:hAnsi="宋体" w:cs="宋体"/>
          <w:b/>
          <w:bCs/>
          <w:szCs w:val="21"/>
        </w:rPr>
        <w:t>五、文章其他修改内容</w:t>
      </w:r>
    </w:p>
    <w:p w14:paraId="61753E58">
      <w:pPr>
        <w:spacing w:line="360" w:lineRule="auto"/>
        <w:rPr>
          <w:rFonts w:hint="eastAsia" w:ascii="宋体" w:hAnsi="宋体" w:cs="宋体"/>
          <w:szCs w:val="21"/>
        </w:rPr>
      </w:pPr>
      <w:bookmarkStart w:id="0" w:name="OLE_LINK3"/>
      <w:bookmarkStart w:id="1" w:name="_Hlk186184259"/>
      <w:r>
        <w:rPr>
          <w:rFonts w:hint="eastAsia" w:ascii="宋体" w:hAnsi="宋体" w:eastAsia="宋体" w:cs="宋体"/>
          <w:szCs w:val="21"/>
        </w:rPr>
        <w:t>1.仔细阅读全文，保证语意通顺、无错别字</w:t>
      </w:r>
      <w:bookmarkEnd w:id="0"/>
    </w:p>
    <w:p w14:paraId="69E5A1A3">
      <w:pPr>
        <w:spacing w:line="360" w:lineRule="auto"/>
        <w:rPr>
          <w:rFonts w:hint="eastAsia" w:ascii="宋体" w:hAnsi="宋体" w:cs="宋体"/>
          <w:szCs w:val="21"/>
        </w:rPr>
      </w:pPr>
      <w:r>
        <w:rPr>
          <w:rFonts w:hint="eastAsia" w:ascii="宋体" w:hAnsi="宋体" w:eastAsia="宋体" w:cs="宋体"/>
          <w:szCs w:val="21"/>
        </w:rPr>
        <w:t>2.文中标题序号、图题、表题顺序正确。图、表均在每段对应文字的下方，不放在文后。</w:t>
      </w:r>
    </w:p>
    <w:p w14:paraId="5225BB61">
      <w:pPr>
        <w:spacing w:line="360" w:lineRule="auto"/>
        <w:rPr>
          <w:rFonts w:hint="eastAsia" w:ascii="宋体" w:hAnsi="宋体" w:cs="宋体"/>
          <w:b/>
          <w:bCs/>
          <w:szCs w:val="21"/>
        </w:rPr>
      </w:pPr>
      <w:r>
        <w:rPr>
          <w:rFonts w:hint="eastAsia" w:ascii="Times New Roman" w:cs="Times New Roman"/>
          <w:szCs w:val="21"/>
        </w:rPr>
        <w:t>3.</w:t>
      </w:r>
      <w:r>
        <w:rPr>
          <w:rFonts w:hint="eastAsia" w:ascii="宋体" w:hAnsi="宋体" w:eastAsia="宋体" w:cs="宋体"/>
          <w:szCs w:val="21"/>
        </w:rPr>
        <w:t xml:space="preserve">正文中，标点均为中文半角，示例如下 ，。：；正文后的参考文献中，标点均为英文半角状态，示例如下  , . </w:t>
      </w:r>
      <w:bookmarkEnd w:id="1"/>
      <w:r>
        <w:rPr>
          <w:rFonts w:hint="eastAsia" w:ascii="宋体" w:hAnsi="宋体" w:eastAsia="宋体" w:cs="宋体"/>
          <w:szCs w:val="21"/>
        </w:rPr>
        <w:t xml:space="preserve">: </w:t>
      </w:r>
    </w:p>
    <w:p w14:paraId="0C9252E8">
      <w:pPr>
        <w:rPr>
          <w:rFonts w:ascii="Times New Roman" w:cs="Times New Roman"/>
          <w:szCs w:val="21"/>
        </w:rPr>
      </w:pPr>
      <w:r>
        <w:rPr>
          <w:rFonts w:hint="eastAsia" w:ascii="Times New Roman" w:cs="Times New Roman"/>
          <w:szCs w:val="21"/>
        </w:rPr>
        <w:t>5.其余具体见批注</w:t>
      </w:r>
    </w:p>
    <w:p w14:paraId="6192AC3A">
      <w:pPr>
        <w:rPr>
          <w:rFonts w:hint="eastAsia" w:ascii="Times New Roman" w:cs="Times New Roman"/>
          <w:sz w:val="21"/>
          <w:szCs w:val="21"/>
        </w:rPr>
      </w:pPr>
    </w:p>
    <w:p w14:paraId="00CA5A02">
      <w:pPr>
        <w:pStyle w:val="31"/>
        <w:spacing w:line="360" w:lineRule="auto"/>
        <w:jc w:val="both"/>
        <w:rPr>
          <w:rFonts w:hint="eastAsia" w:ascii="Times New Roman" w:hAnsi="Times New Roman" w:cs="Times New Roman" w:eastAsiaTheme="minorEastAsia"/>
          <w:b/>
          <w:color w:val="FF0000"/>
          <w:sz w:val="21"/>
          <w:szCs w:val="21"/>
          <w:lang w:val="en-US" w:eastAsia="zh-CN"/>
        </w:rPr>
      </w:pPr>
      <w:r>
        <w:rPr>
          <w:rFonts w:hint="eastAsia" w:ascii="Times New Roman" w:hAnsi="Times New Roman" w:cs="Times New Roman" w:eastAsiaTheme="minorEastAsia"/>
          <w:b/>
          <w:color w:val="FF0000"/>
          <w:sz w:val="21"/>
          <w:szCs w:val="21"/>
          <w:lang w:val="en-US" w:eastAsia="zh-CN"/>
        </w:rPr>
        <w:t>作者回复：</w:t>
      </w:r>
    </w:p>
    <w:p w14:paraId="1F37B6DE">
      <w:pPr>
        <w:pStyle w:val="31"/>
        <w:spacing w:line="360" w:lineRule="auto"/>
        <w:jc w:val="both"/>
        <w:rPr>
          <w:rFonts w:hint="eastAsia" w:ascii="Times New Roman" w:hAnsi="Times New Roman" w:cs="Times New Roman" w:eastAsiaTheme="minorEastAsia"/>
          <w:b/>
          <w:color w:val="FF0000"/>
          <w:sz w:val="21"/>
          <w:szCs w:val="21"/>
          <w:lang w:val="en-US" w:eastAsia="zh-CN"/>
        </w:rPr>
      </w:pPr>
      <w:r>
        <w:rPr>
          <w:rFonts w:hint="eastAsia" w:ascii="Times New Roman" w:hAnsi="Times New Roman" w:cs="Times New Roman" w:eastAsiaTheme="minorEastAsia"/>
          <w:b/>
          <w:color w:val="FF0000"/>
          <w:sz w:val="21"/>
          <w:szCs w:val="21"/>
          <w:lang w:val="en-US" w:eastAsia="zh-CN"/>
        </w:rPr>
        <w:t>感谢老师的指正。已按要求进行相关格式及内容修订，修订处已标红。</w:t>
      </w:r>
    </w:p>
    <w:p w14:paraId="62904A0D">
      <w:pPr>
        <w:pStyle w:val="31"/>
        <w:spacing w:line="360" w:lineRule="auto"/>
        <w:rPr>
          <w:rFonts w:ascii="Times New Roman" w:hAnsi="Times New Roman" w:cs="Times New Roman" w:eastAsiaTheme="minorEastAsia"/>
          <w:b/>
          <w:color w:val="auto"/>
          <w:sz w:val="21"/>
          <w:szCs w:val="21"/>
        </w:rPr>
      </w:pPr>
      <w:r>
        <w:rPr>
          <w:rFonts w:ascii="Times New Roman" w:hAnsi="Times New Roman" w:cs="Times New Roman" w:eastAsiaTheme="minorEastAsia"/>
          <w:b/>
          <w:color w:val="auto"/>
          <w:sz w:val="21"/>
          <w:szCs w:val="21"/>
        </w:rPr>
        <w:t>“互联网+”模式下社区居家失能老人压力性损伤护理专家共识（2025）</w:t>
      </w:r>
    </w:p>
    <w:p w14:paraId="641DDC9F">
      <w:pPr>
        <w:pStyle w:val="31"/>
        <w:spacing w:line="360" w:lineRule="auto"/>
        <w:jc w:val="left"/>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海峡两岸医药卫生交流协会护理分会伤口造口失禁学组</w:t>
      </w:r>
    </w:p>
    <w:p w14:paraId="007F0CB3">
      <w:pPr>
        <w:pStyle w:val="2"/>
        <w:spacing w:line="360" w:lineRule="auto"/>
        <w:ind w:firstLine="0" w:firstLineChars="0"/>
        <w:rPr>
          <w:rFonts w:ascii="Times New Roman" w:hAnsi="Times New Roman" w:cs="Times New Roman" w:eastAsiaTheme="minorEastAsia"/>
          <w:b w:val="0"/>
          <w:bCs w:val="0"/>
          <w:sz w:val="21"/>
          <w:szCs w:val="21"/>
        </w:rPr>
      </w:pPr>
      <w:r>
        <w:rPr>
          <w:rFonts w:ascii="Times New Roman" w:hAnsi="Times New Roman" w:cs="Times New Roman" w:eastAsiaTheme="minorEastAsia"/>
          <w:b w:val="0"/>
          <w:bCs w:val="0"/>
          <w:sz w:val="21"/>
          <w:szCs w:val="21"/>
        </w:rPr>
        <w:t xml:space="preserve">通信作者：魏力，Email: </w:t>
      </w:r>
      <w:r>
        <w:fldChar w:fldCharType="begin"/>
      </w:r>
      <w:r>
        <w:instrText xml:space="preserve"> HYPERLINK "mailto:weili066100@126.com" </w:instrText>
      </w:r>
      <w:r>
        <w:fldChar w:fldCharType="separate"/>
      </w:r>
      <w:r>
        <w:rPr>
          <w:rFonts w:ascii="Times New Roman" w:hAnsi="Times New Roman" w:cs="Times New Roman" w:eastAsiaTheme="minorEastAsia"/>
          <w:b w:val="0"/>
          <w:bCs w:val="0"/>
          <w:sz w:val="21"/>
          <w:szCs w:val="21"/>
        </w:rPr>
        <w:t>weili066100@126.com</w:t>
      </w:r>
      <w:r>
        <w:rPr>
          <w:rFonts w:ascii="Times New Roman" w:hAnsi="Times New Roman" w:cs="Times New Roman" w:eastAsiaTheme="minorEastAsia"/>
          <w:b w:val="0"/>
          <w:bCs w:val="0"/>
          <w:sz w:val="21"/>
          <w:szCs w:val="21"/>
        </w:rPr>
        <w:fldChar w:fldCharType="end"/>
      </w:r>
    </w:p>
    <w:p w14:paraId="5475BE25">
      <w:pPr>
        <w:pStyle w:val="32"/>
        <w:spacing w:before="105" w:line="360" w:lineRule="auto"/>
        <w:rPr>
          <w:rFonts w:ascii="Times New Roman" w:hAnsi="Times New Roman" w:cs="Times New Roman" w:eastAsiaTheme="minorEastAsia"/>
          <w:color w:val="auto"/>
        </w:rPr>
      </w:pPr>
      <w:r>
        <w:rPr>
          <w:rFonts w:ascii="Times New Roman" w:hAnsi="Times New Roman" w:cs="Times New Roman" w:eastAsiaTheme="minorEastAsia"/>
          <w:color w:val="auto"/>
        </w:rPr>
        <w:t>【</w:t>
      </w:r>
      <w:r>
        <w:rPr>
          <w:rFonts w:ascii="Times New Roman" w:hAnsi="Times New Roman" w:cs="Times New Roman" w:eastAsiaTheme="minorEastAsia"/>
          <w:b/>
          <w:bCs/>
          <w:color w:val="auto"/>
        </w:rPr>
        <w:t>摘要】</w:t>
      </w:r>
      <w:r>
        <w:rPr>
          <w:rFonts w:ascii="Times New Roman" w:hAnsi="Times New Roman" w:cs="Times New Roman" w:eastAsiaTheme="minorEastAsia"/>
          <w:color w:val="auto"/>
        </w:rPr>
        <w:t>为促进</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模式下社区居家失能老人压力性损伤护理的标准化和规范化，</w:t>
      </w:r>
      <w:r>
        <w:rPr>
          <w:rFonts w:hint="eastAsia" w:ascii="Times New Roman" w:hAnsi="Times New Roman" w:cs="Times New Roman" w:eastAsiaTheme="minorEastAsia"/>
          <w:color w:val="auto"/>
        </w:rPr>
        <w:t>海峡两岸医药卫生交流协会护理分会伤口造口失禁学组</w:t>
      </w:r>
      <w:r>
        <w:rPr>
          <w:rFonts w:ascii="Times New Roman" w:hAnsi="Times New Roman" w:cs="Times New Roman" w:eastAsiaTheme="minorEastAsia"/>
          <w:color w:val="auto"/>
        </w:rPr>
        <w:t>成立共识编写组，在确立循证问题后，通过文献检索与筛选、文献质量评价、证据筛选与整合后形成《</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模式下社区居家失能老人压力性损伤护理专家共识（2025）》初稿；经过2轮德尔菲专家函询及3轮专家论证会议后形成《</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模式下社区居家失能老人压力性损伤护理专家共识（2025）》终稿。本共识涵盖了</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模式下社区居家失能老人压力性损伤护理的适用范围、</w:t>
      </w:r>
      <w:bookmarkStart w:id="2" w:name="_Hlk214576067"/>
      <w:r>
        <w:rPr>
          <w:rFonts w:ascii="Times New Roman" w:hAnsi="Times New Roman" w:cs="Times New Roman" w:eastAsiaTheme="minorEastAsia"/>
          <w:color w:val="auto"/>
        </w:rPr>
        <w:t>主体资质</w:t>
      </w:r>
      <w:bookmarkEnd w:id="2"/>
      <w:r>
        <w:rPr>
          <w:rFonts w:ascii="Times New Roman" w:hAnsi="Times New Roman" w:cs="Times New Roman" w:eastAsiaTheme="minorEastAsia"/>
          <w:color w:val="auto"/>
        </w:rPr>
        <w:t>、服务模式、服务流程、服务内容和服务效果评价6个方面内容，为该领域护理工作的规范化管理提供了理论依据，有助于提高护理人员的专科服务能力，改善患者服务体验和压力性损伤康复结局。</w:t>
      </w:r>
    </w:p>
    <w:p w14:paraId="440C8116">
      <w:pPr>
        <w:pStyle w:val="33"/>
        <w:spacing w:line="360" w:lineRule="auto"/>
        <w:rPr>
          <w:rFonts w:ascii="Times New Roman" w:hAnsi="Times New Roman" w:cs="Times New Roman" w:eastAsiaTheme="minorEastAsia"/>
          <w:color w:val="auto"/>
        </w:rPr>
      </w:pPr>
      <w:r>
        <w:rPr>
          <w:rFonts w:ascii="Times New Roman" w:hAnsi="Times New Roman" w:cs="Times New Roman" w:eastAsiaTheme="minorEastAsia"/>
          <w:color w:val="auto"/>
        </w:rPr>
        <w:t>【</w:t>
      </w:r>
      <w:r>
        <w:rPr>
          <w:rFonts w:ascii="Times New Roman" w:hAnsi="Times New Roman" w:cs="Times New Roman" w:eastAsiaTheme="minorEastAsia"/>
          <w:b/>
          <w:bCs/>
          <w:color w:val="auto"/>
        </w:rPr>
        <w:t>关键词】</w:t>
      </w:r>
      <w:r>
        <w:rPr>
          <w:rFonts w:ascii="Times New Roman" w:hAnsi="Times New Roman" w:cs="Times New Roman" w:eastAsiaTheme="minorEastAsia"/>
          <w:color w:val="auto"/>
        </w:rPr>
        <w:t>互联网+；护理；压力性损伤；居家；失能；老年人；专家共识</w:t>
      </w:r>
    </w:p>
    <w:p w14:paraId="5A51B978">
      <w:pPr>
        <w:spacing w:line="360" w:lineRule="auto"/>
        <w:rPr>
          <w:rFonts w:ascii="Times New Roman" w:cs="Times New Roman"/>
          <w:b/>
          <w:bCs/>
          <w:sz w:val="21"/>
          <w:szCs w:val="21"/>
        </w:rPr>
      </w:pPr>
      <w:r>
        <w:rPr>
          <w:rFonts w:ascii="Times New Roman" w:cs="Times New Roman"/>
          <w:b/>
          <w:bCs/>
          <w:sz w:val="21"/>
          <w:szCs w:val="21"/>
        </w:rPr>
        <w:t>基金项目：</w:t>
      </w:r>
      <w:r>
        <w:rPr>
          <w:rFonts w:ascii="Times New Roman" w:cs="Times New Roman"/>
          <w:sz w:val="21"/>
          <w:szCs w:val="21"/>
        </w:rPr>
        <w:t>中华医学会杂志社2022—2023年护理学科研究课题</w:t>
      </w:r>
      <w:r>
        <w:rPr>
          <w:rFonts w:ascii="Times New Roman" w:cs="Times New Roman"/>
          <w:b/>
          <w:bCs/>
          <w:sz w:val="21"/>
          <w:szCs w:val="21"/>
        </w:rPr>
        <w:t>（</w:t>
      </w:r>
      <w:r>
        <w:rPr>
          <w:rFonts w:ascii="Times New Roman" w:cs="Times New Roman"/>
          <w:sz w:val="21"/>
          <w:szCs w:val="21"/>
        </w:rPr>
        <w:t>CMAPH-NRG2022040</w:t>
      </w:r>
      <w:r>
        <w:rPr>
          <w:rFonts w:ascii="Times New Roman" w:cs="Times New Roman"/>
          <w:b/>
          <w:bCs/>
          <w:sz w:val="21"/>
          <w:szCs w:val="21"/>
        </w:rPr>
        <w:t>）</w:t>
      </w:r>
    </w:p>
    <w:p w14:paraId="4E457BD4">
      <w:pPr>
        <w:pStyle w:val="29"/>
        <w:spacing w:line="360" w:lineRule="auto"/>
        <w:ind w:firstLine="0" w:firstLineChars="0"/>
        <w:rPr>
          <w:rFonts w:ascii="Times New Roman" w:hAnsi="Times New Roman" w:cs="Times New Roman" w:eastAsiaTheme="minorEastAsia"/>
          <w:color w:val="auto"/>
        </w:rPr>
      </w:pPr>
      <w:r>
        <w:rPr>
          <w:rFonts w:ascii="Times New Roman" w:hAnsi="Times New Roman" w:cs="Times New Roman" w:eastAsiaTheme="minorEastAsia"/>
          <w:b/>
          <w:color w:val="auto"/>
        </w:rPr>
        <w:t>实践指南注册：</w:t>
      </w:r>
      <w:r>
        <w:rPr>
          <w:rFonts w:ascii="Times New Roman" w:hAnsi="Times New Roman" w:cs="Times New Roman" w:eastAsiaTheme="minorEastAsia"/>
          <w:color w:val="auto"/>
        </w:rPr>
        <w:t>国际实践指南注册与透明化平台（PREPARE-2024CN870）</w:t>
      </w:r>
    </w:p>
    <w:p w14:paraId="5C426DCD">
      <w:pPr>
        <w:pStyle w:val="35"/>
        <w:spacing w:line="360" w:lineRule="auto"/>
        <w:jc w:val="left"/>
        <w:rPr>
          <w:rFonts w:ascii="Times New Roman" w:hAnsi="Times New Roman" w:cs="Times New Roman" w:eastAsiaTheme="minorEastAsia"/>
          <w:b/>
          <w:color w:val="auto"/>
          <w:sz w:val="21"/>
          <w:szCs w:val="21"/>
        </w:rPr>
      </w:pPr>
    </w:p>
    <w:p w14:paraId="3B8B4E97">
      <w:pPr>
        <w:pStyle w:val="35"/>
        <w:spacing w:line="360" w:lineRule="auto"/>
        <w:jc w:val="left"/>
        <w:rPr>
          <w:rFonts w:ascii="Times New Roman" w:hAnsi="Times New Roman" w:cs="Times New Roman" w:eastAsiaTheme="minorEastAsia"/>
          <w:b/>
          <w:color w:val="auto"/>
          <w:sz w:val="21"/>
          <w:szCs w:val="21"/>
        </w:rPr>
      </w:pPr>
      <w:r>
        <w:rPr>
          <w:rFonts w:ascii="Times New Roman" w:hAnsi="Times New Roman" w:cs="Times New Roman" w:eastAsiaTheme="minorEastAsia"/>
          <w:b/>
          <w:color w:val="auto"/>
          <w:sz w:val="21"/>
          <w:szCs w:val="21"/>
        </w:rPr>
        <w:t>Expert consensus on pressure injury nursing for disabled elderly at home in community under ' Internet + ' mode 2025</w:t>
      </w:r>
    </w:p>
    <w:p w14:paraId="54831553">
      <w:pPr>
        <w:pStyle w:val="35"/>
        <w:spacing w:line="360" w:lineRule="auto"/>
        <w:jc w:val="left"/>
        <w:rPr>
          <w:rFonts w:ascii="Times New Roman" w:hAnsi="Times New Roman" w:cs="Times New Roman" w:eastAsiaTheme="minorEastAsia"/>
          <w:i/>
          <w:iCs/>
          <w:color w:val="auto"/>
          <w:sz w:val="21"/>
          <w:szCs w:val="21"/>
        </w:rPr>
      </w:pPr>
      <w:r>
        <w:rPr>
          <w:rFonts w:ascii="Times New Roman" w:hAnsi="Times New Roman" w:cs="Times New Roman" w:eastAsiaTheme="minorEastAsia"/>
          <w:i/>
          <w:iCs/>
          <w:color w:val="auto"/>
          <w:sz w:val="21"/>
          <w:szCs w:val="21"/>
        </w:rPr>
        <w:t>Cross-Strait Medical and Health Exchange Association Nursing Branch Wound Stoma Incontinence Group</w:t>
      </w:r>
    </w:p>
    <w:p w14:paraId="2A47F065">
      <w:pPr>
        <w:spacing w:line="360" w:lineRule="auto"/>
        <w:rPr>
          <w:rFonts w:ascii="Times New Roman" w:cs="Times New Roman"/>
          <w:b/>
          <w:sz w:val="21"/>
          <w:szCs w:val="21"/>
        </w:rPr>
      </w:pPr>
      <w:r>
        <w:rPr>
          <w:rFonts w:ascii="Times New Roman" w:cs="Times New Roman"/>
          <w:i/>
          <w:iCs/>
          <w:sz w:val="21"/>
          <w:szCs w:val="21"/>
        </w:rPr>
        <w:t>Corresponding author: Wei Li, Email: </w:t>
      </w:r>
      <w:r>
        <w:fldChar w:fldCharType="begin"/>
      </w:r>
      <w:r>
        <w:instrText xml:space="preserve"> HYPERLINK "https://mailto:weili066100@126.com/" \t "https://chat.deepseek.com/a/chat/s/_blank" </w:instrText>
      </w:r>
      <w:r>
        <w:fldChar w:fldCharType="separate"/>
      </w:r>
      <w:r>
        <w:rPr>
          <w:rFonts w:ascii="Times New Roman" w:cs="Times New Roman"/>
          <w:i/>
          <w:iCs/>
          <w:sz w:val="21"/>
          <w:szCs w:val="21"/>
        </w:rPr>
        <w:t>weili066100@126.com</w:t>
      </w:r>
      <w:r>
        <w:rPr>
          <w:rFonts w:ascii="Times New Roman" w:cs="Times New Roman"/>
          <w:i/>
          <w:iCs/>
          <w:sz w:val="21"/>
          <w:szCs w:val="21"/>
        </w:rPr>
        <w:fldChar w:fldCharType="end"/>
      </w:r>
    </w:p>
    <w:p w14:paraId="3E4A47DC">
      <w:pPr>
        <w:pStyle w:val="3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b/>
          <w:color w:val="auto"/>
          <w:sz w:val="21"/>
          <w:szCs w:val="21"/>
        </w:rPr>
        <w:t>【Abstract】</w:t>
      </w:r>
      <w:r>
        <w:rPr>
          <w:rFonts w:ascii="Times New Roman" w:hAnsi="Times New Roman" w:cs="Times New Roman" w:eastAsiaTheme="minorEastAsia"/>
          <w:color w:val="auto"/>
          <w:sz w:val="21"/>
          <w:szCs w:val="21"/>
        </w:rPr>
        <w:t>In order to promote the standardization and normalization of pressure injury nursing for community home-based disabled elderly under ' Internet + ' mode, the Cross Straits Medicine Exchange Association established the ' consensus ' writing group and formed evidence-based issues through literature retrieval and screening, literature quality evaluation, evidence screening and integration. After two rounds of Delphi expert consultation and three rounds of expert demonstration meetings, the final draft of ' consensus ' was formed after the adjustment and revision. The ' consensus ' covers six aspects of the application scope, subject qualification, service mode, service process, service content and service effect evaluation of pressure injury nursing for community home-based disabled elderly under the ' Internet + ' mode, which provides a theoretical basis for the standardized management of nursing work in this field. It is also helpful to improve the professional service ability of nursing staff, the service experience of patients and the rehabilitation outcome of pressure injury.</w:t>
      </w:r>
    </w:p>
    <w:p w14:paraId="547B8144">
      <w:pPr>
        <w:pStyle w:val="36"/>
        <w:spacing w:line="360" w:lineRule="auto"/>
        <w:jc w:val="left"/>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【Key words】Internet +;Nursing;Pressure injury;Home;Disability;The elderly;Expert consensus</w:t>
      </w:r>
    </w:p>
    <w:p w14:paraId="52FC5DF5">
      <w:pPr>
        <w:pStyle w:val="36"/>
        <w:spacing w:line="360" w:lineRule="auto"/>
        <w:jc w:val="left"/>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【Fund Project】2022-2023 Nursing Research Project of Chinese Medical Association Journal ( CMAPH-NRG2022040 )</w:t>
      </w:r>
    </w:p>
    <w:p w14:paraId="42E1C2EF">
      <w:pPr>
        <w:pStyle w:val="29"/>
        <w:spacing w:line="360" w:lineRule="auto"/>
        <w:ind w:firstLine="420"/>
        <w:rPr>
          <w:rFonts w:ascii="Times New Roman" w:hAnsi="Times New Roman" w:cs="Times New Roman" w:eastAsiaTheme="minorEastAsia"/>
          <w:color w:val="auto"/>
        </w:rPr>
      </w:pPr>
      <w:r>
        <w:rPr>
          <w:rFonts w:ascii="Times New Roman" w:hAnsi="Times New Roman" w:cs="Times New Roman" w:eastAsiaTheme="minorEastAsia"/>
          <w:color w:val="auto"/>
        </w:rPr>
        <w:t>失能老人是指丧失生活自理能力的老年人，预计到2050年，我国失能老人</w:t>
      </w:r>
      <w:r>
        <w:rPr>
          <w:rFonts w:hint="eastAsia" w:ascii="Times New Roman" w:hAnsi="Times New Roman" w:cs="Times New Roman" w:eastAsiaTheme="minorEastAsia"/>
          <w:color w:val="auto"/>
        </w:rPr>
        <w:t>人数</w:t>
      </w:r>
      <w:r>
        <w:rPr>
          <w:rFonts w:ascii="Times New Roman" w:hAnsi="Times New Roman" w:cs="Times New Roman" w:eastAsiaTheme="minorEastAsia"/>
          <w:color w:val="auto"/>
        </w:rPr>
        <w:t>将达到9140万</w:t>
      </w:r>
      <w:r>
        <w:rPr>
          <w:rFonts w:ascii="Times New Roman" w:hAnsi="Times New Roman" w:cs="Times New Roman" w:eastAsiaTheme="minorEastAsia"/>
          <w:color w:val="auto"/>
          <w:vertAlign w:val="superscript"/>
        </w:rPr>
        <w:t xml:space="preserve"> [1]</w:t>
      </w:r>
      <w:r>
        <w:rPr>
          <w:rFonts w:ascii="Times New Roman" w:hAnsi="Times New Roman" w:cs="Times New Roman" w:eastAsiaTheme="minorEastAsia"/>
          <w:color w:val="auto"/>
        </w:rPr>
        <w:t>。目前我国失能老人以社区居家养老模式为主，由于皮肤弹性下降、活动受限、营养摄取能力不足、多病共存等高危因素，其压力性损伤发生率高达25.8%</w:t>
      </w:r>
      <w:r>
        <w:rPr>
          <w:rFonts w:ascii="Times New Roman" w:hAnsi="Times New Roman" w:cs="Times New Roman" w:eastAsiaTheme="minorEastAsia"/>
          <w:color w:val="auto"/>
          <w:vertAlign w:val="superscript"/>
        </w:rPr>
        <w:t>[2]</w:t>
      </w:r>
      <w:r>
        <w:rPr>
          <w:rFonts w:ascii="Times New Roman" w:hAnsi="Times New Roman" w:cs="Times New Roman" w:eastAsiaTheme="minorEastAsia"/>
          <w:color w:val="auto"/>
        </w:rPr>
        <w:t>，给家庭、医院及社会医疗体系带来了沉重的照护及医疗负担。自2019年起，</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护理服务工作在国内6个省市试点后，逐步在全国推广</w:t>
      </w:r>
      <w:r>
        <w:rPr>
          <w:rFonts w:ascii="Times New Roman" w:hAnsi="Times New Roman" w:cs="Times New Roman" w:eastAsiaTheme="minorEastAsia"/>
          <w:color w:val="auto"/>
          <w:vertAlign w:val="superscript"/>
        </w:rPr>
        <w:t>[3]</w:t>
      </w:r>
      <w:r>
        <w:rPr>
          <w:rFonts w:ascii="Times New Roman" w:hAnsi="Times New Roman" w:cs="Times New Roman" w:eastAsiaTheme="minorEastAsia"/>
          <w:color w:val="auto"/>
        </w:rPr>
        <w:t>，极大满足了居家失能老人及其照顾者群体的</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压力性损伤护理需求</w:t>
      </w:r>
      <w:r>
        <w:rPr>
          <w:rFonts w:ascii="Times New Roman" w:hAnsi="Times New Roman" w:cs="Times New Roman" w:eastAsiaTheme="minorEastAsia"/>
          <w:color w:val="auto"/>
          <w:vertAlign w:val="superscript"/>
        </w:rPr>
        <w:t>[4]</w:t>
      </w:r>
      <w:r>
        <w:rPr>
          <w:rFonts w:ascii="Times New Roman" w:hAnsi="Times New Roman" w:cs="Times New Roman" w:eastAsiaTheme="minorEastAsia"/>
          <w:color w:val="auto"/>
        </w:rPr>
        <w:t>。由于缺乏规范性的</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模式专科护理标准、居家环境内护理操作、患者需求多样化等原因，各地的护理服务流程和质量参差不齐，严重影响居家失能老人压力性损伤康复结局，亟待制定针对性的护理指导性建议</w:t>
      </w:r>
      <w:r>
        <w:rPr>
          <w:rFonts w:ascii="Times New Roman" w:hAnsi="Times New Roman" w:cs="Times New Roman" w:eastAsiaTheme="minorEastAsia"/>
          <w:color w:val="auto"/>
          <w:vertAlign w:val="superscript"/>
        </w:rPr>
        <w:t>[5]</w:t>
      </w:r>
      <w:r>
        <w:rPr>
          <w:rFonts w:ascii="Times New Roman" w:hAnsi="Times New Roman" w:cs="Times New Roman" w:eastAsiaTheme="minorEastAsia"/>
          <w:color w:val="auto"/>
        </w:rPr>
        <w:t>。海峡两岸医药卫生交流协会护理分会伤口造口失禁学组基于该专科领域的研究证据和临床实践经验，通过专家函询和论证会制定《</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模式下社区居家失能老人压力性损伤护理专家共识（2025）》（以下简称《共识》），旨在推动</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模式下社区居家失能老人压力性损伤护理的标准化和规范化，提高护理人员的专科服务能力，改善患者服务体验和压力性损伤康复结局。</w:t>
      </w:r>
    </w:p>
    <w:p w14:paraId="6A0033F2">
      <w:pPr>
        <w:pStyle w:val="38"/>
        <w:spacing w:line="360" w:lineRule="auto"/>
        <w:rPr>
          <w:rFonts w:ascii="Times New Roman" w:hAnsi="Times New Roman" w:cs="Times New Roman" w:eastAsiaTheme="minorEastAsia"/>
          <w:b/>
          <w:bCs/>
          <w:color w:val="auto"/>
          <w:sz w:val="21"/>
          <w:szCs w:val="21"/>
        </w:rPr>
      </w:pPr>
      <w:r>
        <w:rPr>
          <w:rFonts w:ascii="Times New Roman" w:hAnsi="Times New Roman" w:cs="Times New Roman" w:eastAsiaTheme="minorEastAsia"/>
          <w:b/>
          <w:bCs/>
          <w:color w:val="auto"/>
          <w:sz w:val="21"/>
          <w:szCs w:val="21"/>
        </w:rPr>
        <w:t>一、《共识》形成</w:t>
      </w:r>
    </w:p>
    <w:p w14:paraId="24D5C50D">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1.成立《共识》编写组：</w:t>
      </w:r>
      <w:r>
        <w:rPr>
          <w:rFonts w:ascii="Times New Roman" w:hAnsi="Times New Roman" w:cs="Times New Roman" w:eastAsiaTheme="minorEastAsia"/>
          <w:color w:val="auto"/>
        </w:rPr>
        <w:t>《共识》编写组成员包括压力性损伤诊疗医学专家5名（主任医师）、压力性损伤护理和</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管理领域专家13名（主任护师），老年护理专家2名（主任护师），循证护理人员2名。相关领域专家负责确立循证问题、召开专家函询和论证会、收集修改意见、编写和修订《共识》内容；循证护理人员主要负责文献检索与筛选、文献质量和证据等级评价、专家函询的数据分析。</w:t>
      </w:r>
    </w:p>
    <w:p w14:paraId="37F53A0C">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2.确立循证问题：</w:t>
      </w:r>
      <w:r>
        <w:rPr>
          <w:rFonts w:ascii="Times New Roman" w:hAnsi="Times New Roman" w:cs="Times New Roman" w:eastAsiaTheme="minorEastAsia"/>
          <w:color w:val="auto"/>
        </w:rPr>
        <w:t>按照PIPOST原则</w:t>
      </w:r>
      <w:r>
        <w:rPr>
          <w:rFonts w:ascii="Times New Roman" w:hAnsi="Times New Roman" w:cs="Times New Roman" w:eastAsiaTheme="minorEastAsia"/>
          <w:color w:val="auto"/>
          <w:vertAlign w:val="superscript"/>
        </w:rPr>
        <w:t>[6]</w:t>
      </w:r>
      <w:r>
        <w:rPr>
          <w:rFonts w:ascii="Times New Roman" w:hAnsi="Times New Roman" w:cs="Times New Roman" w:eastAsiaTheme="minorEastAsia"/>
          <w:color w:val="auto"/>
        </w:rPr>
        <w:t>确立循证问题。（1）目标群体（population，P）：社区居家失能老人；（2）干预措施（intervention，I）：</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模式下压力性损伤护理的相关服务；（3）应用证据的人员（professional，P）：提供</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相关人员；（4）结局指标（outcome，O）：包括服务对象相关结局指标（患者的压力性损伤愈合结局、服务对象压力性损伤预防及护理能力、服务对象满意度等）和服务者相关结局指标（护理服务的规范性、专科处置水平、服务效率、服务效益、服务者满意度、执业安全指标等）；（5）应用场所（setting，S）：社区居家环境；（6）证据类型（type of evidence，T）：包括临床实践指南、循证知识库、专家共识、证据总结、综述、系统评价、原始研究、专业论著。本研究已经过天津医科大学总医院</w:t>
      </w:r>
      <w:r>
        <w:rPr>
          <w:rFonts w:hint="eastAsia" w:ascii="Times New Roman" w:hAnsi="Times New Roman" w:cs="Times New Roman" w:eastAsiaTheme="minorEastAsia"/>
          <w:color w:val="auto"/>
          <w:lang w:val="en-US" w:eastAsia="zh-CN"/>
        </w:rPr>
        <w:t>空港医院</w:t>
      </w:r>
      <w:r>
        <w:rPr>
          <w:rFonts w:ascii="Times New Roman" w:hAnsi="Times New Roman" w:cs="Times New Roman" w:eastAsiaTheme="minorEastAsia"/>
          <w:color w:val="auto"/>
        </w:rPr>
        <w:t>伦理委员会审查（IRB-2025-014-01）。</w:t>
      </w:r>
    </w:p>
    <w:p w14:paraId="61740F4D">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3.文献检索</w:t>
      </w:r>
      <w:r>
        <w:rPr>
          <w:rFonts w:hint="eastAsia" w:ascii="Times New Roman" w:hAnsi="Times New Roman" w:cs="Times New Roman" w:eastAsiaTheme="minorEastAsia"/>
          <w:b/>
          <w:color w:val="auto"/>
        </w:rPr>
        <w:t>与评价</w:t>
      </w:r>
      <w:r>
        <w:rPr>
          <w:rFonts w:ascii="Times New Roman" w:hAnsi="Times New Roman" w:cs="Times New Roman" w:eastAsiaTheme="minorEastAsia"/>
          <w:b/>
          <w:color w:val="auto"/>
        </w:rPr>
        <w:t>：</w:t>
      </w:r>
      <w:r>
        <w:rPr>
          <w:rFonts w:ascii="Times New Roman" w:hAnsi="Times New Roman" w:cs="Times New Roman" w:eastAsiaTheme="minorEastAsia"/>
          <w:color w:val="auto"/>
        </w:rPr>
        <w:t>基于</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6S</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模型</w:t>
      </w:r>
      <w:r>
        <w:rPr>
          <w:rFonts w:ascii="Times New Roman" w:hAnsi="Times New Roman" w:cs="Times New Roman" w:eastAsiaTheme="minorEastAsia"/>
          <w:color w:val="auto"/>
          <w:vertAlign w:val="superscript"/>
        </w:rPr>
        <w:t>[7]</w:t>
      </w:r>
      <w:r>
        <w:rPr>
          <w:rFonts w:ascii="Times New Roman" w:hAnsi="Times New Roman" w:cs="Times New Roman" w:eastAsiaTheme="minorEastAsia"/>
          <w:color w:val="auto"/>
        </w:rPr>
        <w:t>，进行从上到下的计算机检索，系统检索BMJ Best Practice、UpToDate、乔安娜布里格斯研究所（Joanna Briggs Institute，JBI）循证卫生保健中心数据库、Cochrane Library、Embase、CINAHL、医脉通、中国生物医学文献数据库、中国知网、万方数据库、维普网、美国国家压力性损伤咨询委员会、欧洲压力性损伤咨询委员会、泛太平洋压力性损伤联盟、美国伤口造口失禁护理学会、加拿大伤口护理协会、加拿大安大略注册护士协会、中华医学会和中华护理学会网站，检索时限为建库至2025年6月30日。同时补充查阅该主题的纸质专业论著和文献。中文检索词包括</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社区护理/居家护理/互联网+护理/延续护理/上门护理/网约护士</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失能/失能老人/失能老年人</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褥疮/压疮/压力性溃疡/皮肤溃疡/压力性损伤/皮肤损伤</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；英文检索词包括</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community health nursing/home nursing/Internet plus nursing/transition nursing/ online appointment nurse</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frail elderly/disabled elderly/elderly with disabilities/elderly with functional limitation/handicapped seniors</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pressure ulcer/pressure sore/pressure injury/skin breakdown /skin damage/ decubitus</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。采用主题词与自由词结合的方式进行检测，英文检索策略以PubMed为例：（</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community health nursing</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［MeSH］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home nursing</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［MeSH］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Internet plus nursing</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［Title/Abstract］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transition nursing</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［Title/Abstract］ OR</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online appointment nurse</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［Title/Abstract］） AND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frail elderly</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［MeSH］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disabled elderly</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［Title/Abstract］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elderly with disabilities</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［Title/Abstract］ OR</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elderly with functional limitation</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［Title/Abstract］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handicapped seniors</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［Title/Abstract］） AND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pressure ulcer</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［MeSH］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pressure sore</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［Title/Abstract］ OR</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pressure injury</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［Title/Abstract］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skin breakdown</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［Title/Abstract］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skin damage</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［Title/Abstract］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decubitus</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［Title/Abstract］）。</w:t>
      </w:r>
      <w:r>
        <w:rPr>
          <w:rFonts w:ascii="Times New Roman" w:hAnsi="Times New Roman" w:cs="Times New Roman" w:eastAsiaTheme="minorEastAsia"/>
          <w:b/>
          <w:color w:val="auto"/>
        </w:rPr>
        <w:t>（1）</w:t>
      </w:r>
      <w:r>
        <w:rPr>
          <w:rFonts w:hint="eastAsia" w:ascii="Times New Roman" w:hAnsi="Times New Roman" w:cs="Times New Roman" w:eastAsiaTheme="minorEastAsia"/>
          <w:b/>
          <w:color w:val="auto"/>
        </w:rPr>
        <w:t>文献</w:t>
      </w:r>
      <w:r>
        <w:rPr>
          <w:rFonts w:ascii="Times New Roman" w:hAnsi="Times New Roman" w:cs="Times New Roman" w:eastAsiaTheme="minorEastAsia"/>
          <w:b/>
          <w:color w:val="auto"/>
        </w:rPr>
        <w:t>纳入标准</w:t>
      </w:r>
      <w:r>
        <w:rPr>
          <w:rFonts w:hint="eastAsia" w:ascii="Times New Roman" w:hAnsi="Times New Roman" w:cs="Times New Roman" w:eastAsiaTheme="minorEastAsia"/>
          <w:b/>
          <w:color w:val="auto"/>
        </w:rPr>
        <w:t>：</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研究对象为压力性损伤护理的失能老人或老年患者；</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研究内容与</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护理服务有关；</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文献类型为循证知识库、指南、系统评价、Meta分析、专家共识、综述、证据总结、原始研究、专业论著；</w:t>
      </w:r>
      <w:r>
        <w:rPr>
          <w:rFonts w:hint="eastAsia" w:ascii="Times New Roman" w:hAnsi="Times New Roman" w:cs="Times New Roman" w:eastAsiaTheme="minorEastAsia"/>
          <w:color w:val="auto"/>
          <w:lang w:val="en-US" w:eastAsia="zh-CN"/>
        </w:rPr>
        <w:t>④</w:t>
      </w:r>
      <w:r>
        <w:rPr>
          <w:rFonts w:ascii="Times New Roman" w:hAnsi="Times New Roman" w:cs="Times New Roman" w:eastAsiaTheme="minorEastAsia"/>
          <w:color w:val="auto"/>
        </w:rPr>
        <w:t>中英文文献。</w:t>
      </w:r>
      <w:r>
        <w:rPr>
          <w:rFonts w:ascii="Times New Roman" w:hAnsi="Times New Roman" w:cs="Times New Roman" w:eastAsiaTheme="minorEastAsia"/>
          <w:b/>
          <w:color w:val="auto"/>
        </w:rPr>
        <w:t>（2）</w:t>
      </w:r>
      <w:r>
        <w:rPr>
          <w:rFonts w:hint="eastAsia" w:ascii="Times New Roman" w:hAnsi="Times New Roman" w:cs="Times New Roman" w:eastAsiaTheme="minorEastAsia"/>
          <w:b/>
          <w:color w:val="auto"/>
        </w:rPr>
        <w:t>文献</w:t>
      </w:r>
      <w:r>
        <w:rPr>
          <w:rFonts w:ascii="Times New Roman" w:hAnsi="Times New Roman" w:cs="Times New Roman" w:eastAsiaTheme="minorEastAsia"/>
          <w:b/>
          <w:color w:val="auto"/>
        </w:rPr>
        <w:t>排除标准</w:t>
      </w:r>
      <w:r>
        <w:rPr>
          <w:rFonts w:hint="eastAsia" w:ascii="Times New Roman" w:hAnsi="Times New Roman" w:cs="Times New Roman" w:eastAsiaTheme="minorEastAsia"/>
          <w:b/>
          <w:color w:val="auto"/>
        </w:rPr>
        <w:t>：</w:t>
      </w:r>
      <w:r>
        <w:rPr>
          <w:rFonts w:hint="eastAsia" w:ascii="Times New Roman" w:hAnsi="Times New Roman" w:cs="Times New Roman" w:eastAsiaTheme="minorEastAsia"/>
          <w:b w:val="0"/>
          <w:bCs/>
          <w:color w:val="auto"/>
          <w:lang w:val="en-US" w:eastAsia="zh-CN"/>
        </w:rPr>
        <w:t>①</w:t>
      </w:r>
      <w:r>
        <w:rPr>
          <w:rFonts w:ascii="Times New Roman" w:hAnsi="Times New Roman" w:cs="Times New Roman" w:eastAsiaTheme="minorEastAsia"/>
          <w:color w:val="auto"/>
        </w:rPr>
        <w:t>未获得全文的文献；</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研究计划书；</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重复发表的文献。采用临床指南研究与评价系统Ⅱ（Appraisal of Guidelines for Research and Evaluation Ⅱ，AGREE Ⅱ）对指南进行质量评价</w:t>
      </w:r>
      <w:r>
        <w:rPr>
          <w:rFonts w:ascii="Times New Roman" w:hAnsi="Times New Roman" w:cs="Times New Roman" w:eastAsiaTheme="minorEastAsia"/>
          <w:color w:val="auto"/>
          <w:vertAlign w:val="superscript"/>
        </w:rPr>
        <w:t>[8]</w:t>
      </w:r>
      <w:r>
        <w:rPr>
          <w:rFonts w:ascii="Times New Roman" w:hAnsi="Times New Roman" w:cs="Times New Roman" w:eastAsiaTheme="minorEastAsia"/>
          <w:color w:val="auto"/>
        </w:rPr>
        <w:t>。对于其他类型的证据，运用JBI循证卫生保健中心对应的评价工具进行质量评价</w:t>
      </w:r>
      <w:r>
        <w:rPr>
          <w:rFonts w:ascii="Times New Roman" w:hAnsi="Times New Roman" w:cs="Times New Roman" w:eastAsiaTheme="minorEastAsia"/>
          <w:color w:val="auto"/>
          <w:vertAlign w:val="superscript"/>
        </w:rPr>
        <w:t>[9-14]</w:t>
      </w:r>
      <w:r>
        <w:rPr>
          <w:rFonts w:ascii="Times New Roman" w:hAnsi="Times New Roman" w:cs="Times New Roman" w:eastAsiaTheme="minorEastAsia"/>
          <w:color w:val="auto"/>
        </w:rPr>
        <w:t>。在证据分级方面，依据生成证据的原始文献类型，采用 JBI 证据预分级及证据推荐级别系统（2014 版）进行证据评级（1~5级）。证据推荐等级按照 FAME 原则分为 A 级推荐（强推荐）和 B 级推荐（弱推荐）</w:t>
      </w:r>
      <w:r>
        <w:rPr>
          <w:rFonts w:ascii="Times New Roman" w:hAnsi="Times New Roman" w:cs="Times New Roman" w:eastAsiaTheme="minorEastAsia"/>
          <w:color w:val="auto"/>
          <w:vertAlign w:val="superscript"/>
        </w:rPr>
        <w:t>[15]</w:t>
      </w:r>
      <w:r>
        <w:rPr>
          <w:rFonts w:ascii="Times New Roman" w:hAnsi="Times New Roman" w:cs="Times New Roman" w:eastAsiaTheme="minorEastAsia"/>
          <w:color w:val="auto"/>
        </w:rPr>
        <w:t>。指定2名循证护理人员独立完成文献筛选、质量评价和证据提取，并进行交叉核对。当2人出现分歧时，由共识编写组共同商讨解决。当不同证据的结论不一致时，遵循</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高等级、高质量、新近发表的证据优先</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处理原则。初步检索得到 941篇文献，去除重复文献后剩余801篇</w:t>
      </w:r>
      <w:r>
        <w:rPr>
          <w:rFonts w:hint="eastAsia" w:ascii="Times New Roman" w:hAnsi="Times New Roman" w:cs="Times New Roman" w:eastAsiaTheme="minorEastAsia"/>
          <w:color w:val="auto"/>
        </w:rPr>
        <w:t>文献</w:t>
      </w:r>
      <w:r>
        <w:rPr>
          <w:rFonts w:ascii="Times New Roman" w:hAnsi="Times New Roman" w:cs="Times New Roman" w:eastAsiaTheme="minorEastAsia"/>
          <w:color w:val="auto"/>
        </w:rPr>
        <w:t>，排除不相关文献748篇，最终纳入53篇</w:t>
      </w:r>
      <w:r>
        <w:rPr>
          <w:rFonts w:hint="eastAsia" w:ascii="Times New Roman" w:hAnsi="Times New Roman" w:cs="Times New Roman" w:eastAsiaTheme="minorEastAsia"/>
          <w:color w:val="auto"/>
        </w:rPr>
        <w:t>文献</w:t>
      </w:r>
      <w:r>
        <w:rPr>
          <w:rFonts w:ascii="Times New Roman" w:hAnsi="Times New Roman" w:cs="Times New Roman" w:eastAsiaTheme="minorEastAsia"/>
          <w:color w:val="auto"/>
          <w:vertAlign w:val="superscript"/>
        </w:rPr>
        <w:t>[18-70]</w:t>
      </w:r>
      <w:r>
        <w:rPr>
          <w:rFonts w:ascii="Times New Roman" w:hAnsi="Times New Roman" w:cs="Times New Roman" w:eastAsiaTheme="minorEastAsia"/>
          <w:color w:val="auto"/>
        </w:rPr>
        <w:t>。</w:t>
      </w:r>
    </w:p>
    <w:p w14:paraId="3C7BDC5B">
      <w:pPr>
        <w:pStyle w:val="29"/>
        <w:spacing w:line="360" w:lineRule="auto"/>
        <w:ind w:firstLine="422"/>
        <w:rPr>
          <w:rFonts w:ascii="Times New Roman" w:hAnsi="Times New Roman" w:cs="Times New Roman" w:eastAsiaTheme="minorEastAsia"/>
          <w:color w:val="auto"/>
        </w:rPr>
      </w:pPr>
      <w:r>
        <w:rPr>
          <w:rFonts w:hint="eastAsia" w:ascii="Times New Roman" w:hAnsi="Times New Roman" w:cs="Times New Roman" w:eastAsiaTheme="minorEastAsia"/>
          <w:b/>
          <w:color w:val="auto"/>
        </w:rPr>
        <w:t>4</w:t>
      </w:r>
      <w:r>
        <w:rPr>
          <w:rFonts w:ascii="Times New Roman" w:hAnsi="Times New Roman" w:cs="Times New Roman" w:eastAsiaTheme="minorEastAsia"/>
          <w:b/>
          <w:color w:val="auto"/>
        </w:rPr>
        <w:t>.遴选专家：</w:t>
      </w:r>
      <w:r>
        <w:rPr>
          <w:rFonts w:ascii="Times New Roman" w:hAnsi="Times New Roman" w:cs="Times New Roman" w:eastAsiaTheme="minorEastAsia"/>
          <w:color w:val="auto"/>
        </w:rPr>
        <w:t>函询及现场论证会专家遴选标准。（1）专业领域为压力性损伤诊疗护理、</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护理管理或老年护理；（2）工作年限</w:t>
      </w:r>
      <w:r>
        <w:rPr>
          <w:rFonts w:hint="eastAsia" w:ascii="宋体" w:hAnsi="宋体" w:eastAsia="宋体" w:cs="宋体"/>
          <w:color w:val="auto"/>
        </w:rPr>
        <w:t>≥</w:t>
      </w:r>
      <w:r>
        <w:rPr>
          <w:rFonts w:ascii="Times New Roman" w:hAnsi="Times New Roman" w:cs="Times New Roman" w:eastAsiaTheme="minorEastAsia"/>
          <w:color w:val="auto"/>
        </w:rPr>
        <w:t>10年；（3）本科及以上学历；（4）副高级及以上职称；（5）知情同意，自愿参与本研究。共选取20名来自北京</w:t>
      </w:r>
      <w:r>
        <w:rPr>
          <w:rFonts w:hint="eastAsia" w:ascii="Times New Roman" w:hAnsi="Times New Roman" w:cs="Times New Roman" w:eastAsiaTheme="minorEastAsia"/>
          <w:color w:val="auto"/>
        </w:rPr>
        <w:t>市</w:t>
      </w:r>
      <w:r>
        <w:rPr>
          <w:rFonts w:ascii="Times New Roman" w:hAnsi="Times New Roman" w:cs="Times New Roman" w:eastAsiaTheme="minorEastAsia"/>
          <w:color w:val="auto"/>
        </w:rPr>
        <w:t>、天津</w:t>
      </w:r>
      <w:r>
        <w:rPr>
          <w:rFonts w:hint="eastAsia" w:ascii="Times New Roman" w:hAnsi="Times New Roman" w:cs="Times New Roman" w:eastAsiaTheme="minorEastAsia"/>
          <w:color w:val="auto"/>
        </w:rPr>
        <w:t>市</w:t>
      </w:r>
      <w:r>
        <w:rPr>
          <w:rFonts w:ascii="Times New Roman" w:hAnsi="Times New Roman" w:cs="Times New Roman" w:eastAsiaTheme="minorEastAsia"/>
          <w:color w:val="auto"/>
        </w:rPr>
        <w:t>、上海</w:t>
      </w:r>
      <w:r>
        <w:rPr>
          <w:rFonts w:hint="eastAsia" w:ascii="Times New Roman" w:hAnsi="Times New Roman" w:cs="Times New Roman" w:eastAsiaTheme="minorEastAsia"/>
          <w:color w:val="auto"/>
        </w:rPr>
        <w:t>市</w:t>
      </w:r>
      <w:r>
        <w:rPr>
          <w:rFonts w:ascii="Times New Roman" w:hAnsi="Times New Roman" w:cs="Times New Roman" w:eastAsiaTheme="minorEastAsia"/>
          <w:color w:val="auto"/>
        </w:rPr>
        <w:t>、河北</w:t>
      </w:r>
      <w:bookmarkStart w:id="3" w:name="OLE_LINK1"/>
      <w:r>
        <w:rPr>
          <w:rFonts w:hint="eastAsia" w:ascii="Times New Roman" w:hAnsi="Times New Roman" w:cs="Times New Roman" w:eastAsiaTheme="minorEastAsia"/>
          <w:color w:val="auto"/>
        </w:rPr>
        <w:t>省</w:t>
      </w:r>
      <w:bookmarkEnd w:id="3"/>
      <w:r>
        <w:rPr>
          <w:rFonts w:ascii="Times New Roman" w:hAnsi="Times New Roman" w:cs="Times New Roman" w:eastAsiaTheme="minorEastAsia"/>
          <w:color w:val="auto"/>
        </w:rPr>
        <w:t>、辽宁</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、黑龙江</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、浙江</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、山东</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、河南</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、湖北</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、湖南</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、海南</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、陕西</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、新疆维吾尔自治区等14个省/市/自治区的相关领域专家进行函询。20名函询专家年龄为（50.80±6.35）岁；工作年限为（28.60±6.67）年，其中伤口医疗专家5名，国际伤口治疗师10名、</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护理管理专家3名、老年护理专家2名；高级职称10名、副高级职称 10名；硕士研究生学历 10名、本科学历10名。</w:t>
      </w:r>
    </w:p>
    <w:p w14:paraId="76C171A9">
      <w:pPr>
        <w:pStyle w:val="29"/>
        <w:spacing w:line="360" w:lineRule="auto"/>
        <w:ind w:firstLine="422"/>
        <w:rPr>
          <w:rFonts w:ascii="Times New Roman" w:hAnsi="Times New Roman" w:cs="Times New Roman" w:eastAsiaTheme="minorEastAsia"/>
          <w:color w:val="auto"/>
        </w:rPr>
      </w:pPr>
      <w:r>
        <w:rPr>
          <w:rFonts w:hint="eastAsia" w:ascii="Times New Roman" w:hAnsi="Times New Roman" w:cs="Times New Roman" w:eastAsiaTheme="minorEastAsia"/>
          <w:b/>
          <w:color w:val="auto"/>
        </w:rPr>
        <w:t>5</w:t>
      </w:r>
      <w:r>
        <w:rPr>
          <w:rFonts w:ascii="Times New Roman" w:hAnsi="Times New Roman" w:cs="Times New Roman" w:eastAsiaTheme="minorEastAsia"/>
          <w:b/>
          <w:color w:val="auto"/>
        </w:rPr>
        <w:t>.编写《共识》初稿：</w:t>
      </w:r>
      <w:r>
        <w:rPr>
          <w:rFonts w:ascii="Times New Roman" w:hAnsi="Times New Roman" w:cs="Times New Roman" w:eastAsiaTheme="minorEastAsia"/>
          <w:color w:val="auto"/>
        </w:rPr>
        <w:t>基于提取的循证证据及编写小组各领域专家的临床实践经验，编写小组对《共识》内容进行讨论与修改，最终形成《共识》初稿。</w:t>
      </w:r>
    </w:p>
    <w:p w14:paraId="76326218">
      <w:pPr>
        <w:pStyle w:val="29"/>
        <w:spacing w:line="360" w:lineRule="auto"/>
        <w:ind w:firstLine="422"/>
        <w:rPr>
          <w:rFonts w:ascii="Times New Roman" w:hAnsi="Times New Roman" w:cs="Times New Roman" w:eastAsiaTheme="minorEastAsia"/>
          <w:color w:val="auto"/>
          <w:highlight w:val="yellow"/>
        </w:rPr>
      </w:pPr>
      <w:r>
        <w:rPr>
          <w:rFonts w:hint="eastAsia" w:ascii="Times New Roman" w:hAnsi="Times New Roman" w:cs="Times New Roman" w:eastAsiaTheme="minorEastAsia"/>
          <w:b/>
          <w:color w:val="auto"/>
        </w:rPr>
        <w:t>6</w:t>
      </w:r>
      <w:r>
        <w:rPr>
          <w:rFonts w:ascii="Times New Roman" w:hAnsi="Times New Roman" w:cs="Times New Roman" w:eastAsiaTheme="minorEastAsia"/>
          <w:b/>
          <w:color w:val="auto"/>
        </w:rPr>
        <w:t>.编制专家函询问卷与实施函询：</w:t>
      </w:r>
      <w:r>
        <w:rPr>
          <w:rFonts w:ascii="Times New Roman" w:hAnsi="Times New Roman" w:cs="Times New Roman" w:eastAsiaTheme="minorEastAsia"/>
          <w:color w:val="auto"/>
        </w:rPr>
        <w:t>编写组依据《共识》初稿设计专家函询问卷，问卷由致专家信和问卷主体两部分构成。专家信阐述了本《共识》撰写的政策背景、目标以及函询流程；问卷主体涵盖共识函询表、专家基本信息表、判断依据及熟悉程度调查表。共识函询表包含各条目的重要性、可行性评价和对应修订意见，运用Likert 5级评分法进行重要性评分，依次为</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非常不重要</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到</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非常重要</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，赋值 1~5分。保留重要性评分&gt;3.50分且变异系数&lt;0.25的指标。编写组共开展2轮专家函询，通过问卷星发放问卷，每轮函询</w:t>
      </w:r>
      <w:r>
        <w:rPr>
          <w:rFonts w:hint="eastAsia" w:ascii="Times New Roman" w:hAnsi="Times New Roman" w:cs="Times New Roman" w:eastAsiaTheme="minorEastAsia"/>
          <w:color w:val="auto"/>
        </w:rPr>
        <w:t>于</w:t>
      </w:r>
      <w:r>
        <w:rPr>
          <w:rFonts w:ascii="Times New Roman" w:hAnsi="Times New Roman" w:cs="Times New Roman" w:eastAsiaTheme="minorEastAsia"/>
          <w:color w:val="auto"/>
        </w:rPr>
        <w:t>14 d内收回问卷</w:t>
      </w:r>
      <w:r>
        <w:rPr>
          <w:rFonts w:hint="eastAsia" w:ascii="Times New Roman" w:hAnsi="Times New Roman" w:cs="Times New Roman" w:eastAsiaTheme="minorEastAsia"/>
          <w:color w:val="FF0000"/>
          <w:vertAlign w:val="superscript"/>
          <w:lang w:val="en-US" w:eastAsia="zh-CN"/>
        </w:rPr>
        <w:t>[16]</w:t>
      </w:r>
      <w:r>
        <w:rPr>
          <w:rFonts w:ascii="Times New Roman" w:hAnsi="Times New Roman" w:cs="Times New Roman" w:eastAsiaTheme="minorEastAsia"/>
          <w:color w:val="auto"/>
        </w:rPr>
        <w:t>。</w:t>
      </w:r>
    </w:p>
    <w:p w14:paraId="05EA1CBF">
      <w:pPr>
        <w:pStyle w:val="29"/>
        <w:spacing w:line="360" w:lineRule="auto"/>
        <w:ind w:firstLine="422"/>
        <w:rPr>
          <w:rFonts w:ascii="Times New Roman" w:hAnsi="Times New Roman" w:cs="Times New Roman" w:eastAsiaTheme="minorEastAsia"/>
          <w:color w:val="auto"/>
        </w:rPr>
      </w:pPr>
      <w:r>
        <w:rPr>
          <w:rFonts w:hint="eastAsia" w:ascii="Times New Roman" w:hAnsi="Times New Roman" w:cs="Times New Roman" w:eastAsiaTheme="minorEastAsia"/>
          <w:b/>
          <w:color w:val="auto"/>
        </w:rPr>
        <w:t>7</w:t>
      </w:r>
      <w:r>
        <w:rPr>
          <w:rFonts w:ascii="Times New Roman" w:hAnsi="Times New Roman" w:cs="Times New Roman" w:eastAsiaTheme="minorEastAsia"/>
          <w:b/>
          <w:color w:val="auto"/>
        </w:rPr>
        <w:t>.召开专家论证会：</w:t>
      </w:r>
      <w:r>
        <w:rPr>
          <w:rFonts w:ascii="Times New Roman" w:hAnsi="Times New Roman" w:cs="Times New Roman" w:eastAsiaTheme="minorEastAsia"/>
          <w:color w:val="auto"/>
        </w:rPr>
        <w:t>两轮函询结束后，整理分析专家意见并召开3轮专家论证会。第1轮专家论证会中，专家对共识条目的可行性、适宜性、临床意义和有效性进行讨论。同时，专家对共识条目的推荐强度进行表决投票，见表1。其中1、2、-1</w:t>
      </w:r>
      <w:r>
        <w:rPr>
          <w:rFonts w:hint="eastAsia" w:ascii="Times New Roman" w:hAnsi="Times New Roman" w:cs="Times New Roman" w:eastAsiaTheme="minorEastAsia"/>
          <w:color w:val="auto"/>
        </w:rPr>
        <w:t>、</w:t>
      </w:r>
      <w:r>
        <w:rPr>
          <w:rFonts w:ascii="Times New Roman" w:hAnsi="Times New Roman" w:cs="Times New Roman" w:eastAsiaTheme="minorEastAsia"/>
          <w:color w:val="auto"/>
        </w:rPr>
        <w:t>-2分的单项票数&gt;50%，视为达成共识，直接确定推荐方向和强度；正分（1和2）或负分 （-1和-2）的总票数&gt;70%，也视为达成共识，可确定推荐方向，但推荐强度为弱；其余情况视为未达成共识。对于未达成共识的内容，应请专家进行充分讨论，提出修改建议</w:t>
      </w:r>
      <w:r>
        <w:rPr>
          <w:rFonts w:ascii="Times New Roman" w:hAnsi="Times New Roman" w:cs="Times New Roman" w:eastAsiaTheme="minorEastAsia"/>
          <w:color w:val="auto"/>
          <w:vertAlign w:val="superscript"/>
        </w:rPr>
        <w:t>[17]</w:t>
      </w:r>
      <w:r>
        <w:rPr>
          <w:rFonts w:ascii="Times New Roman" w:hAnsi="Times New Roman" w:cs="Times New Roman" w:eastAsiaTheme="minorEastAsia"/>
          <w:color w:val="auto"/>
        </w:rPr>
        <w:t>。针对修改的内容，再进行第2、3轮专家论证会，形成《共识》终稿。《共识》</w:t>
      </w:r>
      <w:r>
        <w:rPr>
          <w:rFonts w:ascii="Times New Roman" w:hAnsi="Times New Roman" w:cs="Times New Roman" w:eastAsiaTheme="minorEastAsia"/>
          <w:bCs/>
          <w:color w:val="auto"/>
        </w:rPr>
        <w:t>包含适用范围、主体资质、服务模式、服务流程、服务内容、服务效果评价六方面内容，共31条推荐意见</w:t>
      </w:r>
      <w:r>
        <w:rPr>
          <w:rFonts w:hint="eastAsia" w:ascii="Times New Roman" w:hAnsi="Times New Roman" w:cs="Times New Roman" w:eastAsiaTheme="minorEastAsia"/>
          <w:bCs/>
          <w:color w:val="auto"/>
        </w:rPr>
        <w:t>。</w:t>
      </w:r>
    </w:p>
    <w:p w14:paraId="015D7FC4">
      <w:pPr>
        <w:pStyle w:val="44"/>
        <w:spacing w:line="360" w:lineRule="auto"/>
        <w:ind w:firstLine="0" w:firstLineChars="0"/>
        <w:jc w:val="center"/>
        <w:rPr>
          <w:rFonts w:ascii="Times New Roman" w:hAnsi="Times New Roman" w:cs="Times New Roman" w:eastAsiaTheme="minorEastAsia"/>
          <w:color w:val="auto"/>
        </w:rPr>
      </w:pPr>
      <w:r>
        <w:rPr>
          <w:rFonts w:ascii="Times New Roman" w:hAnsi="Times New Roman" w:cs="Times New Roman" w:eastAsiaTheme="minorEastAsia"/>
          <w:color w:val="auto"/>
        </w:rPr>
        <w:t>表1　专家表决表</w:t>
      </w:r>
    </w:p>
    <w:tbl>
      <w:tblPr>
        <w:tblStyle w:val="10"/>
        <w:tblW w:w="0" w:type="auto"/>
        <w:jc w:val="center"/>
        <w:tblBorders>
          <w:top w:val="single" w:color="000000" w:sz="6" w:space="0"/>
          <w:left w:val="none" w:color="auto" w:sz="0" w:space="0"/>
          <w:bottom w:val="single" w:color="000000"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9"/>
        <w:gridCol w:w="1495"/>
        <w:gridCol w:w="1495"/>
        <w:gridCol w:w="2297"/>
        <w:gridCol w:w="1495"/>
        <w:gridCol w:w="1496"/>
      </w:tblGrid>
      <w:tr w14:paraId="7BD82BF6">
        <w:tblPrEx>
          <w:tblBorders>
            <w:top w:val="single" w:color="000000" w:sz="6" w:space="0"/>
            <w:left w:val="none" w:color="auto" w:sz="0" w:space="0"/>
            <w:bottom w:val="single" w:color="000000"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1349" w:type="dxa"/>
            <w:vMerge w:val="restart"/>
            <w:tcBorders>
              <w:top w:val="single" w:color="000000" w:sz="6" w:space="0"/>
              <w:left w:val="nil"/>
              <w:bottom w:val="nil"/>
              <w:right w:val="single" w:color="FFFFFF" w:sz="34" w:space="0"/>
            </w:tcBorders>
            <w:tcMar>
              <w:top w:w="23" w:type="dxa"/>
              <w:left w:w="23" w:type="dxa"/>
              <w:bottom w:w="23" w:type="dxa"/>
              <w:right w:w="23" w:type="dxa"/>
            </w:tcMar>
            <w:vAlign w:val="center"/>
          </w:tcPr>
          <w:p w14:paraId="7AFB3467">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项目</w:t>
            </w:r>
            <w:bookmarkStart w:id="4" w:name="FX_TBL_ID8000360C"/>
            <w:bookmarkEnd w:id="4"/>
          </w:p>
        </w:tc>
        <w:tc>
          <w:tcPr>
            <w:tcW w:w="8278" w:type="dxa"/>
            <w:gridSpan w:val="5"/>
            <w:tcBorders>
              <w:top w:val="single" w:color="000000" w:sz="6" w:space="0"/>
              <w:left w:val="single" w:color="FFFFFF" w:sz="34" w:space="0"/>
              <w:bottom w:val="single" w:color="000000" w:sz="2" w:space="0"/>
              <w:right w:val="nil"/>
            </w:tcBorders>
            <w:tcMar>
              <w:top w:w="23" w:type="dxa"/>
              <w:left w:w="23" w:type="dxa"/>
              <w:bottom w:w="23" w:type="dxa"/>
              <w:right w:w="23" w:type="dxa"/>
            </w:tcMar>
            <w:vAlign w:val="center"/>
          </w:tcPr>
          <w:p w14:paraId="12164816">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推荐等级</w:t>
            </w:r>
            <w:r>
              <w:rPr>
                <w:rFonts w:hint="eastAsia" w:ascii="Times New Roman" w:hAnsi="Times New Roman" w:cs="Times New Roman" w:eastAsiaTheme="minorEastAsia"/>
                <w:color w:val="auto"/>
                <w:sz w:val="21"/>
                <w:szCs w:val="21"/>
              </w:rPr>
              <w:t>得分</w:t>
            </w:r>
            <w:r>
              <w:rPr>
                <w:rFonts w:ascii="Times New Roman" w:hAnsi="Times New Roman" w:cs="Times New Roman" w:eastAsiaTheme="minorEastAsia"/>
                <w:color w:val="auto"/>
                <w:sz w:val="21"/>
                <w:szCs w:val="21"/>
              </w:rPr>
              <w:t>（分）</w:t>
            </w:r>
          </w:p>
        </w:tc>
      </w:tr>
      <w:tr w14:paraId="53527F73">
        <w:tblPrEx>
          <w:tblBorders>
            <w:top w:val="single" w:color="000000" w:sz="6" w:space="0"/>
            <w:left w:val="none" w:color="auto" w:sz="0" w:space="0"/>
            <w:bottom w:val="single" w:color="000000"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1349" w:type="dxa"/>
            <w:vMerge w:val="continue"/>
            <w:tcBorders>
              <w:top w:val="nil"/>
              <w:left w:val="nil"/>
              <w:bottom w:val="single" w:color="000000" w:sz="2" w:space="0"/>
              <w:right w:val="single" w:color="FFFFFF" w:sz="34" w:space="0"/>
            </w:tcBorders>
            <w:tcMar>
              <w:top w:w="23" w:type="dxa"/>
              <w:left w:w="23" w:type="dxa"/>
              <w:bottom w:w="23" w:type="dxa"/>
              <w:right w:w="23" w:type="dxa"/>
            </w:tcMar>
            <w:vAlign w:val="center"/>
          </w:tcPr>
          <w:p w14:paraId="2F1B7082">
            <w:pPr>
              <w:spacing w:line="360" w:lineRule="auto"/>
              <w:rPr>
                <w:rFonts w:ascii="Times New Roman" w:cs="Times New Roman"/>
                <w:sz w:val="21"/>
                <w:szCs w:val="21"/>
              </w:rPr>
            </w:pPr>
          </w:p>
        </w:tc>
        <w:tc>
          <w:tcPr>
            <w:tcW w:w="1495" w:type="dxa"/>
            <w:tcBorders>
              <w:top w:val="single" w:color="000000" w:sz="2" w:space="0"/>
              <w:left w:val="single" w:color="FFFFFF" w:sz="34" w:space="0"/>
              <w:bottom w:val="single" w:color="000000" w:sz="2" w:space="0"/>
              <w:right w:val="single" w:color="FFFFFF" w:sz="34" w:space="0"/>
            </w:tcBorders>
            <w:tcMar>
              <w:top w:w="23" w:type="dxa"/>
              <w:left w:w="23" w:type="dxa"/>
              <w:bottom w:w="23" w:type="dxa"/>
              <w:right w:w="23" w:type="dxa"/>
            </w:tcMar>
            <w:vAlign w:val="center"/>
          </w:tcPr>
          <w:p w14:paraId="4AB7F3AF">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1</w:t>
            </w:r>
          </w:p>
        </w:tc>
        <w:tc>
          <w:tcPr>
            <w:tcW w:w="1495" w:type="dxa"/>
            <w:tcBorders>
              <w:top w:val="single" w:color="000000" w:sz="2" w:space="0"/>
              <w:left w:val="single" w:color="FFFFFF" w:sz="34" w:space="0"/>
              <w:bottom w:val="single" w:color="000000" w:sz="2" w:space="0"/>
              <w:right w:val="single" w:color="FFFFFF" w:sz="34" w:space="0"/>
            </w:tcBorders>
            <w:tcMar>
              <w:top w:w="23" w:type="dxa"/>
              <w:left w:w="23" w:type="dxa"/>
              <w:bottom w:w="23" w:type="dxa"/>
              <w:right w:w="23" w:type="dxa"/>
            </w:tcMar>
            <w:vAlign w:val="center"/>
          </w:tcPr>
          <w:p w14:paraId="0E0C4CDB">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2</w:t>
            </w:r>
          </w:p>
        </w:tc>
        <w:tc>
          <w:tcPr>
            <w:tcW w:w="2297" w:type="dxa"/>
            <w:tcBorders>
              <w:top w:val="single" w:color="000000" w:sz="2" w:space="0"/>
              <w:left w:val="single" w:color="FFFFFF" w:sz="34" w:space="0"/>
              <w:bottom w:val="single" w:color="000000" w:sz="2" w:space="0"/>
              <w:right w:val="single" w:color="FFFFFF" w:sz="34" w:space="0"/>
            </w:tcBorders>
            <w:tcMar>
              <w:top w:w="23" w:type="dxa"/>
              <w:left w:w="23" w:type="dxa"/>
              <w:bottom w:w="23" w:type="dxa"/>
              <w:right w:w="23" w:type="dxa"/>
            </w:tcMar>
            <w:vAlign w:val="center"/>
          </w:tcPr>
          <w:p w14:paraId="08ED1D97">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0</w:t>
            </w:r>
          </w:p>
        </w:tc>
        <w:tc>
          <w:tcPr>
            <w:tcW w:w="1495" w:type="dxa"/>
            <w:tcBorders>
              <w:top w:val="single" w:color="000000" w:sz="2" w:space="0"/>
              <w:left w:val="single" w:color="FFFFFF" w:sz="34" w:space="0"/>
              <w:bottom w:val="single" w:color="000000" w:sz="2" w:space="0"/>
              <w:right w:val="single" w:color="FFFFFF" w:sz="34" w:space="0"/>
            </w:tcBorders>
            <w:tcMar>
              <w:top w:w="23" w:type="dxa"/>
              <w:left w:w="23" w:type="dxa"/>
              <w:bottom w:w="23" w:type="dxa"/>
              <w:right w:w="23" w:type="dxa"/>
            </w:tcMar>
            <w:vAlign w:val="center"/>
          </w:tcPr>
          <w:p w14:paraId="0B94EDE5">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-1</w:t>
            </w:r>
          </w:p>
        </w:tc>
        <w:tc>
          <w:tcPr>
            <w:tcW w:w="1495" w:type="dxa"/>
            <w:tcBorders>
              <w:top w:val="single" w:color="000000" w:sz="2" w:space="0"/>
              <w:left w:val="single" w:color="FFFFFF" w:sz="34" w:space="0"/>
              <w:bottom w:val="single" w:color="000000" w:sz="2" w:space="0"/>
              <w:right w:val="nil"/>
            </w:tcBorders>
            <w:tcMar>
              <w:top w:w="23" w:type="dxa"/>
              <w:left w:w="23" w:type="dxa"/>
              <w:bottom w:w="23" w:type="dxa"/>
              <w:right w:w="23" w:type="dxa"/>
            </w:tcMar>
            <w:vAlign w:val="center"/>
          </w:tcPr>
          <w:p w14:paraId="6B771AF8">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-2</w:t>
            </w:r>
          </w:p>
        </w:tc>
      </w:tr>
      <w:tr w14:paraId="0C55C947">
        <w:tblPrEx>
          <w:tblBorders>
            <w:top w:val="single" w:color="000000" w:sz="6" w:space="0"/>
            <w:left w:val="none" w:color="auto" w:sz="0" w:space="0"/>
            <w:bottom w:val="single" w:color="000000"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8" w:hRule="atLeast"/>
          <w:jc w:val="center"/>
        </w:trPr>
        <w:tc>
          <w:tcPr>
            <w:tcW w:w="1349" w:type="dxa"/>
            <w:tcBorders>
              <w:top w:val="single" w:color="000000" w:sz="2" w:space="0"/>
              <w:left w:val="nil"/>
              <w:bottom w:val="nil"/>
              <w:right w:val="nil"/>
            </w:tcBorders>
            <w:tcMar>
              <w:top w:w="23" w:type="dxa"/>
              <w:left w:w="23" w:type="dxa"/>
              <w:bottom w:w="23" w:type="dxa"/>
              <w:right w:w="23" w:type="dxa"/>
            </w:tcMar>
            <w:vAlign w:val="center"/>
          </w:tcPr>
          <w:p w14:paraId="1EF03339">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干预措施的</w:t>
            </w:r>
          </w:p>
          <w:p w14:paraId="7FE9E061">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利弊权衡</w:t>
            </w:r>
          </w:p>
        </w:tc>
        <w:tc>
          <w:tcPr>
            <w:tcW w:w="1495" w:type="dxa"/>
            <w:tcBorders>
              <w:top w:val="single" w:color="000000" w:sz="2" w:space="0"/>
              <w:left w:val="nil"/>
              <w:bottom w:val="nil"/>
              <w:right w:val="nil"/>
            </w:tcBorders>
            <w:tcMar>
              <w:top w:w="23" w:type="dxa"/>
              <w:left w:w="23" w:type="dxa"/>
              <w:bottom w:w="23" w:type="dxa"/>
              <w:right w:w="23" w:type="dxa"/>
            </w:tcMar>
            <w:vAlign w:val="center"/>
          </w:tcPr>
          <w:p w14:paraId="4A51DECD">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明显利大于弊</w:t>
            </w:r>
          </w:p>
        </w:tc>
        <w:tc>
          <w:tcPr>
            <w:tcW w:w="1495" w:type="dxa"/>
            <w:tcBorders>
              <w:top w:val="single" w:color="000000" w:sz="2" w:space="0"/>
              <w:left w:val="nil"/>
              <w:bottom w:val="nil"/>
              <w:right w:val="nil"/>
            </w:tcBorders>
            <w:tcMar>
              <w:top w:w="23" w:type="dxa"/>
              <w:left w:w="23" w:type="dxa"/>
              <w:bottom w:w="23" w:type="dxa"/>
              <w:right w:w="23" w:type="dxa"/>
            </w:tcMar>
            <w:vAlign w:val="center"/>
          </w:tcPr>
          <w:p w14:paraId="41DD3829">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可能利大于弊</w:t>
            </w:r>
          </w:p>
        </w:tc>
        <w:tc>
          <w:tcPr>
            <w:tcW w:w="2297" w:type="dxa"/>
            <w:tcBorders>
              <w:top w:val="single" w:color="000000" w:sz="2" w:space="0"/>
              <w:left w:val="nil"/>
              <w:bottom w:val="nil"/>
              <w:right w:val="nil"/>
            </w:tcBorders>
            <w:tcMar>
              <w:top w:w="23" w:type="dxa"/>
              <w:left w:w="23" w:type="dxa"/>
              <w:bottom w:w="23" w:type="dxa"/>
              <w:right w:w="23" w:type="dxa"/>
            </w:tcMar>
            <w:vAlign w:val="center"/>
          </w:tcPr>
          <w:p w14:paraId="5EC066FE">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利弊相当或不确定可能弊</w:t>
            </w:r>
          </w:p>
        </w:tc>
        <w:tc>
          <w:tcPr>
            <w:tcW w:w="1495" w:type="dxa"/>
            <w:tcBorders>
              <w:top w:val="single" w:color="000000" w:sz="2" w:space="0"/>
              <w:left w:val="nil"/>
              <w:bottom w:val="nil"/>
              <w:right w:val="nil"/>
            </w:tcBorders>
            <w:tcMar>
              <w:top w:w="23" w:type="dxa"/>
              <w:left w:w="23" w:type="dxa"/>
              <w:bottom w:w="23" w:type="dxa"/>
              <w:right w:w="23" w:type="dxa"/>
            </w:tcMar>
            <w:vAlign w:val="center"/>
          </w:tcPr>
          <w:p w14:paraId="163BFFE8">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可能弊大于利</w:t>
            </w:r>
          </w:p>
        </w:tc>
        <w:tc>
          <w:tcPr>
            <w:tcW w:w="1495" w:type="dxa"/>
            <w:tcBorders>
              <w:top w:val="single" w:color="000000" w:sz="2" w:space="0"/>
              <w:left w:val="nil"/>
              <w:bottom w:val="nil"/>
              <w:right w:val="nil"/>
            </w:tcBorders>
            <w:tcMar>
              <w:top w:w="23" w:type="dxa"/>
              <w:left w:w="23" w:type="dxa"/>
              <w:bottom w:w="23" w:type="dxa"/>
              <w:right w:w="23" w:type="dxa"/>
            </w:tcMar>
            <w:vAlign w:val="center"/>
          </w:tcPr>
          <w:p w14:paraId="16D534C3">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明显弊大于利</w:t>
            </w:r>
          </w:p>
        </w:tc>
      </w:tr>
      <w:tr w14:paraId="6A01C447">
        <w:tblPrEx>
          <w:tblBorders>
            <w:top w:val="single" w:color="000000" w:sz="6" w:space="0"/>
            <w:left w:val="none" w:color="auto" w:sz="0" w:space="0"/>
            <w:bottom w:val="single" w:color="000000"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1349" w:type="dxa"/>
            <w:tcBorders>
              <w:top w:val="nil"/>
              <w:left w:val="nil"/>
              <w:bottom w:val="single" w:color="000000" w:sz="6" w:space="0"/>
              <w:right w:val="nil"/>
            </w:tcBorders>
            <w:tcMar>
              <w:top w:w="23" w:type="dxa"/>
              <w:left w:w="23" w:type="dxa"/>
              <w:bottom w:w="23" w:type="dxa"/>
              <w:right w:w="23" w:type="dxa"/>
            </w:tcMar>
            <w:vAlign w:val="center"/>
          </w:tcPr>
          <w:p w14:paraId="52175141">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推荐意见</w:t>
            </w:r>
          </w:p>
        </w:tc>
        <w:tc>
          <w:tcPr>
            <w:tcW w:w="1495" w:type="dxa"/>
            <w:tcBorders>
              <w:top w:val="nil"/>
              <w:left w:val="nil"/>
              <w:bottom w:val="single" w:color="000000" w:sz="6" w:space="0"/>
              <w:right w:val="nil"/>
            </w:tcBorders>
            <w:tcMar>
              <w:top w:w="23" w:type="dxa"/>
              <w:left w:w="23" w:type="dxa"/>
              <w:bottom w:w="23" w:type="dxa"/>
              <w:right w:w="23" w:type="dxa"/>
            </w:tcMar>
            <w:vAlign w:val="center"/>
          </w:tcPr>
          <w:p w14:paraId="639507BF">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强推荐</w:t>
            </w:r>
          </w:p>
        </w:tc>
        <w:tc>
          <w:tcPr>
            <w:tcW w:w="1495" w:type="dxa"/>
            <w:tcBorders>
              <w:top w:val="nil"/>
              <w:left w:val="nil"/>
              <w:bottom w:val="single" w:color="000000" w:sz="6" w:space="0"/>
              <w:right w:val="nil"/>
            </w:tcBorders>
            <w:tcMar>
              <w:top w:w="23" w:type="dxa"/>
              <w:left w:w="23" w:type="dxa"/>
              <w:bottom w:w="23" w:type="dxa"/>
              <w:right w:w="23" w:type="dxa"/>
            </w:tcMar>
            <w:vAlign w:val="center"/>
          </w:tcPr>
          <w:p w14:paraId="6757221F">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弱推荐</w:t>
            </w:r>
          </w:p>
        </w:tc>
        <w:tc>
          <w:tcPr>
            <w:tcW w:w="2297" w:type="dxa"/>
            <w:tcBorders>
              <w:top w:val="nil"/>
              <w:left w:val="nil"/>
              <w:bottom w:val="single" w:color="000000" w:sz="6" w:space="0"/>
              <w:right w:val="nil"/>
            </w:tcBorders>
            <w:tcMar>
              <w:top w:w="23" w:type="dxa"/>
              <w:left w:w="23" w:type="dxa"/>
              <w:bottom w:w="23" w:type="dxa"/>
              <w:right w:w="23" w:type="dxa"/>
            </w:tcMar>
            <w:vAlign w:val="center"/>
          </w:tcPr>
          <w:p w14:paraId="14C4E325">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无明确推荐意见</w:t>
            </w:r>
          </w:p>
        </w:tc>
        <w:tc>
          <w:tcPr>
            <w:tcW w:w="1495" w:type="dxa"/>
            <w:tcBorders>
              <w:top w:val="nil"/>
              <w:left w:val="nil"/>
              <w:bottom w:val="single" w:color="000000" w:sz="6" w:space="0"/>
              <w:right w:val="nil"/>
            </w:tcBorders>
            <w:tcMar>
              <w:top w:w="23" w:type="dxa"/>
              <w:left w:w="23" w:type="dxa"/>
              <w:bottom w:w="23" w:type="dxa"/>
              <w:right w:w="23" w:type="dxa"/>
            </w:tcMar>
            <w:vAlign w:val="center"/>
          </w:tcPr>
          <w:p w14:paraId="604ABAC9">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弱不推荐</w:t>
            </w:r>
          </w:p>
        </w:tc>
        <w:tc>
          <w:tcPr>
            <w:tcW w:w="1495" w:type="dxa"/>
            <w:tcBorders>
              <w:top w:val="nil"/>
              <w:left w:val="nil"/>
              <w:bottom w:val="single" w:color="000000" w:sz="6" w:space="0"/>
              <w:right w:val="nil"/>
            </w:tcBorders>
            <w:tcMar>
              <w:top w:w="23" w:type="dxa"/>
              <w:left w:w="23" w:type="dxa"/>
              <w:bottom w:w="23" w:type="dxa"/>
              <w:right w:w="23" w:type="dxa"/>
            </w:tcMar>
            <w:vAlign w:val="center"/>
          </w:tcPr>
          <w:p w14:paraId="2DECA1A3">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强不推荐</w:t>
            </w:r>
          </w:p>
        </w:tc>
      </w:tr>
    </w:tbl>
    <w:p w14:paraId="75AF86AF">
      <w:pPr>
        <w:pStyle w:val="29"/>
        <w:spacing w:line="360" w:lineRule="auto"/>
        <w:ind w:firstLine="422"/>
        <w:rPr>
          <w:rFonts w:ascii="Times New Roman" w:hAnsi="Times New Roman" w:cs="Times New Roman" w:eastAsiaTheme="minorEastAsia"/>
          <w:color w:val="auto"/>
        </w:rPr>
      </w:pPr>
      <w:r>
        <w:rPr>
          <w:rFonts w:hint="eastAsia" w:ascii="Times New Roman" w:hAnsi="Times New Roman" w:cs="Times New Roman" w:eastAsiaTheme="minorEastAsia"/>
          <w:b/>
          <w:color w:val="FF0000"/>
          <w:lang w:val="en-US" w:eastAsia="zh-CN"/>
        </w:rPr>
        <w:t>8</w:t>
      </w:r>
      <w:r>
        <w:rPr>
          <w:rFonts w:hint="eastAsia" w:ascii="Times New Roman" w:hAnsi="Times New Roman" w:cs="Times New Roman" w:eastAsiaTheme="minorEastAsia"/>
          <w:b/>
          <w:color w:val="FF0000"/>
        </w:rPr>
        <w:t>.</w:t>
      </w:r>
      <w:r>
        <w:rPr>
          <w:rFonts w:ascii="Times New Roman" w:hAnsi="Times New Roman" w:cs="Times New Roman" w:eastAsiaTheme="minorEastAsia"/>
          <w:b/>
          <w:color w:val="FF0000"/>
        </w:rPr>
        <w:t>专家函询结果：</w:t>
      </w:r>
      <w:r>
        <w:rPr>
          <w:rFonts w:ascii="Times New Roman" w:hAnsi="Times New Roman" w:cs="Times New Roman" w:eastAsiaTheme="minorEastAsia"/>
          <w:color w:val="auto"/>
        </w:rPr>
        <w:t>2轮函询的专家积极系数是 100.00%（20/20）。函询专家权威系数分别是 0.890、0.911。各条目的重要性得分＞3.50分，变异系数＜0.25。2轮函询的肯德尔和谐系数分别为 0.263、0.247（均</w:t>
      </w:r>
      <w:r>
        <w:rPr>
          <w:rFonts w:ascii="Times New Roman" w:hAnsi="Times New Roman" w:cs="Times New Roman" w:eastAsiaTheme="minorEastAsia"/>
          <w:i/>
          <w:color w:val="auto"/>
        </w:rPr>
        <w:t>P</w:t>
      </w:r>
      <w:r>
        <w:rPr>
          <w:rFonts w:ascii="Times New Roman" w:hAnsi="Times New Roman" w:cs="Times New Roman" w:eastAsiaTheme="minorEastAsia"/>
          <w:color w:val="auto"/>
        </w:rPr>
        <w:t>＜ 0.05），专家对各条目的意见一致</w:t>
      </w:r>
      <w:r>
        <w:rPr>
          <w:rFonts w:ascii="Times New Roman" w:hAnsi="Times New Roman" w:cs="Times New Roman" w:eastAsiaTheme="minorEastAsia"/>
          <w:color w:val="auto"/>
          <w:vertAlign w:val="superscript"/>
        </w:rPr>
        <w:t>[16]</w:t>
      </w:r>
      <w:r>
        <w:rPr>
          <w:rFonts w:ascii="Times New Roman" w:hAnsi="Times New Roman" w:cs="Times New Roman" w:eastAsiaTheme="minorEastAsia"/>
          <w:color w:val="auto"/>
        </w:rPr>
        <w:t>。专家修改意见见表2。</w:t>
      </w:r>
    </w:p>
    <w:p w14:paraId="69CECE13">
      <w:pPr>
        <w:pStyle w:val="44"/>
        <w:spacing w:line="360" w:lineRule="auto"/>
        <w:ind w:firstLine="0" w:firstLineChars="0"/>
        <w:jc w:val="center"/>
        <w:rPr>
          <w:rFonts w:ascii="Times New Roman" w:hAnsi="Times New Roman" w:cs="Times New Roman" w:eastAsiaTheme="minorEastAsia"/>
          <w:color w:val="auto"/>
        </w:rPr>
      </w:pPr>
      <w:r>
        <w:rPr>
          <w:rFonts w:ascii="Times New Roman" w:hAnsi="Times New Roman" w:cs="Times New Roman" w:eastAsiaTheme="minorEastAsia"/>
          <w:color w:val="auto"/>
        </w:rPr>
        <w:t>表2　2轮专家函询意见汇总</w:t>
      </w:r>
    </w:p>
    <w:tbl>
      <w:tblPr>
        <w:tblStyle w:val="1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93"/>
        <w:gridCol w:w="4687"/>
        <w:gridCol w:w="3746"/>
      </w:tblGrid>
      <w:tr w14:paraId="646009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1193" w:type="dxa"/>
            <w:tcMar>
              <w:top w:w="23" w:type="dxa"/>
              <w:left w:w="23" w:type="dxa"/>
              <w:bottom w:w="23" w:type="dxa"/>
              <w:right w:w="23" w:type="dxa"/>
            </w:tcMar>
            <w:vAlign w:val="center"/>
          </w:tcPr>
          <w:p w14:paraId="3DC49B53">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项目</w:t>
            </w:r>
            <w:bookmarkStart w:id="5" w:name="FX_TBL_ID80003AF7"/>
            <w:bookmarkEnd w:id="5"/>
          </w:p>
        </w:tc>
        <w:tc>
          <w:tcPr>
            <w:tcW w:w="4687" w:type="dxa"/>
            <w:tcMar>
              <w:top w:w="23" w:type="dxa"/>
              <w:left w:w="23" w:type="dxa"/>
              <w:bottom w:w="23" w:type="dxa"/>
              <w:right w:w="23" w:type="dxa"/>
            </w:tcMar>
            <w:vAlign w:val="center"/>
          </w:tcPr>
          <w:p w14:paraId="3A8792A0">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第1轮</w:t>
            </w:r>
          </w:p>
        </w:tc>
        <w:tc>
          <w:tcPr>
            <w:tcW w:w="3746" w:type="dxa"/>
            <w:tcMar>
              <w:top w:w="23" w:type="dxa"/>
              <w:left w:w="23" w:type="dxa"/>
              <w:bottom w:w="23" w:type="dxa"/>
              <w:right w:w="23" w:type="dxa"/>
            </w:tcMar>
            <w:vAlign w:val="center"/>
          </w:tcPr>
          <w:p w14:paraId="7E10C4EF">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第2轮</w:t>
            </w:r>
          </w:p>
        </w:tc>
      </w:tr>
      <w:tr w14:paraId="15718B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63" w:hRule="atLeast"/>
          <w:jc w:val="center"/>
        </w:trPr>
        <w:tc>
          <w:tcPr>
            <w:tcW w:w="1193" w:type="dxa"/>
            <w:tcMar>
              <w:top w:w="23" w:type="dxa"/>
              <w:left w:w="23" w:type="dxa"/>
              <w:bottom w:w="23" w:type="dxa"/>
              <w:right w:w="23" w:type="dxa"/>
            </w:tcMar>
            <w:vAlign w:val="center"/>
          </w:tcPr>
          <w:p w14:paraId="535D0753">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适用范围</w:t>
            </w:r>
          </w:p>
        </w:tc>
        <w:tc>
          <w:tcPr>
            <w:tcW w:w="4687" w:type="dxa"/>
            <w:tcMar>
              <w:top w:w="23" w:type="dxa"/>
              <w:left w:w="23" w:type="dxa"/>
              <w:bottom w:w="23" w:type="dxa"/>
              <w:right w:w="23" w:type="dxa"/>
            </w:tcMar>
            <w:vAlign w:val="center"/>
          </w:tcPr>
          <w:p w14:paraId="32EEE5B4">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适用范围应该仅限于</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互联网+</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护理居家服务场景，不包含医疗机构、养老院等场所。</w:t>
            </w:r>
          </w:p>
        </w:tc>
        <w:tc>
          <w:tcPr>
            <w:tcW w:w="3746" w:type="dxa"/>
            <w:tcMar>
              <w:top w:w="23" w:type="dxa"/>
              <w:left w:w="23" w:type="dxa"/>
              <w:bottom w:w="23" w:type="dxa"/>
              <w:right w:w="23" w:type="dxa"/>
            </w:tcMar>
            <w:vAlign w:val="center"/>
          </w:tcPr>
          <w:p w14:paraId="11EEE91C">
            <w:pPr>
              <w:pStyle w:val="46"/>
              <w:spacing w:line="360" w:lineRule="auto"/>
              <w:jc w:val="both"/>
              <w:rPr>
                <w:rFonts w:ascii="Times New Roman" w:hAnsi="Times New Roman" w:cs="Times New Roman" w:eastAsiaTheme="minorEastAsia"/>
                <w:color w:val="auto"/>
                <w:sz w:val="21"/>
                <w:szCs w:val="21"/>
              </w:rPr>
            </w:pP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互联网+</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护理已由</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局部试点</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向</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全国开展</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过渡，因此可增加这句话：在国内持续推广</w:t>
            </w:r>
            <w:r>
              <w:rPr>
                <w:rFonts w:hint="eastAsia" w:ascii="Times New Roman" w:hAnsi="Times New Roman" w:cs="Times New Roman" w:eastAsiaTheme="minorEastAsia"/>
                <w:color w:val="auto"/>
                <w:sz w:val="21"/>
                <w:szCs w:val="21"/>
                <w:lang w:eastAsia="zh-CN"/>
              </w:rPr>
              <w:t>“</w:t>
            </w:r>
            <w:r>
              <w:rPr>
                <w:rFonts w:ascii="Times New Roman" w:hAnsi="Times New Roman" w:cs="Times New Roman" w:eastAsiaTheme="minorEastAsia"/>
                <w:color w:val="auto"/>
                <w:sz w:val="21"/>
                <w:szCs w:val="21"/>
              </w:rPr>
              <w:t>互联网+</w:t>
            </w:r>
            <w:r>
              <w:rPr>
                <w:rFonts w:hint="eastAsia" w:ascii="Times New Roman" w:hAnsi="Times New Roman" w:cs="Times New Roman" w:eastAsiaTheme="minorEastAsia"/>
                <w:color w:val="auto"/>
                <w:sz w:val="21"/>
                <w:szCs w:val="21"/>
                <w:lang w:eastAsia="zh-CN"/>
              </w:rPr>
              <w:t>”</w:t>
            </w:r>
            <w:r>
              <w:rPr>
                <w:rFonts w:ascii="Times New Roman" w:hAnsi="Times New Roman" w:cs="Times New Roman" w:eastAsiaTheme="minorEastAsia"/>
                <w:color w:val="auto"/>
                <w:sz w:val="21"/>
                <w:szCs w:val="21"/>
              </w:rPr>
              <w:t>护理服务背景下。</w:t>
            </w:r>
          </w:p>
        </w:tc>
      </w:tr>
      <w:tr w14:paraId="793D97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63" w:hRule="atLeast"/>
          <w:jc w:val="center"/>
        </w:trPr>
        <w:tc>
          <w:tcPr>
            <w:tcW w:w="1193" w:type="dxa"/>
            <w:tcMar>
              <w:top w:w="23" w:type="dxa"/>
              <w:left w:w="23" w:type="dxa"/>
              <w:bottom w:w="23" w:type="dxa"/>
              <w:right w:w="23" w:type="dxa"/>
            </w:tcMar>
            <w:vAlign w:val="center"/>
          </w:tcPr>
          <w:p w14:paraId="4011B1C7">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主体资质</w:t>
            </w:r>
          </w:p>
        </w:tc>
        <w:tc>
          <w:tcPr>
            <w:tcW w:w="4687" w:type="dxa"/>
            <w:tcMar>
              <w:top w:w="23" w:type="dxa"/>
              <w:left w:w="23" w:type="dxa"/>
              <w:bottom w:w="23" w:type="dxa"/>
              <w:right w:w="23" w:type="dxa"/>
            </w:tcMar>
            <w:vAlign w:val="center"/>
          </w:tcPr>
          <w:p w14:paraId="01DDFF5B">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建议严格按照国家有关规范明确医疗机构、</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互联网+</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护理服务平台和服务者资质。</w:t>
            </w:r>
          </w:p>
        </w:tc>
        <w:tc>
          <w:tcPr>
            <w:tcW w:w="3746" w:type="dxa"/>
            <w:tcMar>
              <w:top w:w="23" w:type="dxa"/>
              <w:left w:w="23" w:type="dxa"/>
              <w:bottom w:w="23" w:type="dxa"/>
              <w:right w:w="23" w:type="dxa"/>
            </w:tcMar>
            <w:vAlign w:val="center"/>
          </w:tcPr>
          <w:p w14:paraId="3C99F44A">
            <w:pPr>
              <w:pStyle w:val="46"/>
              <w:spacing w:line="360" w:lineRule="auto"/>
              <w:jc w:val="both"/>
              <w:rPr>
                <w:rFonts w:ascii="Times New Roman" w:hAnsi="Times New Roman" w:cs="Times New Roman" w:eastAsiaTheme="minorEastAsia"/>
                <w:color w:val="auto"/>
                <w:sz w:val="21"/>
                <w:szCs w:val="21"/>
              </w:rPr>
            </w:pPr>
            <w:r>
              <w:rPr>
                <w:rFonts w:hint="eastAsia" w:ascii="Cambria Math" w:hAnsi="Cambria Math" w:cs="Cambria Math" w:eastAsiaTheme="minorEastAsia"/>
                <w:color w:val="auto"/>
                <w:sz w:val="21"/>
                <w:szCs w:val="21"/>
                <w:lang w:val="en-US" w:eastAsia="zh-CN"/>
              </w:rPr>
              <w:t>①</w:t>
            </w:r>
            <w:r>
              <w:rPr>
                <w:rFonts w:ascii="Times New Roman" w:hAnsi="Times New Roman" w:cs="Times New Roman" w:eastAsiaTheme="minorEastAsia"/>
                <w:color w:val="auto"/>
                <w:sz w:val="21"/>
                <w:szCs w:val="21"/>
              </w:rPr>
              <w:t>建议精简，删除和适用范围无关的内容。</w:t>
            </w:r>
            <w:r>
              <w:rPr>
                <w:rFonts w:hint="eastAsia" w:ascii="Cambria Math" w:hAnsi="Cambria Math" w:cs="Cambria Math" w:eastAsiaTheme="minorEastAsia"/>
                <w:color w:val="auto"/>
                <w:sz w:val="21"/>
                <w:szCs w:val="21"/>
                <w:lang w:val="en-US" w:eastAsia="zh-CN"/>
              </w:rPr>
              <w:t>②</w:t>
            </w:r>
            <w:r>
              <w:rPr>
                <w:rFonts w:ascii="Times New Roman" w:hAnsi="Times New Roman" w:cs="Times New Roman" w:eastAsiaTheme="minorEastAsia"/>
                <w:color w:val="auto"/>
                <w:sz w:val="21"/>
                <w:szCs w:val="21"/>
              </w:rPr>
              <w:t>由于各地政策标准不同，伤口专科护士资质认定需符合当地相关部门的要求。</w:t>
            </w:r>
          </w:p>
        </w:tc>
      </w:tr>
      <w:tr w14:paraId="74614B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78" w:hRule="atLeast"/>
          <w:jc w:val="center"/>
        </w:trPr>
        <w:tc>
          <w:tcPr>
            <w:tcW w:w="1193" w:type="dxa"/>
            <w:tcMar>
              <w:top w:w="23" w:type="dxa"/>
              <w:left w:w="23" w:type="dxa"/>
              <w:bottom w:w="23" w:type="dxa"/>
              <w:right w:w="23" w:type="dxa"/>
            </w:tcMar>
            <w:vAlign w:val="center"/>
          </w:tcPr>
          <w:p w14:paraId="4AE9C119">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服务模式</w:t>
            </w:r>
          </w:p>
        </w:tc>
        <w:tc>
          <w:tcPr>
            <w:tcW w:w="4687" w:type="dxa"/>
            <w:tcMar>
              <w:top w:w="23" w:type="dxa"/>
              <w:left w:w="23" w:type="dxa"/>
              <w:bottom w:w="23" w:type="dxa"/>
              <w:right w:w="23" w:type="dxa"/>
            </w:tcMar>
            <w:vAlign w:val="center"/>
          </w:tcPr>
          <w:p w14:paraId="04A1AD88">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建议参考国家相关规范及各省市的相关文件，进行梳理总结。</w:t>
            </w:r>
          </w:p>
        </w:tc>
        <w:tc>
          <w:tcPr>
            <w:tcW w:w="3746" w:type="dxa"/>
            <w:tcMar>
              <w:top w:w="23" w:type="dxa"/>
              <w:left w:w="23" w:type="dxa"/>
              <w:bottom w:w="23" w:type="dxa"/>
              <w:right w:w="23" w:type="dxa"/>
            </w:tcMar>
            <w:vAlign w:val="center"/>
          </w:tcPr>
          <w:p w14:paraId="498AFEE4">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这里提出的服务模式只是参考建议，各地的可行性条件不一样，应该用</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宜</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字。</w:t>
            </w:r>
          </w:p>
        </w:tc>
      </w:tr>
      <w:tr w14:paraId="3DF57A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78" w:hRule="atLeast"/>
          <w:jc w:val="center"/>
        </w:trPr>
        <w:tc>
          <w:tcPr>
            <w:tcW w:w="1193" w:type="dxa"/>
            <w:tcMar>
              <w:top w:w="23" w:type="dxa"/>
              <w:left w:w="23" w:type="dxa"/>
              <w:bottom w:w="23" w:type="dxa"/>
              <w:right w:w="23" w:type="dxa"/>
            </w:tcMar>
            <w:vAlign w:val="center"/>
          </w:tcPr>
          <w:p w14:paraId="53971280">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服务流程</w:t>
            </w:r>
          </w:p>
        </w:tc>
        <w:tc>
          <w:tcPr>
            <w:tcW w:w="4687" w:type="dxa"/>
            <w:tcMar>
              <w:top w:w="23" w:type="dxa"/>
              <w:left w:w="23" w:type="dxa"/>
              <w:bottom w:w="23" w:type="dxa"/>
              <w:right w:w="23" w:type="dxa"/>
            </w:tcMar>
            <w:vAlign w:val="center"/>
          </w:tcPr>
          <w:p w14:paraId="65AD8F0A">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建议参考国家相关规范及各省市的相关文件，进行梳理总结。</w:t>
            </w:r>
          </w:p>
        </w:tc>
        <w:tc>
          <w:tcPr>
            <w:tcW w:w="3746" w:type="dxa"/>
            <w:tcMar>
              <w:top w:w="23" w:type="dxa"/>
              <w:left w:w="23" w:type="dxa"/>
              <w:bottom w:w="23" w:type="dxa"/>
              <w:right w:w="23" w:type="dxa"/>
            </w:tcMar>
            <w:vAlign w:val="center"/>
          </w:tcPr>
          <w:p w14:paraId="4E556AF8">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这里提出的服务流程只是参考建议，各地的可行性条件不一样，应该用</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宜</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字。</w:t>
            </w:r>
          </w:p>
        </w:tc>
      </w:tr>
      <w:tr w14:paraId="752A0E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718" w:hRule="atLeast"/>
          <w:jc w:val="center"/>
        </w:trPr>
        <w:tc>
          <w:tcPr>
            <w:tcW w:w="1193" w:type="dxa"/>
            <w:tcMar>
              <w:top w:w="23" w:type="dxa"/>
              <w:left w:w="23" w:type="dxa"/>
              <w:bottom w:w="23" w:type="dxa"/>
              <w:right w:w="23" w:type="dxa"/>
            </w:tcMar>
            <w:vAlign w:val="center"/>
          </w:tcPr>
          <w:p w14:paraId="0D7C4662">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服务内容</w:t>
            </w:r>
          </w:p>
        </w:tc>
        <w:tc>
          <w:tcPr>
            <w:tcW w:w="4687" w:type="dxa"/>
            <w:tcMar>
              <w:top w:w="23" w:type="dxa"/>
              <w:left w:w="23" w:type="dxa"/>
              <w:bottom w:w="23" w:type="dxa"/>
              <w:right w:w="23" w:type="dxa"/>
            </w:tcMar>
            <w:vAlign w:val="center"/>
          </w:tcPr>
          <w:p w14:paraId="73A4C47D">
            <w:pPr>
              <w:pStyle w:val="46"/>
              <w:spacing w:line="360" w:lineRule="auto"/>
              <w:jc w:val="left"/>
              <w:rPr>
                <w:rFonts w:ascii="Times New Roman" w:hAnsi="Times New Roman" w:cs="Times New Roman" w:eastAsiaTheme="minorEastAsia"/>
                <w:color w:val="auto"/>
                <w:sz w:val="21"/>
                <w:szCs w:val="21"/>
              </w:rPr>
            </w:pPr>
            <w:r>
              <w:rPr>
                <w:rFonts w:hint="eastAsia" w:ascii="Times New Roman" w:hAnsi="Times New Roman" w:cs="Times New Roman" w:eastAsiaTheme="minorEastAsia"/>
                <w:color w:val="auto"/>
                <w:sz w:val="21"/>
                <w:szCs w:val="21"/>
                <w:lang w:val="en-US" w:eastAsia="zh-CN"/>
              </w:rPr>
              <w:t>①</w:t>
            </w:r>
            <w:r>
              <w:rPr>
                <w:rFonts w:ascii="Times New Roman" w:hAnsi="Times New Roman" w:cs="Times New Roman" w:eastAsiaTheme="minorEastAsia"/>
                <w:color w:val="auto"/>
                <w:sz w:val="21"/>
                <w:szCs w:val="21"/>
              </w:rPr>
              <w:t>将综合评估分为患者整体评估、局部评估、照顾者及社会支持评估。</w:t>
            </w:r>
          </w:p>
          <w:p w14:paraId="1312D3AB">
            <w:pPr>
              <w:pStyle w:val="46"/>
              <w:spacing w:line="360" w:lineRule="auto"/>
              <w:jc w:val="left"/>
              <w:rPr>
                <w:rFonts w:ascii="Times New Roman" w:hAnsi="Times New Roman" w:cs="Times New Roman" w:eastAsiaTheme="minorEastAsia"/>
                <w:color w:val="auto"/>
                <w:sz w:val="21"/>
                <w:szCs w:val="21"/>
              </w:rPr>
            </w:pPr>
            <w:r>
              <w:rPr>
                <w:rFonts w:hint="eastAsia" w:ascii="Cambria Math" w:hAnsi="Cambria Math" w:cs="Cambria Math" w:eastAsiaTheme="minorEastAsia"/>
                <w:color w:val="auto"/>
                <w:sz w:val="21"/>
                <w:szCs w:val="21"/>
                <w:lang w:val="en-US" w:eastAsia="zh-CN"/>
              </w:rPr>
              <w:t>②</w:t>
            </w:r>
            <w:r>
              <w:rPr>
                <w:rFonts w:ascii="Times New Roman" w:hAnsi="Times New Roman" w:cs="Times New Roman" w:eastAsiaTheme="minorEastAsia"/>
                <w:color w:val="auto"/>
                <w:sz w:val="21"/>
                <w:szCs w:val="21"/>
              </w:rPr>
              <w:t>因为该共识的适用对象是伤口专科护士，这里不需要详细描述伤口换药的常规操作步骤，而需要重点突出专科性的护理措施。</w:t>
            </w:r>
            <w:r>
              <w:rPr>
                <w:rFonts w:hint="eastAsia" w:ascii="Cambria Math" w:hAnsi="Cambria Math" w:cs="Cambria Math" w:eastAsiaTheme="minorEastAsia"/>
                <w:color w:val="auto"/>
                <w:sz w:val="21"/>
                <w:szCs w:val="21"/>
                <w:lang w:val="en-US" w:eastAsia="zh-CN"/>
              </w:rPr>
              <w:t>③</w:t>
            </w:r>
            <w:r>
              <w:rPr>
                <w:rFonts w:ascii="Times New Roman" w:hAnsi="Times New Roman" w:cs="Times New Roman" w:eastAsiaTheme="minorEastAsia"/>
                <w:color w:val="auto"/>
                <w:sz w:val="21"/>
                <w:szCs w:val="21"/>
              </w:rPr>
              <w:t>健康教育对象应该同时包括患者和照顾者。</w:t>
            </w:r>
            <w:r>
              <w:rPr>
                <w:rFonts w:hint="eastAsia" w:ascii="Cambria Math" w:hAnsi="Cambria Math" w:cs="Cambria Math" w:eastAsiaTheme="minorEastAsia"/>
                <w:color w:val="auto"/>
                <w:sz w:val="21"/>
                <w:szCs w:val="21"/>
                <w:lang w:val="en-US" w:eastAsia="zh-CN"/>
              </w:rPr>
              <w:t>④</w:t>
            </w:r>
            <w:r>
              <w:rPr>
                <w:rFonts w:ascii="Times New Roman" w:hAnsi="Times New Roman" w:cs="Times New Roman" w:eastAsiaTheme="minorEastAsia"/>
                <w:color w:val="auto"/>
                <w:sz w:val="21"/>
                <w:szCs w:val="21"/>
              </w:rPr>
              <w:t>补充医疗垃圾处置步骤。</w:t>
            </w:r>
          </w:p>
        </w:tc>
        <w:tc>
          <w:tcPr>
            <w:tcW w:w="3746" w:type="dxa"/>
            <w:tcMar>
              <w:top w:w="23" w:type="dxa"/>
              <w:left w:w="23" w:type="dxa"/>
              <w:bottom w:w="23" w:type="dxa"/>
              <w:right w:w="23" w:type="dxa"/>
            </w:tcMar>
            <w:vAlign w:val="center"/>
          </w:tcPr>
          <w:p w14:paraId="544EFC18">
            <w:pPr>
              <w:pStyle w:val="46"/>
              <w:spacing w:line="360" w:lineRule="auto"/>
              <w:jc w:val="both"/>
              <w:rPr>
                <w:rFonts w:ascii="Times New Roman" w:hAnsi="Times New Roman" w:cs="Times New Roman" w:eastAsiaTheme="minorEastAsia"/>
                <w:color w:val="auto"/>
                <w:sz w:val="21"/>
                <w:szCs w:val="21"/>
              </w:rPr>
            </w:pPr>
            <w:r>
              <w:rPr>
                <w:rFonts w:hint="eastAsia" w:ascii="Times New Roman" w:hAnsi="Times New Roman" w:cs="Times New Roman" w:eastAsiaTheme="minorEastAsia"/>
                <w:color w:val="auto"/>
                <w:sz w:val="21"/>
                <w:szCs w:val="21"/>
                <w:lang w:val="en-US" w:eastAsia="zh-CN"/>
              </w:rPr>
              <w:t>①</w:t>
            </w:r>
            <w:r>
              <w:rPr>
                <w:rFonts w:ascii="Times New Roman" w:hAnsi="Times New Roman" w:cs="Times New Roman" w:eastAsiaTheme="minorEastAsia"/>
                <w:color w:val="auto"/>
                <w:sz w:val="21"/>
                <w:szCs w:val="21"/>
              </w:rPr>
              <w:t>教育指导内容应该包括老年共病照护指导。</w:t>
            </w:r>
            <w:r>
              <w:rPr>
                <w:rFonts w:hint="eastAsia" w:ascii="Cambria Math" w:hAnsi="Cambria Math" w:cs="Cambria Math" w:eastAsiaTheme="minorEastAsia"/>
                <w:color w:val="auto"/>
                <w:sz w:val="21"/>
                <w:szCs w:val="21"/>
                <w:lang w:val="en-US" w:eastAsia="zh-CN"/>
              </w:rPr>
              <w:t>②</w:t>
            </w:r>
            <w:r>
              <w:rPr>
                <w:rFonts w:ascii="Times New Roman" w:hAnsi="Times New Roman" w:cs="Times New Roman" w:eastAsiaTheme="minorEastAsia"/>
                <w:color w:val="auto"/>
                <w:sz w:val="21"/>
                <w:szCs w:val="21"/>
              </w:rPr>
              <w:t>健康教育应包括压力性损伤高危部位的防护指导。</w:t>
            </w:r>
            <w:r>
              <w:rPr>
                <w:rFonts w:hint="eastAsia" w:ascii="Cambria Math" w:hAnsi="Cambria Math" w:cs="Cambria Math" w:eastAsiaTheme="minorEastAsia"/>
                <w:color w:val="auto"/>
                <w:sz w:val="21"/>
                <w:szCs w:val="21"/>
                <w:lang w:val="en-US" w:eastAsia="zh-CN"/>
              </w:rPr>
              <w:t>③</w:t>
            </w:r>
            <w:r>
              <w:rPr>
                <w:rFonts w:ascii="Times New Roman" w:hAnsi="Times New Roman" w:cs="Times New Roman" w:eastAsiaTheme="minorEastAsia"/>
                <w:color w:val="auto"/>
                <w:sz w:val="21"/>
                <w:szCs w:val="21"/>
              </w:rPr>
              <w:t>只需列出临床常用、指南推荐的压力性损伤愈合评估工具。</w:t>
            </w:r>
          </w:p>
        </w:tc>
      </w:tr>
      <w:tr w14:paraId="2DC3F4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78" w:hRule="atLeast"/>
          <w:jc w:val="center"/>
        </w:trPr>
        <w:tc>
          <w:tcPr>
            <w:tcW w:w="1193" w:type="dxa"/>
            <w:tcMar>
              <w:top w:w="23" w:type="dxa"/>
              <w:left w:w="23" w:type="dxa"/>
              <w:bottom w:w="23" w:type="dxa"/>
              <w:right w:w="23" w:type="dxa"/>
            </w:tcMar>
            <w:vAlign w:val="center"/>
          </w:tcPr>
          <w:p w14:paraId="698189D0">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服务效果评价</w:t>
            </w:r>
          </w:p>
        </w:tc>
        <w:tc>
          <w:tcPr>
            <w:tcW w:w="4687" w:type="dxa"/>
            <w:tcMar>
              <w:top w:w="23" w:type="dxa"/>
              <w:left w:w="23" w:type="dxa"/>
              <w:bottom w:w="23" w:type="dxa"/>
              <w:right w:w="23" w:type="dxa"/>
            </w:tcMar>
            <w:vAlign w:val="center"/>
          </w:tcPr>
          <w:p w14:paraId="2990ECB8">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服务效果评价可以分为从服务者和服务对象对服务效果的评价。</w:t>
            </w:r>
          </w:p>
        </w:tc>
        <w:tc>
          <w:tcPr>
            <w:tcW w:w="3746" w:type="dxa"/>
            <w:tcMar>
              <w:top w:w="23" w:type="dxa"/>
              <w:left w:w="23" w:type="dxa"/>
              <w:bottom w:w="23" w:type="dxa"/>
              <w:right w:w="23" w:type="dxa"/>
            </w:tcMar>
            <w:vAlign w:val="center"/>
          </w:tcPr>
          <w:p w14:paraId="37D627DC">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由于各地管理标准不同，效果评价指标用</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宜</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进行推荐。</w:t>
            </w:r>
          </w:p>
        </w:tc>
      </w:tr>
    </w:tbl>
    <w:p w14:paraId="518E247A">
      <w:pPr>
        <w:pStyle w:val="29"/>
        <w:spacing w:line="360" w:lineRule="auto"/>
        <w:ind w:firstLine="422"/>
        <w:rPr>
          <w:rFonts w:ascii="Times New Roman" w:hAnsi="Times New Roman" w:cs="Times New Roman" w:eastAsiaTheme="minorEastAsia"/>
          <w:color w:val="auto"/>
        </w:rPr>
      </w:pPr>
      <w:r>
        <w:rPr>
          <w:rFonts w:hint="eastAsia" w:ascii="Times New Roman" w:hAnsi="Times New Roman" w:cs="Times New Roman" w:eastAsiaTheme="minorEastAsia"/>
          <w:b/>
          <w:bCs/>
          <w:color w:val="FF0000"/>
          <w:lang w:val="en-US" w:eastAsia="zh-CN"/>
        </w:rPr>
        <w:t>9</w:t>
      </w:r>
      <w:r>
        <w:rPr>
          <w:rFonts w:ascii="Times New Roman" w:hAnsi="Times New Roman" w:cs="Times New Roman" w:eastAsiaTheme="minorEastAsia"/>
          <w:b/>
          <w:bCs/>
          <w:color w:val="FF0000"/>
        </w:rPr>
        <w:t>.</w:t>
      </w:r>
      <w:r>
        <w:rPr>
          <w:rFonts w:ascii="Times New Roman" w:hAnsi="Times New Roman" w:cs="Times New Roman" w:eastAsiaTheme="minorEastAsia"/>
          <w:b/>
          <w:color w:val="FF0000"/>
        </w:rPr>
        <w:t>专家论证会结果：</w:t>
      </w:r>
      <w:r>
        <w:rPr>
          <w:rFonts w:ascii="Times New Roman" w:hAnsi="Times New Roman" w:cs="Times New Roman" w:eastAsiaTheme="minorEastAsia"/>
          <w:color w:val="auto"/>
        </w:rPr>
        <w:t>编写组邀请20名该领域的医疗及护理专家出席专家论证会。会中，专家们从可行性、适宜性、临床意义和有效性再次审核共识内容，复核每条意见对应的研究证据质量，并且通过专家表决法对每条意见的推荐强度进行投票，经过3轮会议最终达成共识，形成43条推荐意见，其中A级推荐35条，B级推荐8条。</w:t>
      </w:r>
    </w:p>
    <w:p w14:paraId="551A4CC9">
      <w:pPr>
        <w:pStyle w:val="38"/>
        <w:spacing w:line="360" w:lineRule="auto"/>
        <w:rPr>
          <w:rFonts w:ascii="Times New Roman" w:hAnsi="Times New Roman" w:cs="Times New Roman" w:eastAsiaTheme="minorEastAsia"/>
          <w:b/>
          <w:bCs/>
          <w:color w:val="auto"/>
          <w:sz w:val="21"/>
          <w:szCs w:val="21"/>
        </w:rPr>
      </w:pPr>
      <w:r>
        <w:rPr>
          <w:rFonts w:hint="eastAsia" w:ascii="Times New Roman" w:hAnsi="Times New Roman" w:cs="Times New Roman" w:eastAsiaTheme="minorEastAsia"/>
          <w:b/>
          <w:bCs/>
          <w:color w:val="auto"/>
          <w:sz w:val="21"/>
          <w:szCs w:val="21"/>
        </w:rPr>
        <w:t>二</w:t>
      </w:r>
      <w:r>
        <w:rPr>
          <w:rFonts w:ascii="Times New Roman" w:hAnsi="Times New Roman" w:cs="Times New Roman" w:eastAsiaTheme="minorEastAsia"/>
          <w:b/>
          <w:bCs/>
          <w:color w:val="auto"/>
          <w:sz w:val="21"/>
          <w:szCs w:val="21"/>
        </w:rPr>
        <w:t>、《共识》内容</w:t>
      </w:r>
    </w:p>
    <w:p w14:paraId="6D00AD82">
      <w:pPr>
        <w:pStyle w:val="39"/>
        <w:spacing w:line="360" w:lineRule="auto"/>
        <w:rPr>
          <w:rFonts w:ascii="Times New Roman" w:hAnsi="Times New Roman" w:cs="Times New Roman" w:eastAsiaTheme="minorEastAsia"/>
          <w:b/>
          <w:bCs/>
          <w:color w:val="auto"/>
        </w:rPr>
      </w:pPr>
      <w:r>
        <w:rPr>
          <w:rFonts w:ascii="Times New Roman" w:hAnsi="Times New Roman" w:cs="Times New Roman" w:eastAsiaTheme="minorEastAsia"/>
          <w:b/>
          <w:bCs/>
          <w:color w:val="auto"/>
        </w:rPr>
        <w:t>（一）适用范围</w:t>
      </w:r>
    </w:p>
    <w:p w14:paraId="4E0D430C">
      <w:pPr>
        <w:pStyle w:val="29"/>
        <w:spacing w:line="360" w:lineRule="auto"/>
        <w:ind w:firstLine="420"/>
        <w:rPr>
          <w:rFonts w:ascii="Times New Roman" w:hAnsi="Times New Roman" w:cs="Times New Roman" w:eastAsiaTheme="minorEastAsia"/>
          <w:color w:val="auto"/>
        </w:rPr>
      </w:pPr>
      <w:r>
        <w:rPr>
          <w:rFonts w:ascii="Times New Roman" w:hAnsi="Times New Roman" w:cs="Times New Roman" w:eastAsiaTheme="minorEastAsia"/>
          <w:color w:val="auto"/>
        </w:rPr>
        <w:t>在国内持续推广</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护理服务的背景下，本共识适用于指导医疗机构的伤口专科护士依托</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护理服务平台，为社区居家失能老人提供压力性损伤护理服务</w:t>
      </w:r>
      <w:r>
        <w:rPr>
          <w:rFonts w:ascii="Times New Roman" w:hAnsi="Times New Roman" w:cs="Times New Roman" w:eastAsiaTheme="minorEastAsia"/>
          <w:color w:val="auto"/>
          <w:vertAlign w:val="superscript"/>
        </w:rPr>
        <w:t>[18]</w:t>
      </w:r>
      <w:r>
        <w:rPr>
          <w:rFonts w:ascii="Times New Roman" w:hAnsi="Times New Roman" w:cs="Times New Roman" w:eastAsiaTheme="minorEastAsia"/>
          <w:color w:val="auto"/>
        </w:rPr>
        <w:t>（2级证据，A级推荐）。</w:t>
      </w:r>
    </w:p>
    <w:p w14:paraId="6DD1EFB5">
      <w:pPr>
        <w:pStyle w:val="39"/>
        <w:spacing w:line="360" w:lineRule="auto"/>
        <w:rPr>
          <w:rFonts w:ascii="Times New Roman" w:hAnsi="Times New Roman" w:cs="Times New Roman" w:eastAsiaTheme="minorEastAsia"/>
          <w:b/>
          <w:bCs/>
          <w:color w:val="auto"/>
        </w:rPr>
      </w:pPr>
      <w:r>
        <w:rPr>
          <w:rFonts w:ascii="Times New Roman" w:hAnsi="Times New Roman" w:cs="Times New Roman" w:eastAsiaTheme="minorEastAsia"/>
          <w:b/>
          <w:bCs/>
          <w:color w:val="auto"/>
        </w:rPr>
        <w:t>（二）主体资质</w:t>
      </w:r>
    </w:p>
    <w:p w14:paraId="29E5F67B">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1.实体医疗机构资质：</w:t>
      </w:r>
      <w:r>
        <w:rPr>
          <w:rFonts w:ascii="Times New Roman" w:hAnsi="Times New Roman" w:cs="Times New Roman" w:eastAsiaTheme="minorEastAsia"/>
          <w:color w:val="auto"/>
        </w:rPr>
        <w:t>开展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压力性损伤护理服务的实体医疗机构，需符合国家政策和属地卫生健康管理要求，借助互联网信息技术平台，安排本机构注册的伤口专科护士将护理服务从机构内延伸至社区、家庭。开展服务的医疗机构应建立健全</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护理服务安全管理制度、服务流程管理细则及服务质控考评机制</w:t>
      </w:r>
      <w:r>
        <w:rPr>
          <w:rFonts w:ascii="Times New Roman" w:hAnsi="Times New Roman" w:cs="Times New Roman" w:eastAsiaTheme="minorEastAsia"/>
          <w:color w:val="auto"/>
          <w:vertAlign w:val="superscript"/>
        </w:rPr>
        <w:t>[18-21]</w:t>
      </w:r>
      <w:r>
        <w:rPr>
          <w:rFonts w:ascii="Times New Roman" w:hAnsi="Times New Roman" w:cs="Times New Roman" w:eastAsiaTheme="minorEastAsia"/>
          <w:color w:val="auto"/>
        </w:rPr>
        <w:t>（2级证据，A级推荐）。</w:t>
      </w:r>
    </w:p>
    <w:p w14:paraId="3E72710E">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2.</w:t>
      </w:r>
      <w:r>
        <w:rPr>
          <w:rFonts w:hint="eastAsia" w:ascii="Times New Roman" w:hAnsi="Times New Roman" w:cs="Times New Roman" w:eastAsiaTheme="minorEastAsia"/>
          <w:b/>
          <w:color w:val="FF0000"/>
          <w:lang w:val="en-US" w:eastAsia="zh-CN"/>
        </w:rPr>
        <w:t>“</w:t>
      </w:r>
      <w:r>
        <w:rPr>
          <w:rFonts w:ascii="Times New Roman" w:hAnsi="Times New Roman" w:cs="Times New Roman" w:eastAsiaTheme="minorEastAsia"/>
          <w:b/>
          <w:color w:val="auto"/>
        </w:rPr>
        <w:t>互联网+</w:t>
      </w:r>
      <w:r>
        <w:rPr>
          <w:rFonts w:hint="eastAsia" w:ascii="Times New Roman" w:hAnsi="Times New Roman" w:cs="Times New Roman" w:eastAsiaTheme="minorEastAsia"/>
          <w:b/>
          <w:color w:val="FF0000"/>
          <w:lang w:eastAsia="zh-CN"/>
        </w:rPr>
        <w:t>”</w:t>
      </w:r>
      <w:r>
        <w:rPr>
          <w:rFonts w:ascii="Times New Roman" w:hAnsi="Times New Roman" w:cs="Times New Roman" w:eastAsiaTheme="minorEastAsia"/>
          <w:b/>
          <w:color w:val="auto"/>
        </w:rPr>
        <w:t>护理服务平台资质：</w:t>
      </w:r>
      <w:r>
        <w:rPr>
          <w:rFonts w:ascii="Times New Roman" w:hAnsi="Times New Roman" w:cs="Times New Roman" w:eastAsiaTheme="minorEastAsia"/>
          <w:color w:val="auto"/>
        </w:rPr>
        <w:t>提供</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的医疗机构可自主开发服务平台，或与第三方信息技术平台合作。平台应具备身份认证、资料采集存储、服务者定位追踪、信息安全和隐私保护、可追溯全程留痕、工作量统计、数据分析等基本功能。服务平台可为服务者购买相应的责任险、执业意外保险及人身意外伤害保险</w:t>
      </w:r>
      <w:r>
        <w:rPr>
          <w:rFonts w:ascii="Times New Roman" w:hAnsi="Times New Roman" w:cs="Times New Roman" w:eastAsiaTheme="minorEastAsia"/>
          <w:color w:val="auto"/>
          <w:vertAlign w:val="superscript"/>
        </w:rPr>
        <w:t>[18-20,22-23]</w:t>
      </w:r>
      <w:r>
        <w:rPr>
          <w:rFonts w:ascii="Times New Roman" w:hAnsi="Times New Roman" w:cs="Times New Roman" w:eastAsiaTheme="minorEastAsia"/>
          <w:color w:val="auto"/>
        </w:rPr>
        <w:t>（2级证据，A级推荐）。</w:t>
      </w:r>
    </w:p>
    <w:p w14:paraId="4C7D60D7">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3.服务者资质：</w:t>
      </w:r>
      <w:r>
        <w:rPr>
          <w:rFonts w:ascii="Times New Roman" w:hAnsi="Times New Roman" w:cs="Times New Roman" w:eastAsiaTheme="minorEastAsia"/>
          <w:bCs/>
          <w:color w:val="auto"/>
        </w:rPr>
        <w:t>开展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bCs/>
          <w:color w:val="auto"/>
        </w:rPr>
        <w:t>压力性损伤护理服务的伤口专科护士应具备5年以上护理工</w:t>
      </w:r>
      <w:r>
        <w:rPr>
          <w:rFonts w:ascii="Times New Roman" w:hAnsi="Times New Roman" w:cs="Times New Roman" w:eastAsiaTheme="minorEastAsia"/>
          <w:color w:val="auto"/>
        </w:rPr>
        <w:t xml:space="preserve">作经验和护师以上职称，其伤口专科护理资质应符合当地相关部门要求。开展服务的伤口专科护士应与所属医疗机构及其服务平台规范签约，并于当地相关部门备案，定期接受执业能力评估和资质再认证 </w:t>
      </w:r>
      <w:r>
        <w:rPr>
          <w:rFonts w:ascii="Times New Roman" w:hAnsi="Times New Roman" w:cs="Times New Roman" w:eastAsiaTheme="minorEastAsia"/>
          <w:color w:val="auto"/>
          <w:vertAlign w:val="superscript"/>
        </w:rPr>
        <w:t>[18-20,24]</w:t>
      </w:r>
      <w:r>
        <w:rPr>
          <w:rFonts w:ascii="Times New Roman" w:hAnsi="Times New Roman" w:cs="Times New Roman" w:eastAsiaTheme="minorEastAsia"/>
          <w:color w:val="auto"/>
        </w:rPr>
        <w:t>（2级证据，A级推荐）。</w:t>
      </w:r>
    </w:p>
    <w:p w14:paraId="00F8EFDA">
      <w:pPr>
        <w:pStyle w:val="39"/>
        <w:spacing w:line="360" w:lineRule="auto"/>
        <w:rPr>
          <w:rFonts w:ascii="Times New Roman" w:hAnsi="Times New Roman" w:cs="Times New Roman" w:eastAsiaTheme="minorEastAsia"/>
          <w:b/>
          <w:bCs/>
          <w:color w:val="auto"/>
        </w:rPr>
      </w:pPr>
      <w:r>
        <w:rPr>
          <w:rFonts w:ascii="Times New Roman" w:hAnsi="Times New Roman" w:cs="Times New Roman" w:eastAsiaTheme="minorEastAsia"/>
          <w:b/>
          <w:bCs/>
          <w:color w:val="auto"/>
        </w:rPr>
        <w:t>（三）服务模式</w:t>
      </w:r>
    </w:p>
    <w:p w14:paraId="69162634">
      <w:pPr>
        <w:pStyle w:val="29"/>
        <w:spacing w:line="360" w:lineRule="auto"/>
        <w:ind w:firstLine="420"/>
        <w:rPr>
          <w:rFonts w:ascii="Times New Roman" w:hAnsi="Times New Roman" w:cs="Times New Roman" w:eastAsiaTheme="minorEastAsia"/>
          <w:color w:val="auto"/>
        </w:rPr>
      </w:pPr>
      <w:r>
        <w:rPr>
          <w:rFonts w:ascii="Times New Roman" w:hAnsi="Times New Roman" w:cs="Times New Roman" w:eastAsiaTheme="minorEastAsia"/>
          <w:color w:val="auto"/>
        </w:rPr>
        <w:t>开展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护理服务的医疗机构宜将</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护理服务与家庭医生签约、家庭病床、延续性护理、整合照护、医养结合等服务模式深度融合，借助</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护理服务的信息化服务平台，发挥医联体的辐射带动作用，构建多学科协同的</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医院—社区—家庭</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一体化服务模式，为失能老年人提供连续、全程、个性化的护理服务</w:t>
      </w:r>
      <w:r>
        <w:rPr>
          <w:rFonts w:ascii="Times New Roman" w:hAnsi="Times New Roman" w:cs="Times New Roman" w:eastAsiaTheme="minorEastAsia"/>
          <w:color w:val="auto"/>
          <w:vertAlign w:val="superscript"/>
        </w:rPr>
        <w:t>[25-27]</w:t>
      </w:r>
      <w:r>
        <w:rPr>
          <w:rFonts w:ascii="Times New Roman" w:hAnsi="Times New Roman" w:cs="Times New Roman" w:eastAsiaTheme="minorEastAsia"/>
          <w:color w:val="auto"/>
        </w:rPr>
        <w:t>（2d级证据，B级推荐）。</w:t>
      </w:r>
    </w:p>
    <w:p w14:paraId="11C498F3">
      <w:pPr>
        <w:pStyle w:val="39"/>
        <w:spacing w:line="360" w:lineRule="auto"/>
        <w:rPr>
          <w:rFonts w:ascii="Times New Roman" w:hAnsi="Times New Roman" w:cs="Times New Roman" w:eastAsiaTheme="minorEastAsia"/>
          <w:b/>
          <w:bCs/>
          <w:color w:val="auto"/>
        </w:rPr>
      </w:pPr>
      <w:r>
        <w:rPr>
          <w:rFonts w:ascii="Times New Roman" w:hAnsi="Times New Roman" w:cs="Times New Roman" w:eastAsiaTheme="minorEastAsia"/>
          <w:b/>
          <w:bCs/>
          <w:color w:val="auto"/>
        </w:rPr>
        <w:t>（四）服务流程</w:t>
      </w:r>
    </w:p>
    <w:p w14:paraId="222B559D">
      <w:pPr>
        <w:pStyle w:val="29"/>
        <w:spacing w:line="360" w:lineRule="auto"/>
        <w:ind w:firstLine="420"/>
        <w:rPr>
          <w:rFonts w:ascii="Times New Roman" w:hAnsi="Times New Roman" w:cs="Times New Roman" w:eastAsiaTheme="minorEastAsia"/>
          <w:color w:val="auto"/>
        </w:rPr>
      </w:pPr>
      <w:r>
        <w:rPr>
          <w:rFonts w:ascii="Times New Roman" w:hAnsi="Times New Roman" w:cs="Times New Roman" w:eastAsiaTheme="minorEastAsia"/>
          <w:color w:val="FF0000"/>
        </w:rPr>
        <w:t>宜采用</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FF0000"/>
        </w:rPr>
        <w:t>首诊线下评估</w:t>
      </w:r>
      <w:r>
        <w:rPr>
          <w:rFonts w:hint="eastAsia" w:ascii="Times New Roman" w:hAnsi="Times New Roman" w:cs="Times New Roman" w:eastAsiaTheme="minorEastAsia"/>
          <w:color w:val="FF0000"/>
          <w:lang w:val="en-US" w:eastAsia="zh-CN"/>
        </w:rPr>
        <w:t>备案</w:t>
      </w:r>
      <w:r>
        <w:rPr>
          <w:rStyle w:val="16"/>
          <w:rFonts w:ascii="Times New Roman" w:hAnsi="Times New Roman" w:cs="Times New Roman" w:eastAsiaTheme="minorEastAsia"/>
          <w:color w:val="FF0000"/>
        </w:rPr>
        <w:t>→</w:t>
      </w:r>
      <w:r>
        <w:rPr>
          <w:rFonts w:ascii="Times New Roman" w:hAnsi="Times New Roman" w:cs="Times New Roman" w:eastAsiaTheme="minorEastAsia"/>
          <w:color w:val="FF0000"/>
        </w:rPr>
        <w:t>线上申请</w:t>
      </w:r>
      <w:r>
        <w:rPr>
          <w:rStyle w:val="16"/>
          <w:rFonts w:ascii="Times New Roman" w:hAnsi="Times New Roman" w:cs="Times New Roman" w:eastAsiaTheme="minorEastAsia"/>
          <w:color w:val="FF0000"/>
        </w:rPr>
        <w:t>→</w:t>
      </w:r>
      <w:r>
        <w:rPr>
          <w:rFonts w:ascii="Times New Roman" w:hAnsi="Times New Roman" w:cs="Times New Roman" w:eastAsiaTheme="minorEastAsia"/>
          <w:color w:val="FF0000"/>
        </w:rPr>
        <w:t>线下服务</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FF0000"/>
        </w:rPr>
        <w:t>的服务流程</w:t>
      </w:r>
      <w:r>
        <w:rPr>
          <w:rFonts w:hint="eastAsia" w:ascii="Times New Roman" w:hAnsi="Times New Roman" w:cs="Times New Roman" w:eastAsiaTheme="minorEastAsia"/>
          <w:color w:val="FF0000"/>
          <w:lang w:eastAsia="zh-CN"/>
        </w:rPr>
        <w:t>（</w:t>
      </w:r>
      <w:r>
        <w:rPr>
          <w:rFonts w:hint="eastAsia" w:ascii="Times New Roman" w:hAnsi="Times New Roman" w:cs="Times New Roman" w:eastAsiaTheme="minorEastAsia"/>
          <w:color w:val="FF0000"/>
          <w:lang w:val="en-US" w:eastAsia="zh-CN"/>
        </w:rPr>
        <w:t>见图1</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FF0000"/>
        </w:rPr>
        <w:t>。</w:t>
      </w:r>
      <w:r>
        <w:rPr>
          <w:rFonts w:ascii="Times New Roman" w:hAnsi="Times New Roman" w:cs="Times New Roman" w:eastAsiaTheme="minorEastAsia"/>
          <w:color w:val="auto"/>
        </w:rPr>
        <w:t>开展服务的医疗机构及其服务平台应提供统一的评估工具，保证评估监测的同质化</w:t>
      </w:r>
      <w:r>
        <w:rPr>
          <w:rFonts w:ascii="Times New Roman" w:hAnsi="Times New Roman" w:cs="Times New Roman" w:eastAsiaTheme="minorEastAsia"/>
          <w:color w:val="auto"/>
          <w:vertAlign w:val="superscript"/>
        </w:rPr>
        <w:t>[18,28-30]</w:t>
      </w:r>
      <w:r>
        <w:rPr>
          <w:rFonts w:ascii="Times New Roman" w:hAnsi="Times New Roman" w:cs="Times New Roman" w:eastAsiaTheme="minorEastAsia"/>
          <w:color w:val="auto"/>
        </w:rPr>
        <w:t>（2级证据，B级推荐）。</w:t>
      </w:r>
    </w:p>
    <w:p w14:paraId="5FCAC55B">
      <w:pPr>
        <w:pStyle w:val="29"/>
        <w:spacing w:line="360" w:lineRule="auto"/>
        <w:ind w:firstLine="420"/>
        <w:rPr>
          <w:sz w:val="21"/>
        </w:rPr>
      </w:pPr>
      <w:r>
        <w:rPr>
          <w:sz w:val="21"/>
        </w:rPr>
        <mc:AlternateContent>
          <mc:Choice Requires="wpg">
            <w:drawing>
              <wp:anchor distT="0" distB="0" distL="114300" distR="114300" simplePos="0" relativeHeight="251660288" behindDoc="0" locked="0" layoutInCell="1" allowOverlap="1">
                <wp:simplePos x="0" y="0"/>
                <wp:positionH relativeFrom="column">
                  <wp:posOffset>909955</wp:posOffset>
                </wp:positionH>
                <wp:positionV relativeFrom="paragraph">
                  <wp:posOffset>31115</wp:posOffset>
                </wp:positionV>
                <wp:extent cx="4025900" cy="2352675"/>
                <wp:effectExtent l="4445" t="4445" r="8255" b="5080"/>
                <wp:wrapNone/>
                <wp:docPr id="43" name="组合 43"/>
                <wp:cNvGraphicFramePr/>
                <a:graphic xmlns:a="http://schemas.openxmlformats.org/drawingml/2006/main">
                  <a:graphicData uri="http://schemas.microsoft.com/office/word/2010/wordprocessingGroup">
                    <wpg:wgp>
                      <wpg:cNvGrpSpPr/>
                      <wpg:grpSpPr>
                        <a:xfrm>
                          <a:off x="0" y="0"/>
                          <a:ext cx="4025900" cy="2352675"/>
                          <a:chOff x="2850" y="92129"/>
                          <a:chExt cx="6340" cy="3705"/>
                        </a:xfrm>
                      </wpg:grpSpPr>
                      <wps:wsp>
                        <wps:cNvPr id="1" name="圆角矩形 1"/>
                        <wps:cNvSpPr/>
                        <wps:spPr>
                          <a:xfrm>
                            <a:off x="2928" y="92129"/>
                            <a:ext cx="1548" cy="418"/>
                          </a:xfrm>
                          <a:prstGeom prst="round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6AC87FB">
                              <w:pPr>
                                <w:spacing w:line="240" w:lineRule="auto"/>
                                <w:jc w:val="center"/>
                                <w:rPr>
                                  <w:rFonts w:hint="default" w:eastAsiaTheme="minor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首诊线下评估备案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流程图: 决策 5"/>
                        <wps:cNvSpPr/>
                        <wps:spPr>
                          <a:xfrm>
                            <a:off x="2850" y="92889"/>
                            <a:ext cx="1694" cy="1362"/>
                          </a:xfrm>
                          <a:prstGeom prst="flowChartDecision">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8C68161">
                              <w:pPr>
                                <w:spacing w:line="240" w:lineRule="auto"/>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入户</w:t>
                              </w:r>
                            </w:p>
                            <w:p w14:paraId="24092405">
                              <w:pPr>
                                <w:spacing w:line="240" w:lineRule="auto"/>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护理条件</w:t>
                              </w:r>
                            </w:p>
                            <w:p w14:paraId="63AB67B8">
                              <w:pPr>
                                <w:spacing w:line="240" w:lineRule="auto"/>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评估</w:t>
                              </w:r>
                            </w:p>
                            <w:p w14:paraId="7558DAB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直接箭头连接符 7"/>
                        <wps:cNvCnPr>
                          <a:stCxn id="1" idx="2"/>
                          <a:endCxn id="5" idx="0"/>
                        </wps:cNvCnPr>
                        <wps:spPr>
                          <a:xfrm flipH="1">
                            <a:off x="3697" y="92547"/>
                            <a:ext cx="5" cy="342"/>
                          </a:xfrm>
                          <a:prstGeom prst="straightConnector1">
                            <a:avLst/>
                          </a:prstGeom>
                          <a:ln w="6350">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0" name="圆角矩形 10"/>
                        <wps:cNvSpPr/>
                        <wps:spPr>
                          <a:xfrm>
                            <a:off x="5378" y="92129"/>
                            <a:ext cx="1548" cy="418"/>
                          </a:xfrm>
                          <a:prstGeom prst="round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CB26CA0">
                              <w:pPr>
                                <w:spacing w:line="240" w:lineRule="auto"/>
                                <w:jc w:val="center"/>
                                <w:rPr>
                                  <w:rFonts w:hint="default" w:eastAsiaTheme="minor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线上申请流程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 name="矩形 11"/>
                        <wps:cNvSpPr/>
                        <wps:spPr>
                          <a:xfrm>
                            <a:off x="5391" y="92805"/>
                            <a:ext cx="1525"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EB2B3D8">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线上预约申请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矩形 12"/>
                        <wps:cNvSpPr/>
                        <wps:spPr>
                          <a:xfrm>
                            <a:off x="5411" y="93419"/>
                            <a:ext cx="1484"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BA691AB">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上传病情资料</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矩形 13"/>
                        <wps:cNvSpPr/>
                        <wps:spPr>
                          <a:xfrm>
                            <a:off x="5391" y="94026"/>
                            <a:ext cx="1525" cy="480"/>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D0DBFF5">
                              <w:pPr>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签订服务协议及</w:t>
                              </w:r>
                            </w:p>
                            <w:p w14:paraId="26CF471C">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知情同意书</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矩形 15"/>
                        <wps:cNvSpPr/>
                        <wps:spPr>
                          <a:xfrm>
                            <a:off x="5392" y="94788"/>
                            <a:ext cx="1526"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8E6D53E">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专科评估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矩形 16"/>
                        <wps:cNvSpPr/>
                        <wps:spPr>
                          <a:xfrm>
                            <a:off x="5412" y="95451"/>
                            <a:ext cx="1490"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3CA041E">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批准订单</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肘形连接符 18"/>
                        <wps:cNvCnPr>
                          <a:stCxn id="5" idx="3"/>
                          <a:endCxn id="10" idx="1"/>
                        </wps:cNvCnPr>
                        <wps:spPr>
                          <a:xfrm flipV="1">
                            <a:off x="4544" y="92338"/>
                            <a:ext cx="834" cy="1232"/>
                          </a:xfrm>
                          <a:prstGeom prst="bentConnector3">
                            <a:avLst>
                              <a:gd name="adj1" fmla="val 50000"/>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9" name="圆角矩形 19"/>
                        <wps:cNvSpPr/>
                        <wps:spPr>
                          <a:xfrm>
                            <a:off x="7637" y="92129"/>
                            <a:ext cx="1548" cy="418"/>
                          </a:xfrm>
                          <a:prstGeom prst="round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803A537">
                              <w:pPr>
                                <w:spacing w:line="240" w:lineRule="auto"/>
                                <w:jc w:val="center"/>
                                <w:rPr>
                                  <w:rFonts w:hint="default" w:eastAsiaTheme="minor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线下服务流程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肘形连接符 20"/>
                        <wps:cNvCnPr>
                          <a:stCxn id="16" idx="3"/>
                          <a:endCxn id="19" idx="1"/>
                        </wps:cNvCnPr>
                        <wps:spPr>
                          <a:xfrm flipV="1">
                            <a:off x="6902" y="92338"/>
                            <a:ext cx="735" cy="3297"/>
                          </a:xfrm>
                          <a:prstGeom prst="bentConnector3">
                            <a:avLst>
                              <a:gd name="adj1" fmla="val 50068"/>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1" name="矩形 21"/>
                        <wps:cNvSpPr/>
                        <wps:spPr>
                          <a:xfrm>
                            <a:off x="4680" y="92781"/>
                            <a:ext cx="570" cy="493"/>
                          </a:xfrm>
                          <a:prstGeom prst="rect">
                            <a:avLst/>
                          </a:prstGeom>
                          <a:solidFill>
                            <a:schemeClr val="bg1"/>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7340CF4">
                              <w:pPr>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符合</w:t>
                              </w:r>
                            </w:p>
                            <w:p w14:paraId="2ACC8CC6">
                              <w:pPr>
                                <w:jc w:val="center"/>
                                <w:rPr>
                                  <w:rFonts w:hint="default" w:eastAsiaTheme="minorEastAsia"/>
                                  <w:lang w:val="en-US" w:eastAsia="zh-CN"/>
                                </w:rPr>
                              </w:pPr>
                              <w:r>
                                <w:rPr>
                                  <w:rFonts w:hint="eastAsia"/>
                                  <w:b/>
                                  <w:bCs/>
                                  <w:color w:val="000000" w:themeColor="text1"/>
                                  <w:sz w:val="13"/>
                                  <w:szCs w:val="13"/>
                                  <w:lang w:val="en-US" w:eastAsia="zh-CN"/>
                                  <w14:textFill>
                                    <w14:solidFill>
                                      <w14:schemeClr w14:val="tx1"/>
                                    </w14:solidFill>
                                  </w14:textFill>
                                </w:rPr>
                                <w:t>条件</w:t>
                              </w:r>
                              <w:r>
                                <w:rPr>
                                  <w:rFonts w:hint="eastAsia"/>
                                  <w:lang w:val="en-US" w:eastAsia="zh-CN"/>
                                </w:rPr>
                                <w:t>符合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矩形 22"/>
                        <wps:cNvSpPr/>
                        <wps:spPr>
                          <a:xfrm>
                            <a:off x="7635" y="92805"/>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1604D75">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专员派单</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 name="矩形 23"/>
                        <wps:cNvSpPr/>
                        <wps:spPr>
                          <a:xfrm>
                            <a:off x="7635" y="93441"/>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F18C74D">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护士接单</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7636" y="94055"/>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E0241E9">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出诊服务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 name="矩形 25"/>
                        <wps:cNvSpPr/>
                        <wps:spPr>
                          <a:xfrm>
                            <a:off x="7637" y="94782"/>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A7B775C">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服务结束后线上确认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 name="矩形 26"/>
                        <wps:cNvSpPr/>
                        <wps:spPr>
                          <a:xfrm>
                            <a:off x="7636" y="95439"/>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14787B2">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记录及评价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 name="肘形连接符 27"/>
                        <wps:cNvCnPr>
                          <a:stCxn id="10" idx="2"/>
                          <a:endCxn id="11" idx="0"/>
                        </wps:cNvCnPr>
                        <wps:spPr>
                          <a:xfrm rot="5400000" flipV="1">
                            <a:off x="6024" y="92675"/>
                            <a:ext cx="258" cy="2"/>
                          </a:xfrm>
                          <a:prstGeom prst="bentConnector3">
                            <a:avLst>
                              <a:gd name="adj1" fmla="val 50000"/>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29" name="肘形连接符 29"/>
                        <wps:cNvCnPr>
                          <a:stCxn id="11" idx="2"/>
                          <a:endCxn id="12" idx="0"/>
                        </wps:cNvCnPr>
                        <wps:spPr>
                          <a:xfrm rot="5400000">
                            <a:off x="6030" y="93295"/>
                            <a:ext cx="247" cy="1"/>
                          </a:xfrm>
                          <a:prstGeom prst="bentConnector3">
                            <a:avLst>
                              <a:gd name="adj1" fmla="val 50202"/>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0" name="肘形连接符 30"/>
                        <wps:cNvCnPr>
                          <a:stCxn id="12" idx="2"/>
                          <a:endCxn id="13" idx="0"/>
                        </wps:cNvCnPr>
                        <wps:spPr>
                          <a:xfrm rot="5400000" flipV="1">
                            <a:off x="6034" y="93906"/>
                            <a:ext cx="240" cy="1"/>
                          </a:xfrm>
                          <a:prstGeom prst="bentConnector3">
                            <a:avLst>
                              <a:gd name="adj1" fmla="val 49792"/>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1" name="肘形连接符 31"/>
                        <wps:cNvCnPr>
                          <a:stCxn id="13" idx="2"/>
                          <a:endCxn id="15" idx="0"/>
                        </wps:cNvCnPr>
                        <wps:spPr>
                          <a:xfrm rot="5400000" flipV="1">
                            <a:off x="6014" y="94647"/>
                            <a:ext cx="282" cy="1"/>
                          </a:xfrm>
                          <a:prstGeom prst="bentConnector3">
                            <a:avLst>
                              <a:gd name="adj1" fmla="val 49823"/>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2" name="肘形连接符 32"/>
                        <wps:cNvCnPr>
                          <a:stCxn id="15" idx="2"/>
                          <a:endCxn id="16" idx="0"/>
                        </wps:cNvCnPr>
                        <wps:spPr>
                          <a:xfrm rot="5400000" flipV="1">
                            <a:off x="6008" y="95302"/>
                            <a:ext cx="296" cy="2"/>
                          </a:xfrm>
                          <a:prstGeom prst="bentConnector3">
                            <a:avLst>
                              <a:gd name="adj1" fmla="val 50000"/>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3" name="直接连接符 33"/>
                        <wps:cNvCnPr>
                          <a:stCxn id="19" idx="2"/>
                          <a:endCxn id="22" idx="0"/>
                        </wps:cNvCnPr>
                        <wps:spPr>
                          <a:xfrm>
                            <a:off x="8411" y="92547"/>
                            <a:ext cx="1" cy="258"/>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34" name="直接箭头连接符 34"/>
                        <wps:cNvCnPr>
                          <a:stCxn id="22" idx="2"/>
                          <a:endCxn id="23" idx="0"/>
                        </wps:cNvCnPr>
                        <wps:spPr>
                          <a:xfrm>
                            <a:off x="8412" y="93172"/>
                            <a:ext cx="0" cy="269"/>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5" name="直接箭头连接符 35"/>
                        <wps:cNvCnPr>
                          <a:stCxn id="23" idx="2"/>
                          <a:endCxn id="24" idx="0"/>
                        </wps:cNvCnPr>
                        <wps:spPr>
                          <a:xfrm>
                            <a:off x="8412" y="93808"/>
                            <a:ext cx="1" cy="247"/>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6" name="直接箭头连接符 36"/>
                        <wps:cNvCnPr>
                          <a:stCxn id="24" idx="2"/>
                          <a:endCxn id="25" idx="0"/>
                        </wps:cNvCnPr>
                        <wps:spPr>
                          <a:xfrm>
                            <a:off x="8413" y="94422"/>
                            <a:ext cx="1" cy="360"/>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7" name="直接箭头连接符 37"/>
                        <wps:cNvCnPr>
                          <a:stCxn id="25" idx="2"/>
                          <a:endCxn id="26" idx="0"/>
                        </wps:cNvCnPr>
                        <wps:spPr>
                          <a:xfrm flipH="1">
                            <a:off x="8413" y="95149"/>
                            <a:ext cx="1" cy="290"/>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9" name="矩形 39"/>
                        <wps:cNvSpPr/>
                        <wps:spPr>
                          <a:xfrm>
                            <a:off x="2928" y="95338"/>
                            <a:ext cx="1539" cy="496"/>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B2049F9">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建议前往正规医疗机构就诊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2" name="矩形 42"/>
                        <wps:cNvSpPr/>
                        <wps:spPr>
                          <a:xfrm>
                            <a:off x="3268" y="94419"/>
                            <a:ext cx="767" cy="493"/>
                          </a:xfrm>
                          <a:prstGeom prst="rect">
                            <a:avLst/>
                          </a:prstGeom>
                          <a:solidFill>
                            <a:schemeClr val="bg1"/>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86F10E0">
                              <w:pPr>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不符合</w:t>
                              </w:r>
                            </w:p>
                            <w:p w14:paraId="64995397">
                              <w:pPr>
                                <w:jc w:val="center"/>
                                <w:rPr>
                                  <w:rFonts w:hint="default" w:eastAsiaTheme="minorEastAsia"/>
                                  <w:lang w:val="en-US" w:eastAsia="zh-CN"/>
                                </w:rPr>
                              </w:pPr>
                              <w:r>
                                <w:rPr>
                                  <w:rFonts w:hint="eastAsia"/>
                                  <w:b/>
                                  <w:bCs/>
                                  <w:color w:val="000000" w:themeColor="text1"/>
                                  <w:sz w:val="13"/>
                                  <w:szCs w:val="13"/>
                                  <w:lang w:val="en-US" w:eastAsia="zh-CN"/>
                                  <w14:textFill>
                                    <w14:solidFill>
                                      <w14:schemeClr w14:val="tx1"/>
                                    </w14:solidFill>
                                  </w14:textFill>
                                </w:rPr>
                                <w:t>条件</w:t>
                              </w:r>
                              <w:r>
                                <w:rPr>
                                  <w:rFonts w:hint="eastAsia"/>
                                  <w:lang w:val="en-US" w:eastAsia="zh-CN"/>
                                </w:rPr>
                                <w:t>符合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71.65pt;margin-top:2.45pt;height:185.25pt;width:317pt;z-index:251660288;mso-width-relative:page;mso-height-relative:page;" coordorigin="2850,92129" coordsize="6340,3705" o:gfxdata="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">
                <o:lock v:ext="edit" aspectratio="f"/>
                <v:roundrect id="_x0000_s1026" o:spid="_x0000_s1026" o:spt="2" style="position:absolute;left:2928;top:92129;height:418;width:1548;v-text-anchor:middle;" filled="f" stroked="t" coordsize="21600,21600" arcsize="0.166666666666667" o:gfxdata="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a2AfugAAANoA&#10;AAAPAAAAAAAAAAEAIAAAACIAAABkcnMvZG93bnJldi54bWxQSwECFAAUAAAACACHTuJAMy8FnjsA&#10;AAA5AAAAEAAAAAAAAAABACAAAAAJAQAAZHJzL3NoYXBleG1sLnhtbFBLBQYAAAAABgAGAFsBAACz&#10;AwAAAAA=&#10;">
                  <v:fill on="f" focussize="0,0"/>
                  <v:stroke weight="0.25pt" color="#000000 [3213]" joinstyle="round"/>
                  <v:imagedata o:title=""/>
                  <o:lock v:ext="edit" aspectratio="f"/>
                  <v:textbox>
                    <w:txbxContent>
                      <w:p w14:paraId="76AC87FB">
                        <w:pPr>
                          <w:spacing w:line="240" w:lineRule="auto"/>
                          <w:jc w:val="center"/>
                          <w:rPr>
                            <w:rFonts w:hint="default" w:eastAsiaTheme="minor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首诊线下评估备案</w:t>
                        </w:r>
                      </w:p>
                    </w:txbxContent>
                  </v:textbox>
                </v:roundrect>
                <v:shape id="_x0000_s1026" o:spid="_x0000_s1026" o:spt="110" type="#_x0000_t110" style="position:absolute;left:2850;top:92889;height:1362;width:1694;v-text-anchor:middle;" filled="f" stroked="t" coordsize="21600,21600" o:gfxdata="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4G5cm8AAAA&#10;2gAAAA8AAAAAAAAAAQAgAAAAIgAAAGRycy9kb3ducmV2LnhtbFBLAQIUABQAAAAIAIdO4kAzLwWe&#10;OwAAADkAAAAQAAAAAAAAAAEAIAAAAAsBAABkcnMvc2hhcGV4bWwueG1sUEsFBgAAAAAGAAYAWwEA&#10;ALUDAAAAAA==&#10;">
                  <v:fill on="f" focussize="0,0"/>
                  <v:stroke weight="0.25pt" color="#000000 [3213]" joinstyle="round"/>
                  <v:imagedata o:title=""/>
                  <o:lock v:ext="edit" aspectratio="f"/>
                  <v:textbox>
                    <w:txbxContent>
                      <w:p w14:paraId="28C68161">
                        <w:pPr>
                          <w:spacing w:line="240" w:lineRule="auto"/>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入户</w:t>
                        </w:r>
                      </w:p>
                      <w:p w14:paraId="24092405">
                        <w:pPr>
                          <w:spacing w:line="240" w:lineRule="auto"/>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护理条件</w:t>
                        </w:r>
                      </w:p>
                      <w:p w14:paraId="63AB67B8">
                        <w:pPr>
                          <w:spacing w:line="240" w:lineRule="auto"/>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评估</w:t>
                        </w:r>
                      </w:p>
                      <w:p w14:paraId="7558DABF">
                        <w:pPr>
                          <w:jc w:val="center"/>
                        </w:pPr>
                      </w:p>
                    </w:txbxContent>
                  </v:textbox>
                </v:shape>
                <v:shape id="_x0000_s1026" o:spid="_x0000_s1026" o:spt="32" type="#_x0000_t32" style="position:absolute;left:3697;top:92547;flip:x;height:342;width:5;" filled="f" stroked="t" coordsize="21600,21600" o:gfxdata="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4dgfvQAA&#10;ANoAAAAPAAAAAAAAAAEAIAAAACIAAABkcnMvZG93bnJldi54bWxQSwECFAAUAAAACACHTuJAMy8F&#10;njsAAAA5AAAAEAAAAAAAAAABACAAAAAMAQAAZHJzL3NoYXBleG1sLnhtbFBLBQYAAAAABgAGAFsB&#10;AAC2AwAAAAA=&#10;">
                  <v:fill on="f" focussize="0,0"/>
                  <v:stroke weight="0.5pt" color="#000000 [3213]" joinstyle="round" endarrow="open"/>
                  <v:imagedata o:title=""/>
                  <o:lock v:ext="edit" aspectratio="f"/>
                </v:shape>
                <v:roundrect id="_x0000_s1026" o:spid="_x0000_s1026" o:spt="2" style="position:absolute;left:5378;top:92129;height:418;width:1548;v-text-anchor:middle;" filled="f" stroked="t" coordsize="21600,21600" arcsize="0.166666666666667" o:gfxdata="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n/4m8AAAA&#10;2wAAAA8AAAAAAAAAAQAgAAAAIgAAAGRycy9kb3ducmV2LnhtbFBLAQIUABQAAAAIAIdO4kAzLwWe&#10;OwAAADkAAAAQAAAAAAAAAAEAIAAAAAsBAABkcnMvc2hhcGV4bWwueG1sUEsFBgAAAAAGAAYAWwEA&#10;ALUDAAAAAA==&#10;">
                  <v:fill on="f" focussize="0,0"/>
                  <v:stroke weight="0.25pt" color="#000000 [3213]" joinstyle="round"/>
                  <v:imagedata o:title=""/>
                  <o:lock v:ext="edit" aspectratio="f"/>
                  <v:textbox>
                    <w:txbxContent>
                      <w:p w14:paraId="6CB26CA0">
                        <w:pPr>
                          <w:spacing w:line="240" w:lineRule="auto"/>
                          <w:jc w:val="center"/>
                          <w:rPr>
                            <w:rFonts w:hint="default" w:eastAsiaTheme="minor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线上申请流程</w:t>
                        </w:r>
                      </w:p>
                    </w:txbxContent>
                  </v:textbox>
                </v:roundrect>
                <v:rect id="_x0000_s1026" o:spid="_x0000_s1026" o:spt="1" style="position:absolute;left:5391;top:92805;height:367;width:1525;v-text-anchor:middle;" filled="f" stroked="t" coordsize="21600,21600" o:gfxdata="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y7AO4rUAAADbAAAADwAA&#10;AAAAAAABACAAAAAiAAAAZHJzL2Rvd25yZXYueG1sUEsBAhQAFAAAAAgAh07iQDMvBZ47AAAAOQAA&#10;ABAAAAAAAAAAAQAgAAAABAEAAGRycy9zaGFwZXhtbC54bWxQSwUGAAAAAAYABgBbAQAArgMAAAAA&#10;">
                  <v:fill on="f" focussize="0,0"/>
                  <v:stroke weight="0.5pt" color="#000000 [3213]" joinstyle="round"/>
                  <v:imagedata o:title=""/>
                  <o:lock v:ext="edit" aspectratio="f"/>
                  <v:textbox>
                    <w:txbxContent>
                      <w:p w14:paraId="3EB2B3D8">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线上预约申请</w:t>
                        </w:r>
                      </w:p>
                    </w:txbxContent>
                  </v:textbox>
                </v:rect>
                <v:rect id="_x0000_s1026" o:spid="_x0000_s1026" o:spt="1" style="position:absolute;left:5411;top:93419;height:367;width:1484;v-text-anchor:middle;" filled="f" stroked="t" coordsize="21600,21600" o:gfxdata="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O2KQlbUAAADbAAAADwAA&#10;AAAAAAABACAAAAAiAAAAZHJzL2Rvd25yZXYueG1sUEsBAhQAFAAAAAgAh07iQDMvBZ47AAAAOQAA&#10;ABAAAAAAAAAAAQAgAAAABAEAAGRycy9zaGFwZXhtbC54bWxQSwUGAAAAAAYABgBbAQAArgMAAAAA&#10;">
                  <v:fill on="f" focussize="0,0"/>
                  <v:stroke weight="0.5pt" color="#000000 [3213]" joinstyle="round"/>
                  <v:imagedata o:title=""/>
                  <o:lock v:ext="edit" aspectratio="f"/>
                  <v:textbox>
                    <w:txbxContent>
                      <w:p w14:paraId="7BA691AB">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上传病情资料</w:t>
                        </w:r>
                      </w:p>
                    </w:txbxContent>
                  </v:textbox>
                </v:rect>
                <v:rect id="_x0000_s1026" o:spid="_x0000_s1026" o:spt="1" style="position:absolute;left:5391;top:94026;height:480;width:1525;v-text-anchor:middle;" filled="f" stroked="t" coordsize="21600,21600" o:gfxdata="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VC41DrUAAADbAAAADwAA&#10;AAAAAAABACAAAAAiAAAAZHJzL2Rvd25yZXYueG1sUEsBAhQAFAAAAAgAh07iQDMvBZ47AAAAOQAA&#10;ABAAAAAAAAAAAQAgAAAABAEAAGRycy9zaGFwZXhtbC54bWxQSwUGAAAAAAYABgBbAQAArgMAAAAA&#10;">
                  <v:fill on="f" focussize="0,0"/>
                  <v:stroke weight="0.5pt" color="#000000 [3213]" joinstyle="round"/>
                  <v:imagedata o:title=""/>
                  <o:lock v:ext="edit" aspectratio="f"/>
                  <v:textbox>
                    <w:txbxContent>
                      <w:p w14:paraId="1D0DBFF5">
                        <w:pPr>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签订服务协议及</w:t>
                        </w:r>
                      </w:p>
                      <w:p w14:paraId="26CF471C">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知情同意书</w:t>
                        </w:r>
                      </w:p>
                    </w:txbxContent>
                  </v:textbox>
                </v:rect>
                <v:rect id="_x0000_s1026" o:spid="_x0000_s1026" o:spt="1" style="position:absolute;left:5392;top:94788;height:367;width:1526;v-text-anchor:middle;" filled="f" stroked="t" coordsize="21600,21600" o:gfxdata="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IsI4bUAAADbAAAADwAA&#10;AAAAAAABACAAAAAiAAAAZHJzL2Rvd25yZXYueG1sUEsBAhQAFAAAAAgAh07iQDMvBZ47AAAAOQAA&#10;ABAAAAAAAAAAAQAgAAAABAEAAGRycy9zaGFwZXhtbC54bWxQSwUGAAAAAAYABgBbAQAArgMAAAAA&#10;">
                  <v:fill on="f" focussize="0,0"/>
                  <v:stroke weight="0.5pt" color="#000000 [3213]" joinstyle="round"/>
                  <v:imagedata o:title=""/>
                  <o:lock v:ext="edit" aspectratio="f"/>
                  <v:textbox>
                    <w:txbxContent>
                      <w:p w14:paraId="68E6D53E">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专科评估</w:t>
                        </w:r>
                      </w:p>
                    </w:txbxContent>
                  </v:textbox>
                </v:rect>
                <v:rect id="_x0000_s1026" o:spid="_x0000_s1026" o:spt="1" style="position:absolute;left:5412;top:95451;height:367;width:1490;v-text-anchor:middle;" filled="f" stroked="t" coordsize="21600,21600" o:gfxdata="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RZlpa2AAAA2wAAAA8A&#10;AAAAAAAAAQAgAAAAIgAAAGRycy9kb3ducmV2LnhtbFBLAQIUABQAAAAIAIdO4kAzLwWeOwAAADkA&#10;AAAQAAAAAAAAAAEAIAAAAAUBAABkcnMvc2hhcGV4bWwueG1sUEsFBgAAAAAGAAYAWwEAAK8DAAAA&#10;AA==&#10;">
                  <v:fill on="f" focussize="0,0"/>
                  <v:stroke weight="0.5pt" color="#000000 [3213]" joinstyle="round"/>
                  <v:imagedata o:title=""/>
                  <o:lock v:ext="edit" aspectratio="f"/>
                  <v:textbox>
                    <w:txbxContent>
                      <w:p w14:paraId="63CA041E">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批准订单</w:t>
                        </w:r>
                      </w:p>
                    </w:txbxContent>
                  </v:textbox>
                </v:rect>
                <v:shape id="_x0000_s1026" o:spid="_x0000_s1026" o:spt="34" type="#_x0000_t34" style="position:absolute;left:4544;top:92338;flip:y;height:1232;width:834;" filled="f" stroked="t" coordsize="21600,21600" o:gfxdata="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sOiz74A&#10;AADbAAAADwAAAAAAAAABACAAAAAiAAAAZHJzL2Rvd25yZXYueG1sUEsBAhQAFAAAAAgAh07iQDMv&#10;BZ47AAAAOQAAABAAAAAAAAAAAQAgAAAADQEAAGRycy9zaGFwZXhtbC54bWxQSwUGAAAAAAYABgBb&#10;AQAAtwMAAAAA&#10;" adj="10800">
                  <v:fill on="f" focussize="0,0"/>
                  <v:stroke weight="0.25pt" color="#000000 [3213]" joinstyle="round" endarrow="open"/>
                  <v:imagedata o:title=""/>
                  <o:lock v:ext="edit" aspectratio="f"/>
                </v:shape>
                <v:roundrect id="_x0000_s1026" o:spid="_x0000_s1026" o:spt="2" style="position:absolute;left:7637;top:92129;height:418;width:1548;v-text-anchor:middle;" filled="f" stroked="t" coordsize="21600,21600" arcsize="0.166666666666667" o:gfxdata="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B1WFLsAAADb&#10;AAAADwAAAAAAAAABACAAAAAiAAAAZHJzL2Rvd25yZXYueG1sUEsBAhQAFAAAAAgAh07iQDMvBZ47&#10;AAAAOQAAABAAAAAAAAAAAQAgAAAACgEAAGRycy9zaGFwZXhtbC54bWxQSwUGAAAAAAYABgBbAQAA&#10;tAMAAAAA&#10;">
                  <v:fill on="f" focussize="0,0"/>
                  <v:stroke weight="0.25pt" color="#000000 [3213]" joinstyle="round"/>
                  <v:imagedata o:title=""/>
                  <o:lock v:ext="edit" aspectratio="f"/>
                  <v:textbox>
                    <w:txbxContent>
                      <w:p w14:paraId="0803A537">
                        <w:pPr>
                          <w:spacing w:line="240" w:lineRule="auto"/>
                          <w:jc w:val="center"/>
                          <w:rPr>
                            <w:rFonts w:hint="default" w:eastAsiaTheme="minor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线下服务流程</w:t>
                        </w:r>
                      </w:p>
                    </w:txbxContent>
                  </v:textbox>
                </v:roundrect>
                <v:shape id="_x0000_s1026" o:spid="_x0000_s1026" o:spt="34" type="#_x0000_t34" style="position:absolute;left:6902;top:92338;flip:y;height:3297;width:735;" filled="f" stroked="t" coordsize="21600,21600" o:gfxdata="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ZBrSC2AAAA2wAAAA8A&#10;AAAAAAAAAQAgAAAAIgAAAGRycy9kb3ducmV2LnhtbFBLAQIUABQAAAAIAIdO4kAzLwWeOwAAADkA&#10;AAAQAAAAAAAAAAEAIAAAAAUBAABkcnMvc2hhcGV4bWwueG1sUEsFBgAAAAAGAAYAWwEAAK8DAAAA&#10;AA==&#10;" adj="10815">
                  <v:fill on="f" focussize="0,0"/>
                  <v:stroke weight="0.25pt" color="#000000 [3213]" joinstyle="round" endarrow="open"/>
                  <v:imagedata o:title=""/>
                  <o:lock v:ext="edit" aspectratio="f"/>
                </v:shape>
                <v:rect id="_x0000_s1026" o:spid="_x0000_s1026" o:spt="1" style="position:absolute;left:4680;top:92781;height:493;width:570;v-text-anchor:middle;" fillcolor="#FFFFFF [3212]" filled="t" stroked="t" coordsize="21600,21600" o:gfxdata="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Bof+8AAAA&#10;2wAAAA8AAAAAAAAAAQAgAAAAIgAAAGRycy9kb3ducmV2LnhtbFBLAQIUABQAAAAIAIdO4kAzLwWe&#10;OwAAADkAAAAQAAAAAAAAAAEAIAAAAAsBAABkcnMvc2hhcGV4bWwueG1sUEsFBgAAAAAGAAYAWwEA&#10;ALUDAAAAAA==&#10;">
                  <v:fill on="t" focussize="0,0"/>
                  <v:stroke weight="0.25pt" color="#000000 [3213]" joinstyle="round"/>
                  <v:imagedata o:title=""/>
                  <o:lock v:ext="edit" aspectratio="f"/>
                  <v:textbox>
                    <w:txbxContent>
                      <w:p w14:paraId="17340CF4">
                        <w:pPr>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符合</w:t>
                        </w:r>
                      </w:p>
                      <w:p w14:paraId="2ACC8CC6">
                        <w:pPr>
                          <w:jc w:val="center"/>
                          <w:rPr>
                            <w:rFonts w:hint="default" w:eastAsiaTheme="minorEastAsia"/>
                            <w:lang w:val="en-US" w:eastAsia="zh-CN"/>
                          </w:rPr>
                        </w:pPr>
                        <w:r>
                          <w:rPr>
                            <w:rFonts w:hint="eastAsia"/>
                            <w:b/>
                            <w:bCs/>
                            <w:color w:val="000000" w:themeColor="text1"/>
                            <w:sz w:val="13"/>
                            <w:szCs w:val="13"/>
                            <w:lang w:val="en-US" w:eastAsia="zh-CN"/>
                            <w14:textFill>
                              <w14:solidFill>
                                <w14:schemeClr w14:val="tx1"/>
                              </w14:solidFill>
                            </w14:textFill>
                          </w:rPr>
                          <w:t>条件</w:t>
                        </w:r>
                        <w:r>
                          <w:rPr>
                            <w:rFonts w:hint="eastAsia"/>
                            <w:lang w:val="en-US" w:eastAsia="zh-CN"/>
                          </w:rPr>
                          <w:t>符合</w:t>
                        </w:r>
                      </w:p>
                    </w:txbxContent>
                  </v:textbox>
                </v:rect>
                <v:rect id="_x0000_s1026" o:spid="_x0000_s1026" o:spt="1" style="position:absolute;left:7635;top:92805;height:367;width:1553;v-text-anchor:middle;" filled="f" stroked="t" coordsize="21600,21600" o:gfxdata="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Q5aKLgAAADbAAAA&#10;DwAAAAAAAAABACAAAAAiAAAAZHJzL2Rvd25yZXYueG1sUEsBAhQAFAAAAAgAh07iQDMvBZ47AAAA&#10;OQAAABAAAAAAAAAAAQAgAAAABwEAAGRycy9zaGFwZXhtbC54bWxQSwUGAAAAAAYABgBbAQAAsQMA&#10;AAAA&#10;">
                  <v:fill on="f" focussize="0,0"/>
                  <v:stroke weight="0.5pt" color="#000000 [3213]" joinstyle="round"/>
                  <v:imagedata o:title=""/>
                  <o:lock v:ext="edit" aspectratio="f"/>
                  <v:textbox>
                    <w:txbxContent>
                      <w:p w14:paraId="71604D75">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专员派单</w:t>
                        </w:r>
                      </w:p>
                    </w:txbxContent>
                  </v:textbox>
                </v:rect>
                <v:rect id="_x0000_s1026" o:spid="_x0000_s1026" o:spt="1" style="position:absolute;left:7635;top:93441;height:367;width:1553;v-text-anchor:middle;" filled="f" stroked="t" coordsize="21600,21600" o:gfxdata="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kL/s7gAAADbAAAA&#10;DwAAAAAAAAABACAAAAAiAAAAZHJzL2Rvd25yZXYueG1sUEsBAhQAFAAAAAgAh07iQDMvBZ47AAAA&#10;OQAAABAAAAAAAAAAAQAgAAAABwEAAGRycy9zaGFwZXhtbC54bWxQSwUGAAAAAAYABgBbAQAAsQMA&#10;AAAA&#10;">
                  <v:fill on="f" focussize="0,0"/>
                  <v:stroke weight="0.5pt" color="#000000 [3213]" joinstyle="round"/>
                  <v:imagedata o:title=""/>
                  <o:lock v:ext="edit" aspectratio="f"/>
                  <v:textbox>
                    <w:txbxContent>
                      <w:p w14:paraId="7F18C74D">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护士接单</w:t>
                        </w:r>
                      </w:p>
                    </w:txbxContent>
                  </v:textbox>
                </v:rect>
                <v:rect id="_x0000_s1026" o:spid="_x0000_s1026" o:spt="1" style="position:absolute;left:7636;top:94055;height:367;width:1553;v-text-anchor:middle;" filled="f" stroked="t" coordsize="21600,21600" o:gfxdata="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atnx7gAAADbAAAA&#10;DwAAAAAAAAABACAAAAAiAAAAZHJzL2Rvd25yZXYueG1sUEsBAhQAFAAAAAgAh07iQDMvBZ47AAAA&#10;OQAAABAAAAAAAAAAAQAgAAAABwEAAGRycy9zaGFwZXhtbC54bWxQSwUGAAAAAAYABgBbAQAAsQMA&#10;AAAA&#10;">
                  <v:fill on="f" focussize="0,0"/>
                  <v:stroke weight="0.5pt" color="#000000 [3213]" joinstyle="round"/>
                  <v:imagedata o:title=""/>
                  <o:lock v:ext="edit" aspectratio="f"/>
                  <v:textbox>
                    <w:txbxContent>
                      <w:p w14:paraId="3E0241E9">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出诊服务</w:t>
                        </w:r>
                      </w:p>
                    </w:txbxContent>
                  </v:textbox>
                </v:rect>
                <v:rect id="_x0000_s1026" o:spid="_x0000_s1026" o:spt="1" style="position:absolute;left:7637;top:94782;height:367;width:1553;v-text-anchor:middle;" filled="f" stroked="t" coordsize="21600,21600" o:gfxdata="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ufCXLgAAADbAAAA&#10;DwAAAAAAAAABACAAAAAiAAAAZHJzL2Rvd25yZXYueG1sUEsBAhQAFAAAAAgAh07iQDMvBZ47AAAA&#10;OQAAABAAAAAAAAAAAQAgAAAABwEAAGRycy9zaGFwZXhtbC54bWxQSwUGAAAAAAYABgBbAQAAsQMA&#10;AAAA&#10;">
                  <v:fill on="f" focussize="0,0"/>
                  <v:stroke weight="0.5pt" color="#000000 [3213]" joinstyle="round"/>
                  <v:imagedata o:title=""/>
                  <o:lock v:ext="edit" aspectratio="f"/>
                  <v:textbox>
                    <w:txbxContent>
                      <w:p w14:paraId="4A7B775C">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服务结束后线上确认</w:t>
                        </w:r>
                      </w:p>
                    </w:txbxContent>
                  </v:textbox>
                </v:rect>
                <v:rect id="_x0000_s1026" o:spid="_x0000_s1026" o:spt="1" style="position:absolute;left:7636;top:95439;height:367;width:1553;v-text-anchor:middle;" filled="f" stroked="t" coordsize="21600,21600" o:gfxdata="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jVcK7gAAADbAAAA&#10;DwAAAAAAAAABACAAAAAiAAAAZHJzL2Rvd25yZXYueG1sUEsBAhQAFAAAAAgAh07iQDMvBZ47AAAA&#10;OQAAABAAAAAAAAAAAQAgAAAABwEAAGRycy9zaGFwZXhtbC54bWxQSwUGAAAAAAYABgBbAQAAsQMA&#10;AAAA&#10;">
                  <v:fill on="f" focussize="0,0"/>
                  <v:stroke weight="0.5pt" color="#000000 [3213]" joinstyle="round"/>
                  <v:imagedata o:title=""/>
                  <o:lock v:ext="edit" aspectratio="f"/>
                  <v:textbox>
                    <w:txbxContent>
                      <w:p w14:paraId="414787B2">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记录及评价</w:t>
                        </w:r>
                      </w:p>
                    </w:txbxContent>
                  </v:textbox>
                </v:rect>
                <v:shape id="_x0000_s1026" o:spid="_x0000_s1026" o:spt="34" type="#_x0000_t34" style="position:absolute;left:6024;top:92675;flip:y;height:2;width:258;rotation:-5898240f;" filled="f" stroked="t" coordsize="21600,21600" o:gfxdata="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gYmm8AAAA&#10;2wAAAA8AAAAAAAAAAQAgAAAAIgAAAGRycy9kb3ducmV2LnhtbFBLAQIUABQAAAAIAIdO4kAzLwWe&#10;OwAAADkAAAAQAAAAAAAAAAEAIAAAAAsBAABkcnMvc2hhcGV4bWwueG1sUEsFBgAAAAAGAAYAWwEA&#10;ALUDAAAAAA==&#10;" adj="10800">
                  <v:fill on="f" focussize="0,0"/>
                  <v:stroke weight="0.25pt" color="#000000 [3213]" joinstyle="round"/>
                  <v:imagedata o:title=""/>
                  <o:lock v:ext="edit" aspectratio="f"/>
                </v:shape>
                <v:shape id="_x0000_s1026" o:spid="_x0000_s1026" o:spt="34" type="#_x0000_t34" style="position:absolute;left:6030;top:93295;height:1;width:247;rotation:5898240f;" filled="f" stroked="t" coordsize="21600,21600" o:gfxdata="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BzWqugAAANsA&#10;AAAPAAAAAAAAAAEAIAAAACIAAABkcnMvZG93bnJldi54bWxQSwECFAAUAAAACACHTuJAMy8FnjsA&#10;AAA5AAAAEAAAAAAAAAABACAAAAAJAQAAZHJzL3NoYXBleG1sLnhtbFBLBQYAAAAABgAGAFsBAACz&#10;AwAAAAA=&#10;" adj="10844">
                  <v:fill on="f" focussize="0,0"/>
                  <v:stroke weight="0.25pt" color="#000000 [3213]" joinstyle="round" endarrow="open"/>
                  <v:imagedata o:title=""/>
                  <o:lock v:ext="edit" aspectratio="f"/>
                </v:shape>
                <v:shape id="_x0000_s1026" o:spid="_x0000_s1026" o:spt="34" type="#_x0000_t34" style="position:absolute;left:6034;top:93906;flip:y;height:1;width:240;rotation:-5898240f;" filled="f" stroked="t" coordsize="21600,21600" o:gfxdata="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HKyKq5AAAA2wAA&#10;AA8AAAAAAAAAAQAgAAAAIgAAAGRycy9kb3ducmV2LnhtbFBLAQIUABQAAAAIAIdO4kAzLwWeOwAA&#10;ADkAAAAQAAAAAAAAAAEAIAAAAAgBAABkcnMvc2hhcGV4bWwueG1sUEsFBgAAAAAGAAYAWwEAALID&#10;AAAAAA==&#10;" adj="10755">
                  <v:fill on="f" focussize="0,0"/>
                  <v:stroke weight="0.25pt" color="#000000 [3213]" joinstyle="round" endarrow="open"/>
                  <v:imagedata o:title=""/>
                  <o:lock v:ext="edit" aspectratio="f"/>
                </v:shape>
                <v:shape id="_x0000_s1026" o:spid="_x0000_s1026" o:spt="34" type="#_x0000_t34" style="position:absolute;left:6014;top:94647;flip:y;height:1;width:282;rotation:-5898240f;" filled="f" stroked="t" coordsize="21600,21600" o:gfxdata="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G1hS/&#10;AAAA2wAAAA8AAAAAAAAAAQAgAAAAIgAAAGRycy9kb3ducmV2LnhtbFBLAQIUABQAAAAIAIdO4kAz&#10;LwWeOwAAADkAAAAQAAAAAAAAAAEAIAAAAA4BAABkcnMvc2hhcGV4bWwueG1sUEsFBgAAAAAGAAYA&#10;WwEAALgDAAAAAA==&#10;" adj="10762">
                  <v:fill on="f" focussize="0,0"/>
                  <v:stroke weight="0.25pt" color="#000000 [3213]" joinstyle="round" endarrow="open"/>
                  <v:imagedata o:title=""/>
                  <o:lock v:ext="edit" aspectratio="f"/>
                </v:shape>
                <v:shape id="_x0000_s1026" o:spid="_x0000_s1026" o:spt="34" type="#_x0000_t34" style="position:absolute;left:6008;top:95302;flip:y;height:2;width:296;rotation:-5898240f;" filled="f" stroked="t" coordsize="21600,21600" o:gfxdata="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l06G8AAAA&#10;2wAAAA8AAAAAAAAAAQAgAAAAIgAAAGRycy9kb3ducmV2LnhtbFBLAQIUABQAAAAIAIdO4kAzLwWe&#10;OwAAADkAAAAQAAAAAAAAAAEAIAAAAAsBAABkcnMvc2hhcGV4bWwueG1sUEsFBgAAAAAGAAYAWwEA&#10;ALUDAAAAAA==&#10;" adj="10800">
                  <v:fill on="f" focussize="0,0"/>
                  <v:stroke weight="0.25pt" color="#000000 [3213]" joinstyle="round" endarrow="open"/>
                  <v:imagedata o:title=""/>
                  <o:lock v:ext="edit" aspectratio="f"/>
                </v:shape>
                <v:line id="_x0000_s1026" o:spid="_x0000_s1026" o:spt="20" style="position:absolute;left:8411;top:92547;height:258;width:1;" filled="f" stroked="t" coordsize="21600,21600" o:gfxdata="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cK1L4A&#10;AADbAAAADwAAAAAAAAABACAAAAAiAAAAZHJzL2Rvd25yZXYueG1sUEsBAhQAFAAAAAgAh07iQDMv&#10;BZ47AAAAOQAAABAAAAAAAAAAAQAgAAAADQEAAGRycy9zaGFwZXhtbC54bWxQSwUGAAAAAAYABgBb&#10;AQAAtwMAAAAA&#10;">
                  <v:fill on="f" focussize="0,0"/>
                  <v:stroke weight="0.25pt" color="#000000 [3213]" joinstyle="round"/>
                  <v:imagedata o:title=""/>
                  <o:lock v:ext="edit" aspectratio="f"/>
                </v:line>
                <v:shape id="_x0000_s1026" o:spid="_x0000_s1026" o:spt="32" type="#_x0000_t32" style="position:absolute;left:8412;top:93172;height:269;width:0;" filled="f" stroked="t" coordsize="21600,21600" o:gfxdata="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aBZIvQAA&#10;ANsAAAAPAAAAAAAAAAEAIAAAACIAAABkcnMvZG93bnJldi54bWxQSwECFAAUAAAACACHTuJAMy8F&#10;njsAAAA5AAAAEAAAAAAAAAABACAAAAAMAQAAZHJzL3NoYXBleG1sLnhtbFBLBQYAAAAABgAGAFsB&#10;AAC2AwAAAAA=&#10;">
                  <v:fill on="f" focussize="0,0"/>
                  <v:stroke weight="0.25pt" color="#000000 [3213]" joinstyle="round" endarrow="open"/>
                  <v:imagedata o:title=""/>
                  <o:lock v:ext="edit" aspectratio="f"/>
                </v:shape>
                <v:shape id="_x0000_s1026" o:spid="_x0000_s1026" o:spt="32" type="#_x0000_t32" style="position:absolute;left:8412;top:93808;height:247;width:1;" filled="f" stroked="t" coordsize="21600,21600" o:gfxdata="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JLPTvQAA&#10;ANsAAAAPAAAAAAAAAAEAIAAAACIAAABkcnMvZG93bnJldi54bWxQSwECFAAUAAAACACHTuJAMy8F&#10;njsAAAA5AAAAEAAAAAAAAAABACAAAAAMAQAAZHJzL3NoYXBleG1sLnhtbFBLBQYAAAAABgAGAFsB&#10;AAC2AwAAAAA=&#10;">
                  <v:fill on="f" focussize="0,0"/>
                  <v:stroke weight="0.25pt" color="#000000 [3213]" joinstyle="round" endarrow="open"/>
                  <v:imagedata o:title=""/>
                  <o:lock v:ext="edit" aspectratio="f"/>
                </v:shape>
                <v:shape id="_x0000_s1026" o:spid="_x0000_s1026" o:spt="32" type="#_x0000_t32" style="position:absolute;left:8413;top:94422;height:360;width:1;" filled="f" stroked="t" coordsize="21600,21600" o:gfxdata="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YtpL4A&#10;AADbAAAADwAAAAAAAAABACAAAAAiAAAAZHJzL2Rvd25yZXYueG1sUEsBAhQAFAAAAAgAh07iQDMv&#10;BZ47AAAAOQAAABAAAAAAAAAAAQAgAAAADQEAAGRycy9zaGFwZXhtbC54bWxQSwUGAAAAAAYABgBb&#10;AQAAtwMAAAAA&#10;">
                  <v:fill on="f" focussize="0,0"/>
                  <v:stroke weight="0.25pt" color="#000000 [3213]" joinstyle="round" endarrow="open"/>
                  <v:imagedata o:title=""/>
                  <o:lock v:ext="edit" aspectratio="f"/>
                </v:shape>
                <v:shape id="_x0000_s1026" o:spid="_x0000_s1026" o:spt="32" type="#_x0000_t32" style="position:absolute;left:8413;top:95149;flip:x;height:290;width:1;" filled="f" stroked="t" coordsize="21600,21600" o:gfxdata="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r3Ri8AAAA&#10;2wAAAA8AAAAAAAAAAQAgAAAAIgAAAGRycy9kb3ducmV2LnhtbFBLAQIUABQAAAAIAIdO4kAzLwWe&#10;OwAAADkAAAAQAAAAAAAAAAEAIAAAAAsBAABkcnMvc2hhcGV4bWwueG1sUEsFBgAAAAAGAAYAWwEA&#10;ALUDAAAAAA==&#10;">
                  <v:fill on="f" focussize="0,0"/>
                  <v:stroke weight="0.25pt" color="#000000 [3213]" joinstyle="round" endarrow="open"/>
                  <v:imagedata o:title=""/>
                  <o:lock v:ext="edit" aspectratio="f"/>
                </v:shape>
                <v:rect id="_x0000_s1026" o:spid="_x0000_s1026" o:spt="1" style="position:absolute;left:2928;top:95338;height:496;width:1539;v-text-anchor:middle;" filled="f" stroked="t" coordsize="21600,21600" o:gfxdata="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nNehLgAAADbAAAA&#10;DwAAAAAAAAABACAAAAAiAAAAZHJzL2Rvd25yZXYueG1sUEsBAhQAFAAAAAgAh07iQDMvBZ47AAAA&#10;OQAAABAAAAAAAAAAAQAgAAAABwEAAGRycy9zaGFwZXhtbC54bWxQSwUGAAAAAAYABgBbAQAAsQMA&#10;AAAA&#10;">
                  <v:fill on="f" focussize="0,0"/>
                  <v:stroke weight="0.5pt" color="#000000 [3213]" joinstyle="round"/>
                  <v:imagedata o:title=""/>
                  <o:lock v:ext="edit" aspectratio="f"/>
                  <v:textbox>
                    <w:txbxContent>
                      <w:p w14:paraId="0B2049F9">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建议前往正规医疗机构就诊</w:t>
                        </w:r>
                      </w:p>
                    </w:txbxContent>
                  </v:textbox>
                </v:rect>
                <v:rect id="_x0000_s1026" o:spid="_x0000_s1026" o:spt="1" style="position:absolute;left:3268;top:94419;height:493;width:767;v-text-anchor:middle;" fillcolor="#FFFFFF [3212]" filled="t" stroked="t" coordsize="21600,21600" o:gfxdata="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M2ii8AAAA&#10;2wAAAA8AAAAAAAAAAQAgAAAAIgAAAGRycy9kb3ducmV2LnhtbFBLAQIUABQAAAAIAIdO4kAzLwWe&#10;OwAAADkAAAAQAAAAAAAAAAEAIAAAAAsBAABkcnMvc2hhcGV4bWwueG1sUEsFBgAAAAAGAAYAWwEA&#10;ALUDAAAAAA==&#10;">
                  <v:fill on="t" focussize="0,0"/>
                  <v:stroke weight="0.25pt" color="#000000 [3213]" joinstyle="round"/>
                  <v:imagedata o:title=""/>
                  <o:lock v:ext="edit" aspectratio="f"/>
                  <v:textbox>
                    <w:txbxContent>
                      <w:p w14:paraId="486F10E0">
                        <w:pPr>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不符合</w:t>
                        </w:r>
                      </w:p>
                      <w:p w14:paraId="64995397">
                        <w:pPr>
                          <w:jc w:val="center"/>
                          <w:rPr>
                            <w:rFonts w:hint="default" w:eastAsiaTheme="minorEastAsia"/>
                            <w:lang w:val="en-US" w:eastAsia="zh-CN"/>
                          </w:rPr>
                        </w:pPr>
                        <w:r>
                          <w:rPr>
                            <w:rFonts w:hint="eastAsia"/>
                            <w:b/>
                            <w:bCs/>
                            <w:color w:val="000000" w:themeColor="text1"/>
                            <w:sz w:val="13"/>
                            <w:szCs w:val="13"/>
                            <w:lang w:val="en-US" w:eastAsia="zh-CN"/>
                            <w14:textFill>
                              <w14:solidFill>
                                <w14:schemeClr w14:val="tx1"/>
                              </w14:solidFill>
                            </w14:textFill>
                          </w:rPr>
                          <w:t>条件</w:t>
                        </w:r>
                        <w:r>
                          <w:rPr>
                            <w:rFonts w:hint="eastAsia"/>
                            <w:lang w:val="en-US" w:eastAsia="zh-CN"/>
                          </w:rPr>
                          <w:t>符合</w:t>
                        </w:r>
                      </w:p>
                    </w:txbxContent>
                  </v:textbox>
                </v:rect>
              </v:group>
            </w:pict>
          </mc:Fallback>
        </mc:AlternateContent>
      </w:r>
    </w:p>
    <w:p w14:paraId="79E0297E">
      <w:pPr>
        <w:bidi w:val="0"/>
      </w:pPr>
    </w:p>
    <w:p w14:paraId="3CCF10DF">
      <w:pPr>
        <w:bidi w:val="0"/>
      </w:pPr>
    </w:p>
    <w:p w14:paraId="2371D32A">
      <w:pPr>
        <w:bidi w:val="0"/>
      </w:pPr>
    </w:p>
    <w:p w14:paraId="4B3EB899">
      <w:pPr>
        <w:bidi w:val="0"/>
      </w:pPr>
    </w:p>
    <w:p w14:paraId="6B152134">
      <w:pPr>
        <w:bidi w:val="0"/>
      </w:pPr>
    </w:p>
    <w:p w14:paraId="479F7982">
      <w:pPr>
        <w:bidi w:val="0"/>
      </w:pPr>
    </w:p>
    <w:p w14:paraId="51A10A61">
      <w:pPr>
        <w:bidi w:val="0"/>
      </w:pPr>
      <w:r>
        <w:rPr>
          <w:sz w:val="22"/>
        </w:rPr>
        <mc:AlternateContent>
          <mc:Choice Requires="wps">
            <w:drawing>
              <wp:anchor distT="0" distB="0" distL="114300" distR="114300" simplePos="0" relativeHeight="251659264" behindDoc="0" locked="0" layoutInCell="1" allowOverlap="1">
                <wp:simplePos x="0" y="0"/>
                <wp:positionH relativeFrom="column">
                  <wp:posOffset>1447800</wp:posOffset>
                </wp:positionH>
                <wp:positionV relativeFrom="paragraph">
                  <wp:posOffset>95885</wp:posOffset>
                </wp:positionV>
                <wp:extent cx="635" cy="690245"/>
                <wp:effectExtent l="48895" t="0" r="57150" b="10795"/>
                <wp:wrapNone/>
                <wp:docPr id="41" name="直接箭头连接符 41"/>
                <wp:cNvGraphicFramePr/>
                <a:graphic xmlns:a="http://schemas.openxmlformats.org/drawingml/2006/main">
                  <a:graphicData uri="http://schemas.microsoft.com/office/word/2010/wordprocessingShape">
                    <wps:wsp>
                      <wps:cNvCnPr>
                        <a:stCxn id="5" idx="2"/>
                        <a:endCxn id="39" idx="0"/>
                      </wps:cNvCnPr>
                      <wps:spPr>
                        <a:xfrm>
                          <a:off x="1541145" y="7466330"/>
                          <a:ext cx="635" cy="690245"/>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14pt;margin-top:7.55pt;height:54.35pt;width:0.05pt;z-index:251659264;mso-width-relative:page;mso-height-relative:page;" filled="f" stroked="t" coordsize="21600,21600" o:gfxdata="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bAcI1gAA&#10;AAoBAAAPAAAAAAAAAAEAIAAAACIAAABkcnMvZG93bnJldi54bWxQSwECFAAUAAAACACHTuJAqSwG&#10;byACAAAXBAAADgAAAAAAAAABACAAAAAlAQAAZHJzL2Uyb0RvYy54bWxQSwUGAAAAAAYABgBZAQAA&#10;twUAAAAA&#10;">
                <v:fill on="f" focussize="0,0"/>
                <v:stroke weight="0.25pt" color="#000000 [3213]" joinstyle="round" endarrow="open"/>
                <v:imagedata o:title=""/>
                <o:lock v:ext="edit" aspectratio="f"/>
              </v:shape>
            </w:pict>
          </mc:Fallback>
        </mc:AlternateContent>
      </w:r>
    </w:p>
    <w:p w14:paraId="3FD3E1E3">
      <w:pPr>
        <w:bidi w:val="0"/>
      </w:pPr>
    </w:p>
    <w:p w14:paraId="0F7E29B1">
      <w:pPr>
        <w:bidi w:val="0"/>
      </w:pPr>
    </w:p>
    <w:p w14:paraId="5F9B5178">
      <w:pPr>
        <w:bidi w:val="0"/>
      </w:pPr>
    </w:p>
    <w:p w14:paraId="16623900">
      <w:pPr>
        <w:pStyle w:val="29"/>
        <w:spacing w:line="360" w:lineRule="auto"/>
        <w:ind w:firstLine="420"/>
        <w:jc w:val="center"/>
      </w:pPr>
    </w:p>
    <w:p w14:paraId="1F2ECEAF">
      <w:pPr>
        <w:pStyle w:val="29"/>
        <w:spacing w:line="360" w:lineRule="auto"/>
        <w:ind w:left="0" w:leftChars="0" w:firstLine="0" w:firstLineChars="0"/>
        <w:jc w:val="center"/>
        <w:rPr>
          <w:rFonts w:hint="eastAsia"/>
          <w:b/>
          <w:bCs/>
          <w:color w:val="FF0000"/>
          <w:sz w:val="15"/>
          <w:szCs w:val="15"/>
          <w:lang w:val="en-US" w:eastAsia="zh-CN"/>
        </w:rPr>
      </w:pPr>
    </w:p>
    <w:p w14:paraId="3563B18F">
      <w:pPr>
        <w:pStyle w:val="29"/>
        <w:spacing w:line="360" w:lineRule="auto"/>
        <w:ind w:left="0" w:leftChars="0" w:firstLine="0" w:firstLineChars="0"/>
        <w:jc w:val="center"/>
        <w:rPr>
          <w:rFonts w:hint="eastAsia"/>
          <w:b/>
          <w:bCs/>
          <w:color w:val="000000" w:themeColor="text1"/>
          <w:sz w:val="15"/>
          <w:szCs w:val="15"/>
          <w:lang w:val="en-US" w:eastAsia="zh-CN"/>
          <w14:textFill>
            <w14:solidFill>
              <w14:schemeClr w14:val="tx1"/>
            </w14:solidFill>
          </w14:textFill>
        </w:rPr>
      </w:pPr>
    </w:p>
    <w:p w14:paraId="0C25475D">
      <w:pPr>
        <w:pStyle w:val="29"/>
        <w:spacing w:line="360" w:lineRule="auto"/>
        <w:ind w:left="0" w:leftChars="0" w:firstLine="0" w:firstLineChars="0"/>
        <w:jc w:val="center"/>
        <w:rPr>
          <w:rFonts w:hint="eastAsia"/>
          <w:color w:val="000000" w:themeColor="text1"/>
          <w:lang w:val="en-US" w:eastAsia="zh-CN"/>
          <w14:textFill>
            <w14:solidFill>
              <w14:schemeClr w14:val="tx1"/>
            </w14:solidFill>
          </w14:textFill>
        </w:rPr>
      </w:pPr>
      <w:r>
        <w:rPr>
          <w:rFonts w:hint="eastAsia"/>
          <w:b/>
          <w:bCs/>
          <w:color w:val="000000" w:themeColor="text1"/>
          <w:sz w:val="15"/>
          <w:szCs w:val="15"/>
          <w:lang w:val="en-US" w:eastAsia="zh-CN"/>
          <w14:textFill>
            <w14:solidFill>
              <w14:schemeClr w14:val="tx1"/>
            </w14:solidFill>
          </w14:textFill>
        </w:rPr>
        <w:t>注：</w:t>
      </w:r>
      <w:r>
        <w:rPr>
          <w:rFonts w:ascii="Times New Roman" w:hAnsi="Times New Roman" w:cs="Times New Roman" w:eastAsiaTheme="minorEastAsia"/>
          <w:b/>
          <w:bCs/>
          <w:color w:val="000000" w:themeColor="text1"/>
          <w:sz w:val="15"/>
          <w:szCs w:val="15"/>
          <w14:textFill>
            <w14:solidFill>
              <w14:schemeClr w14:val="tx1"/>
            </w14:solidFill>
          </w14:textFill>
        </w:rPr>
        <w:t>如</w:t>
      </w:r>
      <w:r>
        <w:rPr>
          <w:rFonts w:hint="eastAsia" w:ascii="Times New Roman" w:hAnsi="Times New Roman" w:cs="Times New Roman" w:eastAsiaTheme="minorEastAsia"/>
          <w:b/>
          <w:bCs/>
          <w:color w:val="000000" w:themeColor="text1"/>
          <w:sz w:val="15"/>
          <w:szCs w:val="15"/>
          <w:lang w:val="en-US" w:eastAsia="zh-CN"/>
          <w14:textFill>
            <w14:solidFill>
              <w14:schemeClr w14:val="tx1"/>
            </w14:solidFill>
          </w14:textFill>
        </w:rPr>
        <w:t>患者</w:t>
      </w:r>
      <w:r>
        <w:rPr>
          <w:rFonts w:ascii="Times New Roman" w:hAnsi="Times New Roman" w:cs="Times New Roman" w:eastAsiaTheme="minorEastAsia"/>
          <w:b/>
          <w:bCs/>
          <w:color w:val="000000" w:themeColor="text1"/>
          <w:sz w:val="15"/>
          <w:szCs w:val="15"/>
          <w14:textFill>
            <w14:solidFill>
              <w14:schemeClr w14:val="tx1"/>
            </w14:solidFill>
          </w14:textFill>
        </w:rPr>
        <w:t>无法前往</w:t>
      </w:r>
      <w:r>
        <w:rPr>
          <w:rFonts w:hint="eastAsia" w:ascii="Times New Roman" w:hAnsi="Times New Roman" w:cs="Times New Roman" w:eastAsiaTheme="minorEastAsia"/>
          <w:b/>
          <w:bCs/>
          <w:color w:val="000000" w:themeColor="text1"/>
          <w:sz w:val="15"/>
          <w:szCs w:val="15"/>
          <w:lang w:val="en-US" w:eastAsia="zh-CN"/>
          <w14:textFill>
            <w14:solidFill>
              <w14:schemeClr w14:val="tx1"/>
            </w14:solidFill>
          </w14:textFill>
        </w:rPr>
        <w:t>线下评估备案</w:t>
      </w:r>
      <w:r>
        <w:rPr>
          <w:rFonts w:ascii="Times New Roman" w:hAnsi="Times New Roman" w:cs="Times New Roman" w:eastAsiaTheme="minorEastAsia"/>
          <w:b/>
          <w:bCs/>
          <w:color w:val="000000" w:themeColor="text1"/>
          <w:sz w:val="15"/>
          <w:szCs w:val="15"/>
          <w14:textFill>
            <w14:solidFill>
              <w14:schemeClr w14:val="tx1"/>
            </w14:solidFill>
          </w14:textFill>
        </w:rPr>
        <w:t>，照顾者需提供患者的近期病情资料及压力性损伤的照片，通过线上或线下问诊的方式建档备案。</w:t>
      </w:r>
      <w:r>
        <w:rPr>
          <w:rFonts w:hint="eastAsia"/>
          <w:color w:val="000000" w:themeColor="text1"/>
          <w:lang w:val="en-US" w:eastAsia="zh-CN"/>
          <w14:textFill>
            <w14:solidFill>
              <w14:schemeClr w14:val="tx1"/>
            </w14:solidFill>
          </w14:textFill>
        </w:rPr>
        <w:t xml:space="preserve"> </w:t>
      </w:r>
    </w:p>
    <w:p w14:paraId="0D78A76A">
      <w:pPr>
        <w:pStyle w:val="29"/>
        <w:spacing w:line="360" w:lineRule="auto"/>
        <w:jc w:val="center"/>
        <w:rPr>
          <w:rFonts w:hint="default" w:eastAsia="宋体"/>
          <w:color w:val="FF0000"/>
          <w:lang w:val="en-US" w:eastAsia="zh-CN"/>
        </w:rPr>
      </w:pPr>
      <w:r>
        <w:rPr>
          <w:rFonts w:hint="eastAsia"/>
          <w:color w:val="FF0000"/>
          <w:lang w:val="en-US" w:eastAsia="zh-CN"/>
        </w:rPr>
        <w:t>图1 服务流程</w:t>
      </w:r>
    </w:p>
    <w:p w14:paraId="444A7126">
      <w:pPr>
        <w:pStyle w:val="39"/>
        <w:spacing w:line="360" w:lineRule="auto"/>
        <w:rPr>
          <w:rFonts w:ascii="Times New Roman" w:hAnsi="Times New Roman" w:cs="Times New Roman" w:eastAsiaTheme="minorEastAsia"/>
          <w:b/>
          <w:bCs/>
          <w:color w:val="auto"/>
        </w:rPr>
      </w:pPr>
      <w:r>
        <w:rPr>
          <w:rFonts w:ascii="Times New Roman" w:hAnsi="Times New Roman" w:cs="Times New Roman" w:eastAsiaTheme="minorEastAsia"/>
          <w:b/>
          <w:bCs/>
          <w:color w:val="auto"/>
        </w:rPr>
        <w:t>（五）服务内容</w:t>
      </w:r>
    </w:p>
    <w:p w14:paraId="76E3A1EF">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1.</w:t>
      </w:r>
      <w:r>
        <w:rPr>
          <w:rFonts w:ascii="Times New Roman" w:hAnsi="Times New Roman" w:cs="Times New Roman" w:eastAsiaTheme="minorEastAsia"/>
          <w:b/>
          <w:bCs/>
          <w:color w:val="auto"/>
        </w:rPr>
        <w:t>失能老人</w:t>
      </w:r>
      <w:r>
        <w:rPr>
          <w:rFonts w:ascii="Times New Roman" w:hAnsi="Times New Roman" w:cs="Times New Roman" w:eastAsiaTheme="minorEastAsia"/>
          <w:b/>
          <w:color w:val="auto"/>
        </w:rPr>
        <w:t>压力性损伤的综合评估：</w:t>
      </w:r>
      <w:r>
        <w:rPr>
          <w:rFonts w:ascii="Times New Roman" w:hAnsi="Times New Roman" w:cs="Times New Roman" w:eastAsiaTheme="minorEastAsia"/>
          <w:color w:val="auto"/>
        </w:rPr>
        <w:t>（1）整体评估。</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评估患者的失能分类及失能等级、现病史、既往史、用药史、合作程度、组织灌注、循环和氧合、感知觉、营养状况、失禁情况及相关检查结果等</w:t>
      </w:r>
      <w:r>
        <w:rPr>
          <w:rFonts w:ascii="Times New Roman" w:hAnsi="Times New Roman" w:cs="Times New Roman" w:eastAsiaTheme="minorEastAsia"/>
          <w:color w:val="auto"/>
          <w:vertAlign w:val="superscript"/>
        </w:rPr>
        <w:t>[31-35]</w:t>
      </w:r>
      <w:r>
        <w:rPr>
          <w:rFonts w:ascii="Times New Roman" w:hAnsi="Times New Roman" w:cs="Times New Roman" w:eastAsiaTheme="minorEastAsia"/>
          <w:color w:val="auto"/>
        </w:rPr>
        <w:t>（1a级证据，A级推荐）。</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进行患者全身压力性损伤风险评估，可选择Norton量表、Braden量表等</w:t>
      </w:r>
      <w:r>
        <w:rPr>
          <w:rFonts w:ascii="Times New Roman" w:hAnsi="Times New Roman" w:cs="Times New Roman" w:eastAsiaTheme="minorEastAsia"/>
          <w:color w:val="auto"/>
          <w:vertAlign w:val="superscript"/>
        </w:rPr>
        <w:t>[32-33,36-37]</w:t>
      </w:r>
      <w:r>
        <w:rPr>
          <w:rFonts w:ascii="Times New Roman" w:hAnsi="Times New Roman" w:cs="Times New Roman" w:eastAsiaTheme="minorEastAsia"/>
          <w:color w:val="auto"/>
        </w:rPr>
        <w:t>（1a级证据，A级推荐）。</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通过整体评估结果，判断影响压力性损伤愈合的因素</w:t>
      </w:r>
      <w:r>
        <w:rPr>
          <w:rFonts w:ascii="Times New Roman" w:hAnsi="Times New Roman" w:cs="Times New Roman" w:eastAsiaTheme="minorEastAsia"/>
          <w:color w:val="auto"/>
          <w:vertAlign w:val="superscript"/>
        </w:rPr>
        <w:t>[38-39]</w:t>
      </w:r>
      <w:r>
        <w:rPr>
          <w:rFonts w:ascii="Times New Roman" w:hAnsi="Times New Roman" w:cs="Times New Roman" w:eastAsiaTheme="minorEastAsia"/>
          <w:color w:val="auto"/>
        </w:rPr>
        <w:t>（1a级证据，A级推荐）。（2）局部评估。</w:t>
      </w:r>
      <w:r>
        <w:rPr>
          <w:rFonts w:hint="eastAsia" w:ascii="Cambria Math" w:hAnsi="Cambria Math" w:cs="Cambria Math" w:eastAsiaTheme="minorEastAsia"/>
          <w:color w:val="auto"/>
          <w:highlight w:val="none"/>
          <w:lang w:val="en-US" w:eastAsia="zh-CN"/>
        </w:rPr>
        <w:t>①</w:t>
      </w:r>
      <w:r>
        <w:rPr>
          <w:rFonts w:ascii="Times New Roman" w:hAnsi="Times New Roman" w:cs="Times New Roman" w:eastAsiaTheme="minorEastAsia"/>
          <w:color w:val="auto"/>
        </w:rPr>
        <w:t>评估并确定压力性损伤的分期（1期、2期、3期、4期、不可分期和深部组织损伤）</w:t>
      </w:r>
      <w:r>
        <w:rPr>
          <w:rFonts w:ascii="Times New Roman" w:hAnsi="Times New Roman" w:cs="Times New Roman" w:eastAsiaTheme="minorEastAsia"/>
          <w:color w:val="auto"/>
          <w:vertAlign w:val="superscript"/>
        </w:rPr>
        <w:t>[32-33,40]</w:t>
      </w:r>
      <w:r>
        <w:rPr>
          <w:rFonts w:ascii="Times New Roman" w:hAnsi="Times New Roman" w:cs="Times New Roman" w:eastAsiaTheme="minorEastAsia"/>
          <w:color w:val="auto"/>
        </w:rPr>
        <w:t>（2b级证据，A级推荐）。</w:t>
      </w:r>
      <w:r>
        <w:rPr>
          <w:rFonts w:hint="eastAsia" w:ascii="Times New Roman" w:hAnsi="Times New Roman" w:cs="Times New Roman" w:eastAsiaTheme="minorEastAsia"/>
          <w:color w:val="auto"/>
          <w:lang w:val="en-US" w:eastAsia="zh-CN"/>
        </w:rPr>
        <w:t>②</w:t>
      </w:r>
      <w:r>
        <w:rPr>
          <w:rFonts w:ascii="Times New Roman" w:hAnsi="Times New Roman" w:cs="Times New Roman" w:eastAsiaTheme="minorEastAsia"/>
          <w:color w:val="auto"/>
        </w:rPr>
        <w:t>局部评估内容包括伤口部位、大小（长、宽、深）、组织类型、有无窦道、潜行或瘘管、渗液、伤口边缘及周围皮肤、疼痛等情况</w:t>
      </w:r>
      <w:r>
        <w:rPr>
          <w:rFonts w:ascii="Times New Roman" w:hAnsi="Times New Roman" w:cs="Times New Roman" w:eastAsiaTheme="minorEastAsia"/>
          <w:color w:val="auto"/>
          <w:vertAlign w:val="superscript"/>
        </w:rPr>
        <w:t>[32-33,41-42]</w:t>
      </w:r>
      <w:r>
        <w:rPr>
          <w:rFonts w:ascii="Times New Roman" w:hAnsi="Times New Roman" w:cs="Times New Roman" w:eastAsiaTheme="minorEastAsia"/>
          <w:color w:val="auto"/>
        </w:rPr>
        <w:t>（2c级证据，A级推荐）。</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评估步骤可参考六步评估法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一视、二嗅、三触、四量、五摄、六录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vertAlign w:val="superscript"/>
        </w:rPr>
        <w:t>[41-42]</w:t>
      </w:r>
      <w:r>
        <w:rPr>
          <w:rFonts w:ascii="Times New Roman" w:hAnsi="Times New Roman" w:cs="Times New Roman" w:eastAsiaTheme="minorEastAsia"/>
          <w:color w:val="auto"/>
        </w:rPr>
        <w:t>（2c级证据，B级推荐）。</w:t>
      </w:r>
      <w:r>
        <w:rPr>
          <w:rFonts w:hint="eastAsia" w:ascii="Cambria Math" w:hAnsi="Cambria Math" w:cs="Cambria Math" w:eastAsiaTheme="minorEastAsia"/>
          <w:color w:val="auto"/>
          <w:lang w:val="en-US" w:eastAsia="zh-CN"/>
        </w:rPr>
        <w:t>④</w:t>
      </w:r>
      <w:r>
        <w:rPr>
          <w:rFonts w:ascii="Times New Roman" w:hAnsi="Times New Roman" w:cs="Times New Roman" w:eastAsiaTheme="minorEastAsia"/>
          <w:color w:val="auto"/>
        </w:rPr>
        <w:t>局部评估工具包括Bates-Jensen伤口评估工具、照相伤口评估工具（Photographic wound assessment tool，PWAT）</w:t>
      </w:r>
      <w:r>
        <w:rPr>
          <w:rFonts w:ascii="Times New Roman" w:hAnsi="Times New Roman" w:cs="Times New Roman" w:eastAsiaTheme="minorEastAsia"/>
          <w:color w:val="auto"/>
          <w:vertAlign w:val="superscript"/>
        </w:rPr>
        <w:t>[32,38,43]</w:t>
      </w:r>
      <w:r>
        <w:rPr>
          <w:rFonts w:ascii="Times New Roman" w:hAnsi="Times New Roman" w:cs="Times New Roman" w:eastAsiaTheme="minorEastAsia"/>
          <w:color w:val="auto"/>
        </w:rPr>
        <w:t>（2b级证据，A级推荐）。</w:t>
      </w:r>
      <w:r>
        <w:rPr>
          <w:rFonts w:hint="eastAsia" w:ascii="Cambria Math" w:hAnsi="Cambria Math" w:cs="Cambria Math" w:eastAsiaTheme="minorEastAsia"/>
          <w:color w:val="auto"/>
          <w:lang w:val="en-US" w:eastAsia="zh-CN"/>
        </w:rPr>
        <w:t>⑤</w:t>
      </w:r>
      <w:r>
        <w:rPr>
          <w:rFonts w:ascii="Times New Roman" w:hAnsi="Times New Roman" w:cs="Times New Roman" w:eastAsiaTheme="minorEastAsia"/>
          <w:color w:val="auto"/>
        </w:rPr>
        <w:t>测量伤口可选择直尺法、薄膜伤口描绘法、数字化伤口描绘法、计算机辅助平面测量法等</w:t>
      </w:r>
      <w:r>
        <w:rPr>
          <w:rFonts w:ascii="Times New Roman" w:hAnsi="Times New Roman" w:cs="Times New Roman" w:eastAsiaTheme="minorEastAsia"/>
          <w:color w:val="auto"/>
          <w:vertAlign w:val="superscript"/>
        </w:rPr>
        <w:t>[33,44]</w:t>
      </w:r>
      <w:r>
        <w:rPr>
          <w:rFonts w:ascii="Times New Roman" w:hAnsi="Times New Roman" w:cs="Times New Roman" w:eastAsiaTheme="minorEastAsia"/>
          <w:color w:val="auto"/>
        </w:rPr>
        <w:t>（2a级证据，A级推荐）。</w:t>
      </w:r>
      <w:r>
        <w:rPr>
          <w:rFonts w:hint="eastAsia" w:ascii="Cambria Math" w:hAnsi="Cambria Math" w:cs="Cambria Math" w:eastAsiaTheme="minorEastAsia"/>
          <w:color w:val="auto"/>
          <w:lang w:val="en-US" w:eastAsia="zh-CN"/>
        </w:rPr>
        <w:t>⑥</w:t>
      </w:r>
      <w:r>
        <w:rPr>
          <w:rFonts w:ascii="Times New Roman" w:hAnsi="Times New Roman" w:cs="Times New Roman" w:eastAsiaTheme="minorEastAsia"/>
          <w:color w:val="auto"/>
        </w:rPr>
        <w:t>测量窦道、潜行可选择探针法探入、标记后直尺测量法、探针钟表测量法等</w:t>
      </w:r>
      <w:r>
        <w:rPr>
          <w:rFonts w:ascii="Times New Roman" w:hAnsi="Times New Roman" w:cs="Times New Roman" w:eastAsiaTheme="minorEastAsia"/>
          <w:color w:val="auto"/>
          <w:vertAlign w:val="superscript"/>
        </w:rPr>
        <w:t>[33,45-46]</w:t>
      </w:r>
      <w:r>
        <w:rPr>
          <w:rFonts w:ascii="Times New Roman" w:hAnsi="Times New Roman" w:cs="Times New Roman" w:eastAsiaTheme="minorEastAsia"/>
          <w:color w:val="auto"/>
        </w:rPr>
        <w:t>（1a级证据，A级推荐）。</w:t>
      </w:r>
      <w:r>
        <w:rPr>
          <w:rFonts w:hint="eastAsia" w:ascii="Cambria Math" w:hAnsi="Cambria Math" w:cs="Cambria Math" w:eastAsiaTheme="minorEastAsia"/>
          <w:color w:val="auto"/>
          <w:lang w:val="en-US" w:eastAsia="zh-CN"/>
        </w:rPr>
        <w:t>⑦</w:t>
      </w:r>
      <w:r>
        <w:rPr>
          <w:rFonts w:ascii="Times New Roman" w:hAnsi="Times New Roman" w:cs="Times New Roman" w:eastAsiaTheme="minorEastAsia"/>
          <w:color w:val="auto"/>
        </w:rPr>
        <w:t>评估疼痛程度可选择视觉模拟量表，面部疼痛评定量表等</w:t>
      </w:r>
      <w:r>
        <w:rPr>
          <w:rFonts w:ascii="Times New Roman" w:hAnsi="Times New Roman" w:cs="Times New Roman" w:eastAsiaTheme="minorEastAsia"/>
          <w:color w:val="auto"/>
          <w:vertAlign w:val="superscript"/>
        </w:rPr>
        <w:t>[33,45,47]</w:t>
      </w:r>
      <w:r>
        <w:rPr>
          <w:rFonts w:ascii="Times New Roman" w:hAnsi="Times New Roman" w:cs="Times New Roman" w:eastAsiaTheme="minorEastAsia"/>
          <w:color w:val="auto"/>
        </w:rPr>
        <w:t>（1a级证据，A级推荐）。（3）照顾者及社会支持评估。</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评估照顾者及患者对压力性损伤护理的预期目标。</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评估照顾者的压力性损伤护理的专业知识和护理技能。</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评估失能老年患者家庭可用的社会支持和医疗护理资源</w:t>
      </w:r>
      <w:r>
        <w:rPr>
          <w:rFonts w:ascii="Times New Roman" w:hAnsi="Times New Roman" w:cs="Times New Roman" w:eastAsiaTheme="minorEastAsia"/>
          <w:color w:val="auto"/>
          <w:vertAlign w:val="superscript"/>
        </w:rPr>
        <w:t>[32-33,41,48]</w:t>
      </w:r>
      <w:r>
        <w:rPr>
          <w:rFonts w:ascii="Times New Roman" w:hAnsi="Times New Roman" w:cs="Times New Roman" w:eastAsiaTheme="minorEastAsia"/>
          <w:color w:val="auto"/>
        </w:rPr>
        <w:t>（2d级证据，B级推荐）。</w:t>
      </w:r>
    </w:p>
    <w:p w14:paraId="15C83394">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2.</w:t>
      </w:r>
      <w:r>
        <w:rPr>
          <w:rFonts w:ascii="Times New Roman" w:hAnsi="Times New Roman" w:cs="Times New Roman" w:eastAsiaTheme="minorEastAsia"/>
          <w:b/>
          <w:bCs/>
          <w:color w:val="auto"/>
        </w:rPr>
        <w:t>失能老人</w:t>
      </w:r>
      <w:r>
        <w:rPr>
          <w:rFonts w:ascii="Times New Roman" w:hAnsi="Times New Roman" w:cs="Times New Roman" w:eastAsiaTheme="minorEastAsia"/>
          <w:b/>
          <w:color w:val="auto"/>
        </w:rPr>
        <w:t>压力性损伤的护理：</w:t>
      </w:r>
      <w:r>
        <w:rPr>
          <w:rFonts w:ascii="Times New Roman" w:hAnsi="Times New Roman" w:cs="Times New Roman" w:eastAsiaTheme="minorEastAsia"/>
          <w:color w:val="auto"/>
        </w:rPr>
        <w:t>（1）总体原则。遵循湿性愈合理念，对压力性损伤进行伤口床准备，</w:t>
      </w:r>
      <w:r>
        <w:rPr>
          <w:rFonts w:hint="eastAsia" w:ascii="Times New Roman" w:hAnsi="Times New Roman" w:cs="Times New Roman" w:eastAsiaTheme="minorEastAsia"/>
          <w:color w:val="FF0000"/>
          <w:lang w:val="en-US" w:eastAsia="zh-CN"/>
        </w:rPr>
        <w:t>做到“</w:t>
      </w:r>
      <w:r>
        <w:rPr>
          <w:rFonts w:ascii="Times New Roman" w:hAnsi="Times New Roman" w:cs="Times New Roman" w:eastAsiaTheme="minorEastAsia"/>
          <w:color w:val="FF0000"/>
        </w:rPr>
        <w:t>去除坏死组织</w:t>
      </w:r>
      <w:r>
        <w:rPr>
          <w:rFonts w:hint="eastAsia" w:ascii="Times New Roman" w:hAnsi="Times New Roman" w:cs="Times New Roman" w:eastAsiaTheme="minorEastAsia"/>
          <w:color w:val="FF0000"/>
          <w:lang w:eastAsia="zh-CN"/>
        </w:rPr>
        <w:t>（</w:t>
      </w:r>
      <w:r>
        <w:rPr>
          <w:rFonts w:hint="eastAsia" w:ascii="Times New Roman" w:hAnsi="Times New Roman" w:cs="Times New Roman" w:eastAsiaTheme="minorEastAsia"/>
          <w:color w:val="FF0000"/>
          <w:lang w:val="en-US" w:eastAsia="zh-CN"/>
        </w:rPr>
        <w:t>Tissue</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FF0000"/>
        </w:rPr>
        <w:t>，控制感染</w:t>
      </w:r>
      <w:r>
        <w:rPr>
          <w:rFonts w:hint="eastAsia" w:ascii="Times New Roman" w:hAnsi="Times New Roman" w:cs="Times New Roman" w:eastAsiaTheme="minorEastAsia"/>
          <w:color w:val="FF0000"/>
          <w:lang w:eastAsia="zh-CN"/>
        </w:rPr>
        <w:t>（</w:t>
      </w:r>
      <w:r>
        <w:rPr>
          <w:rFonts w:hint="eastAsia" w:ascii="Times New Roman" w:hAnsi="Times New Roman" w:cs="Times New Roman" w:eastAsiaTheme="minorEastAsia"/>
          <w:color w:val="FF0000"/>
          <w:lang w:val="en-US" w:eastAsia="zh-CN"/>
        </w:rPr>
        <w:t>Infection</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FF0000"/>
        </w:rPr>
        <w:t>，保持伤口干湿平衡</w:t>
      </w:r>
      <w:r>
        <w:rPr>
          <w:rFonts w:hint="eastAsia" w:ascii="Times New Roman" w:hAnsi="Times New Roman" w:cs="Times New Roman" w:eastAsiaTheme="minorEastAsia"/>
          <w:color w:val="FF0000"/>
          <w:lang w:eastAsia="zh-CN"/>
        </w:rPr>
        <w:t>（Moisture）</w:t>
      </w:r>
      <w:r>
        <w:rPr>
          <w:rFonts w:ascii="Times New Roman" w:hAnsi="Times New Roman" w:cs="Times New Roman" w:eastAsiaTheme="minorEastAsia"/>
          <w:color w:val="FF0000"/>
        </w:rPr>
        <w:t>，关注伤口边缘及周围皮肤</w:t>
      </w:r>
      <w:r>
        <w:rPr>
          <w:rFonts w:hint="eastAsia" w:ascii="Times New Roman" w:hAnsi="Times New Roman" w:cs="Times New Roman" w:eastAsiaTheme="minorEastAsia"/>
          <w:color w:val="FF0000"/>
          <w:lang w:eastAsia="zh-CN"/>
        </w:rPr>
        <w:t>（Edge）</w:t>
      </w:r>
      <w:r>
        <w:rPr>
          <w:rFonts w:ascii="Times New Roman" w:hAnsi="Times New Roman" w:cs="Times New Roman" w:eastAsiaTheme="minorEastAsia"/>
          <w:color w:val="FF0000"/>
        </w:rPr>
        <w:t>、组织修复与再生能力</w:t>
      </w:r>
      <w:r>
        <w:rPr>
          <w:rFonts w:hint="eastAsia" w:ascii="Times New Roman" w:hAnsi="Times New Roman" w:cs="Times New Roman" w:eastAsiaTheme="minorEastAsia"/>
          <w:color w:val="FF0000"/>
          <w:lang w:eastAsia="zh-CN"/>
        </w:rPr>
        <w:t>（Repair）、</w:t>
      </w:r>
      <w:r>
        <w:rPr>
          <w:rFonts w:ascii="Times New Roman" w:hAnsi="Times New Roman" w:cs="Times New Roman" w:eastAsiaTheme="minorEastAsia"/>
          <w:color w:val="FF0000"/>
        </w:rPr>
        <w:t>患者</w:t>
      </w:r>
      <w:r>
        <w:rPr>
          <w:rFonts w:hint="eastAsia" w:ascii="Times New Roman" w:hAnsi="Times New Roman" w:cs="Times New Roman" w:eastAsiaTheme="minorEastAsia"/>
          <w:color w:val="FF0000"/>
          <w:lang w:val="en-US" w:eastAsia="zh-CN"/>
        </w:rPr>
        <w:t>社会心理</w:t>
      </w:r>
      <w:r>
        <w:rPr>
          <w:rFonts w:ascii="Times New Roman" w:hAnsi="Times New Roman" w:cs="Times New Roman" w:eastAsiaTheme="minorEastAsia"/>
          <w:color w:val="FF0000"/>
        </w:rPr>
        <w:t>因素</w:t>
      </w:r>
      <w:r>
        <w:rPr>
          <w:rFonts w:hint="eastAsia" w:ascii="Times New Roman" w:hAnsi="Times New Roman" w:cs="Times New Roman" w:eastAsiaTheme="minorEastAsia"/>
          <w:color w:val="FF0000"/>
          <w:lang w:eastAsia="zh-CN"/>
        </w:rPr>
        <w:t>（</w:t>
      </w:r>
      <w:r>
        <w:rPr>
          <w:rFonts w:hint="eastAsia" w:ascii="Times New Roman" w:hAnsi="Times New Roman" w:cs="Times New Roman" w:eastAsiaTheme="minorEastAsia"/>
          <w:color w:val="FF0000"/>
          <w:lang w:val="en-US" w:eastAsia="zh-CN"/>
        </w:rPr>
        <w:t>Social</w:t>
      </w:r>
      <w:r>
        <w:rPr>
          <w:rFonts w:hint="eastAsia" w:ascii="Times New Roman" w:hAnsi="Times New Roman" w:cs="Times New Roman" w:eastAsiaTheme="minorEastAsia"/>
          <w:color w:val="FF0000"/>
          <w:lang w:eastAsia="zh-CN"/>
        </w:rPr>
        <w:t>）”，</w:t>
      </w:r>
      <w:r>
        <w:rPr>
          <w:rFonts w:hint="eastAsia" w:ascii="Times New Roman" w:hAnsi="Times New Roman" w:cs="Times New Roman" w:eastAsiaTheme="minorEastAsia"/>
          <w:color w:val="FF0000"/>
          <w:lang w:val="en-US" w:eastAsia="zh-CN"/>
        </w:rPr>
        <w:t>即TIMERS原则</w:t>
      </w:r>
      <w:r>
        <w:rPr>
          <w:rFonts w:ascii="Times New Roman" w:hAnsi="Times New Roman" w:cs="Times New Roman" w:eastAsiaTheme="minorEastAsia"/>
          <w:color w:val="auto"/>
          <w:vertAlign w:val="superscript"/>
        </w:rPr>
        <w:t>[33,49-50]</w:t>
      </w:r>
      <w:r>
        <w:rPr>
          <w:rFonts w:ascii="Times New Roman" w:hAnsi="Times New Roman" w:cs="Times New Roman" w:eastAsiaTheme="minorEastAsia"/>
          <w:color w:val="auto"/>
        </w:rPr>
        <w:t>（2c级证据，A级推荐）。（2）护理前准备。</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入户前沟通。专科护士确定入户护理内容，入户时间及地点</w:t>
      </w:r>
      <w:r>
        <w:rPr>
          <w:rFonts w:ascii="Times New Roman" w:hAnsi="Times New Roman" w:cs="Times New Roman" w:eastAsiaTheme="minorEastAsia"/>
          <w:color w:val="auto"/>
          <w:vertAlign w:val="superscript"/>
        </w:rPr>
        <w:t>[18,28,38]</w:t>
      </w:r>
      <w:r>
        <w:rPr>
          <w:rFonts w:ascii="Times New Roman" w:hAnsi="Times New Roman" w:cs="Times New Roman" w:eastAsiaTheme="minorEastAsia"/>
          <w:color w:val="auto"/>
        </w:rPr>
        <w:t>（2级证据，A级推荐）。</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专科护士根据前期评估及入户前沟通结果，制定入户护理计划。</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物品准备：根据前期评估及入户前沟通结果，准备入户所需物品，避免遗漏</w:t>
      </w:r>
      <w:r>
        <w:rPr>
          <w:rFonts w:ascii="Times New Roman" w:hAnsi="Times New Roman" w:cs="Times New Roman" w:eastAsiaTheme="minorEastAsia"/>
          <w:color w:val="auto"/>
          <w:vertAlign w:val="superscript"/>
        </w:rPr>
        <w:t>[18,28,38]</w:t>
      </w:r>
      <w:r>
        <w:rPr>
          <w:rFonts w:ascii="Times New Roman" w:hAnsi="Times New Roman" w:cs="Times New Roman" w:eastAsiaTheme="minorEastAsia"/>
          <w:color w:val="auto"/>
        </w:rPr>
        <w:t>（2级证据，A级推荐）。</w:t>
      </w:r>
      <w:r>
        <w:rPr>
          <w:rFonts w:hint="eastAsia" w:ascii="Cambria Math" w:hAnsi="Cambria Math" w:cs="Cambria Math" w:eastAsiaTheme="minorEastAsia"/>
          <w:color w:val="auto"/>
          <w:lang w:val="en-US" w:eastAsia="zh-CN"/>
        </w:rPr>
        <w:t>④</w:t>
      </w:r>
      <w:r>
        <w:rPr>
          <w:rFonts w:ascii="Times New Roman" w:hAnsi="Times New Roman" w:cs="Times New Roman" w:eastAsiaTheme="minorEastAsia"/>
          <w:color w:val="auto"/>
        </w:rPr>
        <w:t>环境准备。在护士指导下，照顾者提前做好操作环境准备。保持环境清洁，光线充足，操作空间宽敞、安全</w:t>
      </w:r>
      <w:r>
        <w:rPr>
          <w:rFonts w:ascii="Times New Roman" w:hAnsi="Times New Roman" w:cs="Times New Roman" w:eastAsiaTheme="minorEastAsia"/>
          <w:color w:val="auto"/>
          <w:vertAlign w:val="superscript"/>
        </w:rPr>
        <w:t>[18,28,38]</w:t>
      </w:r>
      <w:r>
        <w:rPr>
          <w:rFonts w:ascii="Times New Roman" w:hAnsi="Times New Roman" w:cs="Times New Roman" w:eastAsiaTheme="minorEastAsia"/>
          <w:color w:val="auto"/>
        </w:rPr>
        <w:t>（2级证据，A级推荐）。</w:t>
      </w:r>
      <w:r>
        <w:rPr>
          <w:rFonts w:hint="eastAsia" w:ascii="Cambria Math" w:hAnsi="Cambria Math" w:cs="Cambria Math" w:eastAsiaTheme="minorEastAsia"/>
          <w:color w:val="auto"/>
          <w:lang w:val="en-US" w:eastAsia="zh-CN"/>
        </w:rPr>
        <w:t>⑤</w:t>
      </w:r>
      <w:r>
        <w:rPr>
          <w:rFonts w:ascii="Times New Roman" w:hAnsi="Times New Roman" w:cs="Times New Roman" w:eastAsiaTheme="minorEastAsia"/>
          <w:color w:val="auto"/>
        </w:rPr>
        <w:t>护士及患者准备。护士衣帽整洁，做好个人防护，向患者解释目的及过程，取得配合。协助患者处于便于换药的舒适体位，保护患者隐私</w:t>
      </w:r>
      <w:r>
        <w:rPr>
          <w:rFonts w:ascii="Times New Roman" w:hAnsi="Times New Roman" w:cs="Times New Roman" w:eastAsiaTheme="minorEastAsia"/>
          <w:color w:val="auto"/>
          <w:vertAlign w:val="superscript"/>
        </w:rPr>
        <w:t>[18,28,38]</w:t>
      </w:r>
      <w:r>
        <w:rPr>
          <w:rFonts w:ascii="Times New Roman" w:hAnsi="Times New Roman" w:cs="Times New Roman" w:eastAsiaTheme="minorEastAsia"/>
          <w:color w:val="auto"/>
        </w:rPr>
        <w:t>（2级证据，A级推荐）。（3）护理要点。</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如果患者皮肤出现指压不变白的红斑或骨隆突部位，可使用泡沫敷料、水胶体敷料或液体敷料。皮肤发红区域不得加压按摩</w:t>
      </w:r>
      <w:r>
        <w:rPr>
          <w:rFonts w:ascii="Times New Roman" w:hAnsi="Times New Roman" w:cs="Times New Roman" w:eastAsiaTheme="minorEastAsia"/>
          <w:color w:val="auto"/>
          <w:vertAlign w:val="superscript"/>
        </w:rPr>
        <w:t>[33,41,51]</w:t>
      </w:r>
      <w:r>
        <w:rPr>
          <w:rFonts w:ascii="Times New Roman" w:hAnsi="Times New Roman" w:cs="Times New Roman" w:eastAsiaTheme="minorEastAsia"/>
          <w:color w:val="auto"/>
        </w:rPr>
        <w:t>（1a级证据，A级推荐）。</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皮肤出现水疱时，注意疱皮保护，直径&gt;1cm的水疱抽吸后覆盖无菌敷料</w:t>
      </w:r>
      <w:r>
        <w:rPr>
          <w:rFonts w:ascii="Times New Roman" w:hAnsi="Times New Roman" w:cs="Times New Roman" w:eastAsiaTheme="minorEastAsia"/>
          <w:color w:val="auto"/>
          <w:vertAlign w:val="superscript"/>
        </w:rPr>
        <w:t>[33,41,52]</w:t>
      </w:r>
      <w:r>
        <w:rPr>
          <w:rFonts w:ascii="Times New Roman" w:hAnsi="Times New Roman" w:cs="Times New Roman" w:eastAsiaTheme="minorEastAsia"/>
          <w:color w:val="auto"/>
        </w:rPr>
        <w:t>（2c级证据，A级推荐）。</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根据伤口渗液量、患者经济状况及材料的可及性选择合适的敷料，保持干湿平衡，同时考虑敷料黏胶对脆弱皮肤的潜在影响</w:t>
      </w:r>
      <w:r>
        <w:rPr>
          <w:rFonts w:ascii="Times New Roman" w:hAnsi="Times New Roman" w:cs="Times New Roman" w:eastAsiaTheme="minorEastAsia"/>
          <w:color w:val="auto"/>
          <w:vertAlign w:val="superscript"/>
        </w:rPr>
        <w:t>[33,41,53]</w:t>
      </w:r>
      <w:r>
        <w:rPr>
          <w:rFonts w:ascii="Times New Roman" w:hAnsi="Times New Roman" w:cs="Times New Roman" w:eastAsiaTheme="minorEastAsia"/>
          <w:color w:val="auto"/>
        </w:rPr>
        <w:t>（1a级证据，A级推荐）。</w:t>
      </w:r>
      <w:r>
        <w:rPr>
          <w:rFonts w:hint="eastAsia" w:ascii="Times New Roman" w:hAnsi="Times New Roman" w:cs="Times New Roman" w:eastAsiaTheme="minorEastAsia"/>
          <w:color w:val="auto"/>
          <w:lang w:val="en-US" w:eastAsia="zh-CN"/>
        </w:rPr>
        <w:t>④</w:t>
      </w:r>
      <w:r>
        <w:rPr>
          <w:rFonts w:ascii="Times New Roman" w:hAnsi="Times New Roman" w:cs="Times New Roman" w:eastAsiaTheme="minorEastAsia"/>
          <w:color w:val="auto"/>
        </w:rPr>
        <w:t>通过清创、控制感染和渗液管理等方式准备伤口床，以促进创面上皮化</w:t>
      </w:r>
      <w:r>
        <w:rPr>
          <w:rFonts w:ascii="Times New Roman" w:hAnsi="Times New Roman" w:cs="Times New Roman" w:eastAsiaTheme="minorEastAsia"/>
          <w:color w:val="auto"/>
          <w:vertAlign w:val="superscript"/>
        </w:rPr>
        <w:t>[33,41,54-55]</w:t>
      </w:r>
      <w:r>
        <w:rPr>
          <w:rFonts w:ascii="Times New Roman" w:hAnsi="Times New Roman" w:cs="Times New Roman" w:eastAsiaTheme="minorEastAsia"/>
          <w:color w:val="auto"/>
        </w:rPr>
        <w:t>（1c级证据，A级推荐）。</w:t>
      </w:r>
      <w:r>
        <w:rPr>
          <w:rFonts w:hint="eastAsia" w:ascii="Cambria Math" w:hAnsi="Cambria Math" w:cs="Cambria Math" w:eastAsiaTheme="minorEastAsia"/>
          <w:color w:val="auto"/>
          <w:lang w:val="en-US" w:eastAsia="zh-CN"/>
        </w:rPr>
        <w:t>⑤</w:t>
      </w:r>
      <w:r>
        <w:rPr>
          <w:rFonts w:ascii="Times New Roman" w:hAnsi="Times New Roman" w:cs="Times New Roman" w:eastAsiaTheme="minorEastAsia"/>
          <w:color w:val="auto"/>
        </w:rPr>
        <w:t>伤口出现坏死组织时，应考虑清创。居家环境中，建议选择自溶性清创/保守锐器清创的方式，以确保安全</w:t>
      </w:r>
      <w:r>
        <w:rPr>
          <w:rFonts w:ascii="Times New Roman" w:hAnsi="Times New Roman" w:cs="Times New Roman" w:eastAsiaTheme="minorEastAsia"/>
          <w:color w:val="auto"/>
          <w:vertAlign w:val="superscript"/>
        </w:rPr>
        <w:t>[41,54,56]</w:t>
      </w:r>
      <w:r>
        <w:rPr>
          <w:rFonts w:ascii="Times New Roman" w:hAnsi="Times New Roman" w:cs="Times New Roman" w:eastAsiaTheme="minorEastAsia"/>
          <w:color w:val="auto"/>
        </w:rPr>
        <w:t>（1a级证据，B级推荐）。</w:t>
      </w:r>
      <w:r>
        <w:rPr>
          <w:rFonts w:hint="eastAsia" w:ascii="Cambria Math" w:hAnsi="Cambria Math" w:cs="Cambria Math" w:eastAsiaTheme="minorEastAsia"/>
          <w:color w:val="auto"/>
          <w:lang w:val="en-US" w:eastAsia="zh-CN"/>
        </w:rPr>
        <w:t>⑥</w:t>
      </w:r>
      <w:r>
        <w:rPr>
          <w:rFonts w:ascii="Times New Roman" w:hAnsi="Times New Roman" w:cs="Times New Roman" w:eastAsiaTheme="minorEastAsia"/>
          <w:color w:val="auto"/>
        </w:rPr>
        <w:t>对于下肢处于不可分期阶段的压力性损伤患者，在开始清创操作之前，必须全面检查血管状况，确保患者不存在动脉供血不足的情况</w:t>
      </w:r>
      <w:r>
        <w:rPr>
          <w:rFonts w:ascii="Times New Roman" w:hAnsi="Times New Roman" w:cs="Times New Roman" w:eastAsiaTheme="minorEastAsia"/>
          <w:color w:val="auto"/>
          <w:vertAlign w:val="superscript"/>
        </w:rPr>
        <w:t>[41,57]</w:t>
      </w:r>
      <w:r>
        <w:rPr>
          <w:rFonts w:ascii="Times New Roman" w:hAnsi="Times New Roman" w:cs="Times New Roman" w:eastAsiaTheme="minorEastAsia"/>
          <w:color w:val="auto"/>
        </w:rPr>
        <w:t>（1a级证据，A级推荐）。</w:t>
      </w:r>
      <w:r>
        <w:rPr>
          <w:rFonts w:hint="eastAsia" w:ascii="Cambria Math" w:hAnsi="Cambria Math" w:cs="Cambria Math" w:eastAsiaTheme="minorEastAsia"/>
          <w:color w:val="auto"/>
          <w:lang w:val="en-US" w:eastAsia="zh-CN"/>
        </w:rPr>
        <w:t>⑦</w:t>
      </w:r>
      <w:r>
        <w:rPr>
          <w:rFonts w:ascii="Times New Roman" w:hAnsi="Times New Roman" w:cs="Times New Roman" w:eastAsiaTheme="minorEastAsia"/>
          <w:color w:val="auto"/>
        </w:rPr>
        <w:t>足跟部若出现稳定状态的焦痂，即表现为干燥、紧密附着、完整且无红肿或波动感时，无须进行清除处理</w:t>
      </w:r>
      <w:r>
        <w:rPr>
          <w:rFonts w:ascii="Times New Roman" w:hAnsi="Times New Roman" w:cs="Times New Roman" w:eastAsiaTheme="minorEastAsia"/>
          <w:color w:val="auto"/>
          <w:vertAlign w:val="superscript"/>
        </w:rPr>
        <w:t xml:space="preserve">[41,54,58] </w:t>
      </w:r>
      <w:r>
        <w:rPr>
          <w:rFonts w:ascii="Times New Roman" w:hAnsi="Times New Roman" w:cs="Times New Roman" w:eastAsiaTheme="minorEastAsia"/>
          <w:color w:val="auto"/>
        </w:rPr>
        <w:t>（1b级证据，A级推荐）。</w:t>
      </w:r>
      <w:r>
        <w:rPr>
          <w:rFonts w:hint="eastAsia" w:ascii="Cambria Math" w:hAnsi="Cambria Math" w:cs="Cambria Math" w:eastAsiaTheme="minorEastAsia"/>
          <w:color w:val="auto"/>
          <w:lang w:val="en-US" w:eastAsia="zh-CN"/>
        </w:rPr>
        <w:t>⑧</w:t>
      </w:r>
      <w:r>
        <w:rPr>
          <w:rFonts w:ascii="Times New Roman" w:hAnsi="Times New Roman" w:cs="Times New Roman" w:eastAsiaTheme="minorEastAsia"/>
          <w:color w:val="auto"/>
        </w:rPr>
        <w:t>当伤口有明显感染迹象或疑似感染时，建议采集样本进行细菌培养。在居家环境中，若条件有限无法进行细菌培养，但伤口局部已呈现感染症状，建议使用具有抗菌功能的敷料控制感染</w:t>
      </w:r>
      <w:r>
        <w:rPr>
          <w:rFonts w:ascii="Times New Roman" w:hAnsi="Times New Roman" w:cs="Times New Roman" w:eastAsiaTheme="minorEastAsia"/>
          <w:color w:val="auto"/>
          <w:vertAlign w:val="superscript"/>
        </w:rPr>
        <w:t>[41,55]</w:t>
      </w:r>
      <w:r>
        <w:rPr>
          <w:rFonts w:ascii="Times New Roman" w:hAnsi="Times New Roman" w:cs="Times New Roman" w:eastAsiaTheme="minorEastAsia"/>
          <w:color w:val="auto"/>
        </w:rPr>
        <w:t>（1c级证据，A级推荐）。</w:t>
      </w:r>
      <w:r>
        <w:rPr>
          <w:rFonts w:hint="eastAsia" w:ascii="Cambria Math" w:hAnsi="Cambria Math" w:cs="Cambria Math" w:eastAsiaTheme="minorEastAsia"/>
          <w:color w:val="auto"/>
          <w:lang w:val="en-US" w:eastAsia="zh-CN"/>
        </w:rPr>
        <w:t>⑨</w:t>
      </w:r>
      <w:r>
        <w:rPr>
          <w:rFonts w:ascii="Times New Roman" w:hAnsi="Times New Roman" w:cs="Times New Roman" w:eastAsiaTheme="minorEastAsia"/>
          <w:color w:val="auto"/>
        </w:rPr>
        <w:t>如果存在潜行或窦道，所选用的填充敷料应适当，需确保其能够接触到潜行或窦道的底部，同时避免过度填塞对组织造成损伤</w:t>
      </w:r>
      <w:r>
        <w:rPr>
          <w:rFonts w:ascii="Times New Roman" w:hAnsi="Times New Roman" w:cs="Times New Roman" w:eastAsiaTheme="minorEastAsia"/>
          <w:color w:val="auto"/>
          <w:vertAlign w:val="superscript"/>
        </w:rPr>
        <w:t>[41,59]</w:t>
      </w:r>
      <w:r>
        <w:rPr>
          <w:rFonts w:ascii="Times New Roman" w:hAnsi="Times New Roman" w:cs="Times New Roman" w:eastAsiaTheme="minorEastAsia"/>
          <w:color w:val="auto"/>
        </w:rPr>
        <w:t>（2c级证据，A级推荐）。</w:t>
      </w:r>
      <w:r>
        <w:rPr>
          <w:rFonts w:hint="eastAsia" w:ascii="Cambria Math" w:hAnsi="Cambria Math" w:cs="Cambria Math" w:eastAsiaTheme="minorEastAsia"/>
          <w:color w:val="auto"/>
          <w:lang w:val="en-US" w:eastAsia="zh-CN"/>
        </w:rPr>
        <w:t>⑩</w:t>
      </w:r>
      <w:r>
        <w:rPr>
          <w:rFonts w:ascii="Times New Roman" w:hAnsi="Times New Roman" w:cs="Times New Roman" w:eastAsiaTheme="minorEastAsia"/>
          <w:color w:val="auto"/>
        </w:rPr>
        <w:t>在感染得到有效控制的前提下，考虑采用局部生长因子、胶原蛋白治疗等先进疗法，以加速伤口组织的修复和再生过程</w:t>
      </w:r>
      <w:r>
        <w:rPr>
          <w:rFonts w:ascii="Times New Roman" w:hAnsi="Times New Roman" w:cs="Times New Roman" w:eastAsiaTheme="minorEastAsia"/>
          <w:color w:val="auto"/>
          <w:vertAlign w:val="superscript"/>
        </w:rPr>
        <w:t>[41,60]</w:t>
      </w:r>
      <w:r>
        <w:rPr>
          <w:rFonts w:ascii="Times New Roman" w:hAnsi="Times New Roman" w:cs="Times New Roman" w:eastAsiaTheme="minorEastAsia"/>
          <w:color w:val="auto"/>
        </w:rPr>
        <w:t>（1a级证据，B级推荐）。</w:t>
      </w:r>
      <w:r>
        <w:rPr>
          <w:rFonts w:ascii="Cambria Math" w:hAnsi="Cambria Math" w:cs="Cambria Math" w:eastAsiaTheme="minorEastAsia"/>
          <w:color w:val="auto"/>
        </w:rPr>
        <w:t>⑪</w:t>
      </w:r>
      <w:r>
        <w:rPr>
          <w:rFonts w:ascii="Times New Roman" w:hAnsi="Times New Roman" w:cs="Times New Roman" w:eastAsiaTheme="minorEastAsia"/>
          <w:color w:val="auto"/>
        </w:rPr>
        <w:t>对于出现深部组织损伤但皮肤仍保持完整的患者，可使用液体敷料来改善局部皮肤的血液循环，但要避免采用按摩的方式，以免对组织造成进一步损伤</w:t>
      </w:r>
      <w:r>
        <w:rPr>
          <w:rFonts w:ascii="Times New Roman" w:hAnsi="Times New Roman" w:cs="Times New Roman" w:eastAsiaTheme="minorEastAsia"/>
          <w:color w:val="auto"/>
          <w:vertAlign w:val="superscript"/>
        </w:rPr>
        <w:t>[41,61]</w:t>
      </w:r>
      <w:r>
        <w:rPr>
          <w:rFonts w:ascii="Times New Roman" w:hAnsi="Times New Roman" w:cs="Times New Roman" w:eastAsiaTheme="minorEastAsia"/>
          <w:color w:val="auto"/>
        </w:rPr>
        <w:t>（1c级证据，B级推荐）。</w:t>
      </w:r>
      <w:r>
        <w:rPr>
          <w:rFonts w:ascii="Cambria Math" w:hAnsi="Cambria Math" w:cs="Cambria Math" w:eastAsiaTheme="minorEastAsia"/>
          <w:color w:val="auto"/>
        </w:rPr>
        <w:t>⑫</w:t>
      </w:r>
      <w:r>
        <w:rPr>
          <w:rFonts w:ascii="Times New Roman" w:hAnsi="Times New Roman" w:cs="Times New Roman" w:eastAsiaTheme="minorEastAsia"/>
          <w:color w:val="auto"/>
        </w:rPr>
        <w:t>可通过定期变换体位、分散注意力、音乐疗法等方式缓解患者疼痛</w:t>
      </w:r>
      <w:r>
        <w:rPr>
          <w:rFonts w:ascii="Times New Roman" w:hAnsi="Times New Roman" w:cs="Times New Roman" w:eastAsiaTheme="minorEastAsia"/>
          <w:color w:val="auto"/>
          <w:vertAlign w:val="superscript"/>
        </w:rPr>
        <w:t>[33,62]</w:t>
      </w:r>
      <w:r>
        <w:rPr>
          <w:rFonts w:ascii="Times New Roman" w:hAnsi="Times New Roman" w:cs="Times New Roman" w:eastAsiaTheme="minorEastAsia"/>
          <w:color w:val="auto"/>
        </w:rPr>
        <w:t>（1a级证据，A级推荐）。（4）护理后处置。</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按照医疗废物处理原则，封存医疗废物，带到医疗机构分类处置</w:t>
      </w:r>
      <w:r>
        <w:rPr>
          <w:rFonts w:ascii="Times New Roman" w:hAnsi="Times New Roman" w:cs="Times New Roman" w:eastAsiaTheme="minorEastAsia"/>
          <w:color w:val="auto"/>
          <w:vertAlign w:val="superscript"/>
        </w:rPr>
        <w:t>[18,28,38]</w:t>
      </w:r>
      <w:r>
        <w:rPr>
          <w:rFonts w:ascii="Times New Roman" w:hAnsi="Times New Roman" w:cs="Times New Roman" w:eastAsiaTheme="minorEastAsia"/>
          <w:color w:val="auto"/>
        </w:rPr>
        <w:t>（2级证据，A级推荐）。</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通过线上平台据实填写专科护理记录，上传测量数据及影像资料</w:t>
      </w:r>
      <w:r>
        <w:rPr>
          <w:rFonts w:ascii="Times New Roman" w:hAnsi="Times New Roman" w:cs="Times New Roman" w:eastAsiaTheme="minorEastAsia"/>
          <w:color w:val="auto"/>
          <w:vertAlign w:val="superscript"/>
        </w:rPr>
        <w:t>[18,28,38]</w:t>
      </w:r>
      <w:r>
        <w:rPr>
          <w:rFonts w:ascii="Times New Roman" w:hAnsi="Times New Roman" w:cs="Times New Roman" w:eastAsiaTheme="minorEastAsia"/>
          <w:color w:val="auto"/>
        </w:rPr>
        <w:t>（2级证据，A级推荐）。（5）教育指导。</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对患者和照顾者进行压力性损伤的个体化护理指导，包括但不限于皮肤清洁、皮肤观察、体位管理、支撑面的使用、营养支持、活动锻炼、社会心理支持等内容</w:t>
      </w:r>
      <w:r>
        <w:rPr>
          <w:rFonts w:ascii="Times New Roman" w:hAnsi="Times New Roman" w:cs="Times New Roman" w:eastAsiaTheme="minorEastAsia"/>
          <w:color w:val="auto"/>
          <w:vertAlign w:val="superscript"/>
        </w:rPr>
        <w:t>[32-35,48,63]</w:t>
      </w:r>
      <w:r>
        <w:rPr>
          <w:rFonts w:ascii="Times New Roman" w:hAnsi="Times New Roman" w:cs="Times New Roman" w:eastAsiaTheme="minorEastAsia"/>
          <w:color w:val="auto"/>
        </w:rPr>
        <w:t>（2d级证据，A级推荐）。</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告知患者和照顾者换药计划，指导照顾者对压力性损伤局部创面和敷料进行观察。若发生创面出血、渗液增多、创面周围红肿等情况，应及时就医。如果出现创面敷料饱和、脱落等情况，应及时申请入户护理服务</w:t>
      </w:r>
      <w:r>
        <w:rPr>
          <w:rFonts w:ascii="Times New Roman" w:hAnsi="Times New Roman" w:cs="Times New Roman" w:eastAsiaTheme="minorEastAsia"/>
          <w:color w:val="auto"/>
          <w:vertAlign w:val="superscript"/>
        </w:rPr>
        <w:t>[28,38,48]</w:t>
      </w:r>
      <w:r>
        <w:rPr>
          <w:rFonts w:ascii="Times New Roman" w:hAnsi="Times New Roman" w:cs="Times New Roman" w:eastAsiaTheme="minorEastAsia"/>
          <w:color w:val="auto"/>
        </w:rPr>
        <w:t>（2d级证据，A级推荐）。</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照顾者关注各种器械设备对患者的皮肤黏膜造成的压力，如尿管、胃管、面罩、床上杂物等。伤口专科护士应指导照顾者定时检查患者与器械设备接触的皮肤黏膜情况，必要时采取减压措施</w:t>
      </w:r>
      <w:r>
        <w:rPr>
          <w:rFonts w:ascii="Times New Roman" w:hAnsi="Times New Roman" w:cs="Times New Roman" w:eastAsiaTheme="minorEastAsia"/>
          <w:color w:val="auto"/>
          <w:vertAlign w:val="superscript"/>
        </w:rPr>
        <w:t>[48,64]</w:t>
      </w:r>
      <w:r>
        <w:rPr>
          <w:rFonts w:ascii="Times New Roman" w:hAnsi="Times New Roman" w:cs="Times New Roman" w:eastAsiaTheme="minorEastAsia"/>
          <w:color w:val="auto"/>
        </w:rPr>
        <w:t>（2d级证据，A级推荐）。</w:t>
      </w:r>
      <w:r>
        <w:rPr>
          <w:rFonts w:hint="eastAsia" w:ascii="Cambria Math" w:hAnsi="Cambria Math" w:cs="Cambria Math" w:eastAsiaTheme="minorEastAsia"/>
          <w:color w:val="auto"/>
          <w:lang w:val="en-US" w:eastAsia="zh-CN"/>
        </w:rPr>
        <w:t>④</w:t>
      </w:r>
      <w:r>
        <w:rPr>
          <w:rFonts w:ascii="Times New Roman" w:hAnsi="Times New Roman" w:cs="Times New Roman" w:eastAsiaTheme="minorEastAsia"/>
          <w:color w:val="auto"/>
        </w:rPr>
        <w:t>对患者和照顾者进行针对性的失能老年照护健康教育，内容包括但不限于日常照护、慢性病管理、营养管理、康复护理、社会心理支持、居住环境适老化改造等</w:t>
      </w:r>
      <w:r>
        <w:rPr>
          <w:rFonts w:ascii="Times New Roman" w:hAnsi="Times New Roman" w:cs="Times New Roman" w:eastAsiaTheme="minorEastAsia"/>
          <w:color w:val="auto"/>
          <w:vertAlign w:val="superscript"/>
        </w:rPr>
        <w:t>[48,65]</w:t>
      </w:r>
      <w:r>
        <w:rPr>
          <w:rFonts w:ascii="Times New Roman" w:hAnsi="Times New Roman" w:cs="Times New Roman" w:eastAsiaTheme="minorEastAsia"/>
          <w:color w:val="auto"/>
        </w:rPr>
        <w:t>（2d级证据，B级推荐）。</w:t>
      </w:r>
    </w:p>
    <w:p w14:paraId="3C6F8204">
      <w:pPr>
        <w:spacing w:line="360" w:lineRule="auto"/>
        <w:ind w:firstLine="422" w:firstLineChars="200"/>
        <w:rPr>
          <w:rFonts w:ascii="Times New Roman" w:cs="Times New Roman"/>
          <w:sz w:val="21"/>
          <w:szCs w:val="21"/>
        </w:rPr>
      </w:pPr>
      <w:r>
        <w:rPr>
          <w:rFonts w:ascii="Times New Roman" w:cs="Times New Roman"/>
          <w:b/>
          <w:sz w:val="21"/>
          <w:szCs w:val="21"/>
        </w:rPr>
        <w:t>3.</w:t>
      </w:r>
      <w:r>
        <w:rPr>
          <w:rFonts w:ascii="Times New Roman" w:cs="Times New Roman"/>
          <w:b/>
          <w:bCs/>
          <w:sz w:val="21"/>
          <w:szCs w:val="21"/>
        </w:rPr>
        <w:t>失能老人</w:t>
      </w:r>
      <w:r>
        <w:rPr>
          <w:rFonts w:ascii="Times New Roman" w:cs="Times New Roman"/>
          <w:b/>
          <w:sz w:val="21"/>
          <w:szCs w:val="21"/>
        </w:rPr>
        <w:t>压力性损伤的愈合监测：</w:t>
      </w:r>
      <w:r>
        <w:rPr>
          <w:rFonts w:ascii="Times New Roman" w:cs="Times New Roman"/>
          <w:sz w:val="21"/>
          <w:szCs w:val="21"/>
        </w:rPr>
        <w:t>（1）由于失能老人常伴有慢性疾病、营养不良、循环障碍、免疫能力低下等可能影响愈合的情况，伤口专科护士应每周评估其压力性损伤愈合情况，将每次评估结果进行比较，监测愈合进展。当伤口出现恶化情况或愈合停滞的迹象时，护士应重新对失能老人进行整体和局部评估，必要时调整护理计划，指导照顾者陪同失能老人前往专业医疗机构就诊。（2）服务平台应提供统一的愈合评估工具，以确保评估的一致性。推荐的</w:t>
      </w:r>
      <w:r>
        <w:rPr>
          <w:rFonts w:ascii="Times New Roman" w:cs="Times New Roman"/>
          <w:bCs/>
          <w:sz w:val="21"/>
          <w:szCs w:val="21"/>
        </w:rPr>
        <w:t>压力性损伤</w:t>
      </w:r>
      <w:r>
        <w:rPr>
          <w:rFonts w:ascii="Times New Roman" w:cs="Times New Roman"/>
          <w:sz w:val="21"/>
          <w:szCs w:val="21"/>
        </w:rPr>
        <w:t>愈合监测工具包括压力性损伤愈合量表（Pressure ulcer scale for healing，PUSH）、Bates-Jensen伤口评估工具、照相伤口评估工具（Photographic wound assessment tool，PWAT）</w:t>
      </w:r>
      <w:r>
        <w:rPr>
          <w:rFonts w:ascii="Times New Roman" w:cs="Times New Roman"/>
          <w:sz w:val="21"/>
          <w:szCs w:val="21"/>
          <w:vertAlign w:val="superscript"/>
        </w:rPr>
        <w:t>[32,33,38,41,65,66]</w:t>
      </w:r>
      <w:r>
        <w:rPr>
          <w:rFonts w:ascii="Times New Roman" w:cs="Times New Roman"/>
          <w:sz w:val="21"/>
          <w:szCs w:val="21"/>
        </w:rPr>
        <w:t>（1a级证据，A级推荐）。</w:t>
      </w:r>
    </w:p>
    <w:p w14:paraId="1CDBB7B6">
      <w:pPr>
        <w:pStyle w:val="38"/>
        <w:spacing w:line="360" w:lineRule="auto"/>
        <w:rPr>
          <w:rFonts w:ascii="Times New Roman" w:hAnsi="Times New Roman" w:cs="Times New Roman" w:eastAsiaTheme="minorEastAsia"/>
          <w:b/>
          <w:bCs/>
          <w:color w:val="auto"/>
          <w:sz w:val="21"/>
          <w:szCs w:val="21"/>
        </w:rPr>
      </w:pPr>
      <w:r>
        <w:rPr>
          <w:rFonts w:ascii="Times New Roman" w:hAnsi="Times New Roman" w:cs="Times New Roman" w:eastAsiaTheme="minorEastAsia"/>
          <w:b/>
          <w:bCs/>
          <w:color w:val="auto"/>
          <w:sz w:val="21"/>
          <w:szCs w:val="21"/>
        </w:rPr>
        <w:t>（六）服务效果评价</w:t>
      </w:r>
    </w:p>
    <w:p w14:paraId="342375F1">
      <w:pPr>
        <w:pStyle w:val="29"/>
        <w:spacing w:line="360" w:lineRule="auto"/>
        <w:ind w:firstLine="420"/>
        <w:rPr>
          <w:rFonts w:ascii="Times New Roman" w:hAnsi="Times New Roman" w:cs="Times New Roman" w:eastAsiaTheme="minorEastAsia"/>
          <w:color w:val="auto"/>
        </w:rPr>
      </w:pPr>
      <w:r>
        <w:rPr>
          <w:rFonts w:ascii="Times New Roman" w:hAnsi="Times New Roman" w:cs="Times New Roman" w:eastAsiaTheme="minorEastAsia"/>
          <w:color w:val="auto"/>
        </w:rPr>
        <w:t>服务者及管理者应熟悉各项服务效果评价指标，采取同质化指标进行服务效果评价。从服务对象方面出发，宜参考的评价指标包括患者伤口愈合好转程度、伤口疼痛干预有效率、健康教育知识知晓率、患者及照顾者对服务的满意度、服务对象投诉发生率等指标评价服务</w:t>
      </w:r>
      <w:r>
        <w:rPr>
          <w:rFonts w:ascii="Times New Roman" w:hAnsi="Times New Roman" w:cs="Times New Roman" w:eastAsiaTheme="minorEastAsia"/>
          <w:color w:val="auto"/>
          <w:vertAlign w:val="superscript"/>
        </w:rPr>
        <w:t>[18,38,67,70]</w:t>
      </w:r>
      <w:r>
        <w:rPr>
          <w:rFonts w:ascii="Times New Roman" w:hAnsi="Times New Roman" w:cs="Times New Roman" w:eastAsiaTheme="minorEastAsia"/>
          <w:color w:val="auto"/>
        </w:rPr>
        <w:t>（2级证据，A级推荐）。从服务者角度出发，宜参考的评价指标包括护士准点入户率、伤口处置准确率、伤口护理记录规范率、入户过程中护理不良事件的发生率、护士职业伤害的发生率、护士满意度等。由于各机构的服务流程和服务内容存在差异，可以酌情选择评价指标</w:t>
      </w:r>
      <w:r>
        <w:rPr>
          <w:rFonts w:ascii="Times New Roman" w:hAnsi="Times New Roman" w:cs="Times New Roman" w:eastAsiaTheme="minorEastAsia"/>
          <w:color w:val="auto"/>
          <w:vertAlign w:val="superscript"/>
        </w:rPr>
        <w:t>[18,38,67,70]</w:t>
      </w:r>
      <w:r>
        <w:rPr>
          <w:rFonts w:ascii="Times New Roman" w:hAnsi="Times New Roman" w:cs="Times New Roman" w:eastAsiaTheme="minorEastAsia"/>
          <w:color w:val="auto"/>
        </w:rPr>
        <w:t>（2级证据，A级推荐）。</w:t>
      </w:r>
    </w:p>
    <w:p w14:paraId="4F707A90">
      <w:pPr>
        <w:pStyle w:val="38"/>
        <w:spacing w:line="360" w:lineRule="auto"/>
        <w:rPr>
          <w:rFonts w:ascii="Times New Roman" w:hAnsi="Times New Roman" w:cs="Times New Roman" w:eastAsiaTheme="minorEastAsia"/>
          <w:b/>
          <w:bCs/>
          <w:color w:val="auto"/>
          <w:sz w:val="21"/>
          <w:szCs w:val="21"/>
        </w:rPr>
      </w:pPr>
      <w:r>
        <w:rPr>
          <w:rFonts w:ascii="Times New Roman" w:hAnsi="Times New Roman" w:cs="Times New Roman" w:eastAsiaTheme="minorEastAsia"/>
          <w:b/>
          <w:bCs/>
          <w:color w:val="auto"/>
          <w:sz w:val="21"/>
          <w:szCs w:val="21"/>
        </w:rPr>
        <w:t>四、小结</w:t>
      </w:r>
    </w:p>
    <w:p w14:paraId="291AC240">
      <w:pPr>
        <w:pStyle w:val="29"/>
        <w:spacing w:line="360" w:lineRule="auto"/>
        <w:ind w:firstLine="420"/>
        <w:rPr>
          <w:rFonts w:ascii="Times New Roman" w:hAnsi="Times New Roman" w:cs="Times New Roman" w:eastAsiaTheme="minorEastAsia"/>
          <w:color w:val="auto"/>
        </w:rPr>
      </w:pPr>
      <w:r>
        <w:rPr>
          <w:rFonts w:ascii="Times New Roman" w:hAnsi="Times New Roman" w:cs="Times New Roman" w:eastAsiaTheme="minorEastAsia"/>
          <w:color w:val="auto"/>
        </w:rPr>
        <w:t>开展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护理服务需严格遵循相关法律法规，秉持线上线下一体化的管理理念，确保服务流程规范、有序，全力维护医疗护理质量与安全，切实保障护理人员和患者双方的合法权益</w:t>
      </w:r>
      <w:r>
        <w:rPr>
          <w:rFonts w:ascii="Times New Roman" w:hAnsi="Times New Roman" w:cs="Times New Roman" w:eastAsiaTheme="minorEastAsia"/>
          <w:color w:val="FF0000"/>
          <w:vertAlign w:val="superscript"/>
        </w:rPr>
        <w:t>[71</w:t>
      </w:r>
      <w:r>
        <w:rPr>
          <w:rFonts w:hint="eastAsia" w:ascii="Times New Roman" w:hAnsi="Times New Roman" w:cs="Times New Roman" w:eastAsiaTheme="minorEastAsia"/>
          <w:color w:val="FF0000"/>
          <w:vertAlign w:val="superscript"/>
          <w:lang w:val="en-US" w:eastAsia="zh-CN"/>
        </w:rPr>
        <w:t>-72</w:t>
      </w:r>
      <w:r>
        <w:rPr>
          <w:rFonts w:ascii="Times New Roman" w:hAnsi="Times New Roman" w:cs="Times New Roman" w:eastAsiaTheme="minorEastAsia"/>
          <w:color w:val="FF0000"/>
          <w:vertAlign w:val="superscript"/>
        </w:rPr>
        <w:t>]</w:t>
      </w:r>
      <w:r>
        <w:rPr>
          <w:rFonts w:ascii="Times New Roman" w:hAnsi="Times New Roman" w:cs="Times New Roman" w:eastAsiaTheme="minorEastAsia"/>
          <w:color w:val="auto"/>
        </w:rPr>
        <w:t>。本共识在国家相关管理规范指导下</w:t>
      </w:r>
      <w:r>
        <w:rPr>
          <w:rFonts w:ascii="Times New Roman" w:hAnsi="Times New Roman" w:cs="Times New Roman" w:eastAsiaTheme="minorEastAsia"/>
          <w:color w:val="auto"/>
          <w:vertAlign w:val="superscript"/>
        </w:rPr>
        <w:t>[19-20]</w:t>
      </w:r>
      <w:r>
        <w:rPr>
          <w:rFonts w:ascii="Times New Roman" w:hAnsi="Times New Roman" w:cs="Times New Roman" w:eastAsiaTheme="minorEastAsia"/>
          <w:color w:val="auto"/>
        </w:rPr>
        <w:t>，汇总最新国内外循证证据，对</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模式下社区居家失能老人压力性损伤护理的适用范围、主体资质、服务模式、服务流程、服务内容及服务效果评价等提出了推荐意见。同时，由于该领域高质量研究证据有限，全国开展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护理服务的地区存在差异性，因此应用本共识意见须结合本地医疗机构条件、患者情况和管理者决策等因素，在标准化的基础上做到个性化</w:t>
      </w:r>
      <w:r>
        <w:rPr>
          <w:rFonts w:hint="eastAsia" w:ascii="Times New Roman" w:hAnsi="Times New Roman" w:cs="Times New Roman" w:eastAsiaTheme="minorEastAsia"/>
          <w:color w:val="FF0000"/>
          <w:vertAlign w:val="superscript"/>
          <w:lang w:val="en-US" w:eastAsia="zh-CN"/>
        </w:rPr>
        <w:t>[73]</w:t>
      </w:r>
      <w:r>
        <w:rPr>
          <w:rFonts w:ascii="Times New Roman" w:hAnsi="Times New Roman" w:cs="Times New Roman" w:eastAsiaTheme="minorEastAsia"/>
          <w:color w:val="auto"/>
        </w:rPr>
        <w:t>。</w:t>
      </w:r>
    </w:p>
    <w:p w14:paraId="029AE639">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《共识》执笔人（按姓氏汉语拼音排序）</w:t>
      </w:r>
      <w:r>
        <w:rPr>
          <w:rFonts w:ascii="Times New Roman" w:hAnsi="Times New Roman" w:cs="Times New Roman" w:eastAsiaTheme="minorEastAsia"/>
          <w:color w:val="auto"/>
        </w:rPr>
        <w:t>白姣姣（复旦大学附属华东医院）、柴倩文（天津医科大学总医院空港医院）、陈建军（原海峡两岸医药卫生交流协会护理分会会长）、陈晓（沧州市中心医院）、戴向晨（天津医科大学总医院）、冯光（北京大学首钢医院）、傅晓瑾（北京大学第一医院）、高磊（北京世纪坛医院）、郭泽霞（海南第三人民医院）、李霞（天津医科大学总医院）、史海娜（首都医科大学附属北京康复医院）、孙红玲（浙江大学医学院附属第二医院）、孙晓红（大连医科大学附属第一医院）、王飞霞（浙江大学医学院附属第一医院）、王刚（天津中医药大学第一附属医院）、魏力（天津医科大学总医院空港医院）、吴胜梅（宜昌市中心人民医院）、张朝晖（天津中医药大学第二附属医院）、张大华（北京中医药大学第三附属医院）、张欣（首都医科大学附属北京同仁医院）、周秋红（中南大学湘雅医院）、周玉华（新乡医学院第三附属医院）</w:t>
      </w:r>
    </w:p>
    <w:p w14:paraId="1A4F3A0B">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函询专家（按姓氏汉语拼音排序）</w:t>
      </w:r>
      <w:r>
        <w:rPr>
          <w:rFonts w:ascii="Times New Roman" w:hAnsi="Times New Roman" w:cs="Times New Roman" w:eastAsiaTheme="minorEastAsia"/>
          <w:color w:val="auto"/>
        </w:rPr>
        <w:t>贾汝福（沧州市中心医院）、李飞（首都医科大学附属北京同仁医院）、李素云（华中科技大学同济医学院附属协和医院）、李卫平（湖南省肿瘤医院）、李贤（河北省人民医院）、刘桂平（河南医药大学第三附属医院）、刘艳（武汉大学人民医院）、石慧（复旦大学附属华东医院）、孙丽冰（北京大学人民医院）、孙晓芬（浙江中医药大学附属第二医院）、田素斋（河北医科大学第二医院）、王清华（海南省人民医院）、温绣蔺（西安交通大学第一附属医院）、肖莉（天津市第一中心医院）、邢军（哈尔滨医科大学附属第二医院）、徐筱晴（青岛市市立医院）、于倩（大连医科大学附属第二医院）、张京慧（中南大学湘雅医院）、张丽萍（新疆维吾尔自治区人民医院）、张文川（上海交通大学附属第九人民医院）</w:t>
      </w:r>
    </w:p>
    <w:p w14:paraId="6C7284DC">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参与论证的专家（按姓氏汉语拼音排序）</w:t>
      </w:r>
      <w:r>
        <w:rPr>
          <w:rFonts w:ascii="Times New Roman" w:hAnsi="Times New Roman" w:cs="Times New Roman" w:eastAsiaTheme="minorEastAsia"/>
          <w:color w:val="auto"/>
        </w:rPr>
        <w:t>蔡蕴敏（复旦大学附属金山医院）、程森永（南阳市中医院）、房晨斐（复旦大学附属华东医院）、韩晓红（河南医药大学第三附属医院）、蒋铁建（中南大学湘雅医院）、李春香（清华大学第一附属医院）、李丽（中南大学湘雅医院）、李尊柱（北京协和医院）、马春艳（新疆维吾尔自治区人民医院）、毛贻琳（湖南旺旺医院）、石晶（大连理工大学附属中心医院）、田耿家（杭州市老年病医院）、庹晓晔（北京大学首钢医院）、王宏茹（新乡市第一人民医院）、王俊（昆明医科大学第二附属医院）、王玉峰（河南医药大学第三附属医院）、魏惠燕（浙大邵逸夫医院）、翟慧娟（河南医药大学第三附属医院）、朱小妹（湖南省肿瘤医院）、胡庆霞（南昌大学第二附属医院）</w:t>
      </w:r>
    </w:p>
    <w:p w14:paraId="005FEAD1">
      <w:pPr>
        <w:pStyle w:val="40"/>
        <w:spacing w:line="360" w:lineRule="auto"/>
        <w:jc w:val="center"/>
        <w:rPr>
          <w:rFonts w:ascii="Times New Roman" w:hAnsi="Times New Roman" w:cs="Times New Roman" w:eastAsiaTheme="minorEastAsia"/>
          <w:b/>
          <w:bCs/>
          <w:color w:val="auto"/>
          <w:sz w:val="21"/>
          <w:szCs w:val="21"/>
        </w:rPr>
      </w:pPr>
      <w:commentRangeStart w:id="0"/>
      <w:r>
        <w:rPr>
          <w:rFonts w:ascii="Times New Roman" w:hAnsi="Times New Roman" w:cs="Times New Roman" w:eastAsiaTheme="minorEastAsia"/>
          <w:b/>
          <w:bCs/>
          <w:color w:val="auto"/>
          <w:sz w:val="21"/>
          <w:szCs w:val="21"/>
        </w:rPr>
        <w:t>参考文献</w:t>
      </w:r>
      <w:commentRangeEnd w:id="0"/>
      <w:r>
        <w:rPr>
          <w:rStyle w:val="16"/>
          <w:rFonts w:ascii="Times New Roman" w:hAnsi="Times New Roman" w:cs="Times New Roman" w:eastAsiaTheme="minorEastAsia"/>
          <w:b/>
          <w:bCs/>
          <w:color w:val="auto"/>
        </w:rPr>
        <w:commentReference w:id="0"/>
      </w:r>
    </w:p>
    <w:p w14:paraId="7AC00B98">
      <w:pPr>
        <w:pStyle w:val="29"/>
        <w:spacing w:line="360" w:lineRule="auto"/>
        <w:ind w:left="0" w:leftChars="0" w:firstLine="0" w:firstLineChars="0"/>
        <w:rPr>
          <w:rFonts w:ascii="Times New Roman" w:hAnsi="Times New Roman" w:cs="Times New Roman" w:eastAsiaTheme="minorEastAsia"/>
          <w:b w:val="0"/>
          <w:bCs/>
          <w:color w:val="auto"/>
        </w:rPr>
      </w:pPr>
      <w:r>
        <w:rPr>
          <w:rFonts w:hint="default" w:ascii="Times New Roman" w:hAnsi="Times New Roman" w:cs="Times New Roman" w:eastAsiaTheme="minorEastAsia"/>
          <w:b w:val="0"/>
          <w:bCs/>
          <w:color w:val="auto"/>
        </w:rPr>
        <w:t>[1]</w:t>
      </w:r>
      <w:r>
        <w:rPr>
          <w:rFonts w:ascii="Times New Roman" w:hAnsi="Times New Roman" w:cs="Times New Roman" w:eastAsiaTheme="minorEastAsia"/>
          <w:b w:val="0"/>
          <w:bCs/>
          <w:color w:val="auto"/>
        </w:rPr>
        <w:t>张良文,方亚.2020-2050年我国城乡老年人失能规模及其照护成本的预测研究[J].中国卫生统计,2021,38(1):39-42. DOI:10.3969/j.issn.1002-3674.2021.01.010.</w:t>
      </w:r>
    </w:p>
    <w:p w14:paraId="3489C4DA">
      <w:pPr>
        <w:pStyle w:val="29"/>
        <w:spacing w:line="360" w:lineRule="auto"/>
        <w:ind w:left="0" w:leftChars="0" w:firstLine="0" w:firstLineChars="0"/>
        <w:rPr>
          <w:rFonts w:ascii="Times New Roman" w:hAnsi="Times New Roman" w:cs="Times New Roman" w:eastAsiaTheme="minorEastAsia"/>
          <w:b w:val="0"/>
          <w:bCs/>
          <w:color w:val="auto"/>
        </w:rPr>
      </w:pPr>
      <w:r>
        <w:rPr>
          <w:rFonts w:ascii="Times New Roman" w:hAnsi="Times New Roman" w:cs="Times New Roman" w:eastAsiaTheme="minorEastAsia"/>
          <w:b w:val="0"/>
          <w:bCs/>
          <w:color w:val="auto"/>
        </w:rPr>
        <w:t>Zhang LW, Fang Y.Predictive study on the scale of disability and the cost of care for the elderly in urban and rural areas in China from 2020 to 2050 [J].China Health Statistics,2021, 38(1):39-42.</w:t>
      </w:r>
    </w:p>
    <w:p w14:paraId="2451A003">
      <w:pPr>
        <w:pStyle w:val="29"/>
        <w:spacing w:line="360" w:lineRule="auto"/>
        <w:ind w:left="0" w:leftChars="0" w:firstLine="0" w:firstLineChars="0"/>
        <w:rPr>
          <w:rFonts w:hint="default" w:ascii="Times New Roman" w:hAnsi="Times New Roman" w:cs="Times New Roman" w:eastAsiaTheme="minorEastAsia"/>
          <w:b w:val="0"/>
          <w:bCs/>
          <w:color w:val="auto"/>
          <w:lang w:val="en-US" w:eastAsia="zh-CN"/>
        </w:rPr>
      </w:pPr>
      <w:r>
        <w:rPr>
          <w:rFonts w:hint="default" w:ascii="Times New Roman" w:hAnsi="Times New Roman" w:cs="Times New Roman" w:eastAsiaTheme="minorEastAsia"/>
          <w:b w:val="0"/>
          <w:bCs/>
          <w:color w:val="auto"/>
          <w:lang w:val="en-US" w:eastAsia="zh-CN"/>
        </w:rPr>
        <w:t>[2]安果仙,宋丽娟,刘娜,等.新型敷料结合传统方法在老年压力性损伤治疗中的效果研究[J].中华老年医学杂志,2024,43(10):1310-1314. DOI:10.3760/cma.j.issn.0254-9026.2024.10.012.</w:t>
      </w:r>
    </w:p>
    <w:p w14:paraId="6A744B22">
      <w:pPr>
        <w:pStyle w:val="29"/>
        <w:spacing w:line="360" w:lineRule="auto"/>
        <w:ind w:left="0" w:leftChars="0" w:firstLine="0" w:firstLineChars="0"/>
        <w:rPr>
          <w:rFonts w:hint="default" w:ascii="Times New Roman" w:hAnsi="Times New Roman" w:cs="Times New Roman" w:eastAsiaTheme="minorEastAsia"/>
          <w:b w:val="0"/>
          <w:bCs/>
          <w:color w:val="auto"/>
          <w:lang w:val="en-US" w:eastAsia="zh-CN"/>
        </w:rPr>
      </w:pPr>
      <w:r>
        <w:rPr>
          <w:rFonts w:hint="default" w:ascii="Times New Roman" w:hAnsi="Times New Roman" w:cs="Times New Roman" w:eastAsiaTheme="minorEastAsia"/>
          <w:b w:val="0"/>
          <w:bCs/>
          <w:color w:val="auto"/>
          <w:lang w:val="en-US" w:eastAsia="zh-CN"/>
        </w:rPr>
        <w:t>An GX, Song LJ, Liu N,et al. Study on the effect of new dressing combined with traditional methods in the treatment of pressure Injury  in the elderly[J]. Chinese Journal of Geriatrics,2024,43(10):1310-1314.</w:t>
      </w:r>
    </w:p>
    <w:p w14:paraId="49830E6D">
      <w:pPr>
        <w:pStyle w:val="29"/>
        <w:spacing w:line="360" w:lineRule="auto"/>
        <w:ind w:left="0" w:leftChars="0" w:firstLine="0" w:firstLineChars="0"/>
        <w:rPr>
          <w:rFonts w:hint="default" w:ascii="Times New Roman" w:hAnsi="Times New Roman" w:cs="Times New Roman" w:eastAsiaTheme="minorEastAsia"/>
          <w:b w:val="0"/>
          <w:bCs/>
          <w:color w:val="auto"/>
          <w:lang w:val="en-US" w:eastAsia="zh-CN"/>
        </w:rPr>
      </w:pPr>
      <w:r>
        <w:rPr>
          <w:rFonts w:hint="default" w:ascii="Times New Roman" w:hAnsi="Times New Roman" w:cs="Times New Roman" w:eastAsiaTheme="minorEastAsia"/>
          <w:b w:val="0"/>
          <w:bCs/>
          <w:color w:val="auto"/>
          <w:lang w:val="en-US" w:eastAsia="zh-CN"/>
        </w:rPr>
        <w:t>[3]苏明钰,卢运红,冯少芊,等.政策工具视域下2018—2022年全国“互联网+护理服务”政策文本内容研究[J].护理学报,2024,31(20):24-28.DOI:10.16460/j.issn1008-9969.2024.20.024.</w:t>
      </w:r>
    </w:p>
    <w:p w14:paraId="6C97AFD3">
      <w:pPr>
        <w:pStyle w:val="29"/>
        <w:spacing w:line="360" w:lineRule="auto"/>
        <w:ind w:left="0" w:leftChars="0" w:firstLine="0" w:firstLineChars="0"/>
        <w:rPr>
          <w:rFonts w:hint="default" w:ascii="Times New Roman" w:hAnsi="Times New Roman" w:cs="Times New Roman" w:eastAsiaTheme="minorEastAsia"/>
          <w:b w:val="0"/>
          <w:bCs/>
          <w:color w:val="auto"/>
          <w:lang w:val="en-US" w:eastAsia="zh-CN"/>
        </w:rPr>
      </w:pPr>
      <w:r>
        <w:rPr>
          <w:rFonts w:hint="default" w:ascii="Times New Roman" w:hAnsi="Times New Roman" w:cs="Times New Roman" w:eastAsiaTheme="minorEastAsia"/>
          <w:b w:val="0"/>
          <w:bCs/>
          <w:color w:val="auto"/>
          <w:lang w:val="en-US" w:eastAsia="zh-CN"/>
        </w:rPr>
        <w:t>Su MY,Lu YH,Feng SQ. Content research of national “Internet+Nursing Service”policy texts from 2018 to 2022:a policy tool perspective[J].Journal of Nursing(China),2024,31(20):24-28.</w:t>
      </w:r>
    </w:p>
    <w:p w14:paraId="004600CE">
      <w:pPr>
        <w:pStyle w:val="29"/>
        <w:spacing w:line="360" w:lineRule="auto"/>
        <w:ind w:left="0" w:leftChars="0" w:firstLine="0" w:firstLineChars="0"/>
        <w:rPr>
          <w:rFonts w:hint="default"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w:t>
      </w:r>
      <w:r>
        <w:rPr>
          <w:rFonts w:hint="default" w:ascii="Times New Roman" w:hAnsi="Times New Roman" w:cs="Times New Roman" w:eastAsiaTheme="minorEastAsia"/>
          <w:b w:val="0"/>
          <w:bCs/>
          <w:color w:val="auto"/>
          <w:lang w:val="en-US" w:eastAsia="zh-CN"/>
        </w:rPr>
        <w:t>武晓茹,颜巧元,刘雪,等. 居家失能老人照护者压力性损伤风险认知与照护体验的质性研究[J].护理学杂志,2022,37(22):71-74. DOI:10.3870/j.issn.1001-4152.2022.22.071.</w:t>
      </w:r>
    </w:p>
    <w:p w14:paraId="18999397">
      <w:pPr>
        <w:pStyle w:val="29"/>
        <w:spacing w:line="360" w:lineRule="auto"/>
        <w:ind w:left="0" w:leftChars="0" w:firstLine="0" w:firstLineChars="0"/>
        <w:rPr>
          <w:rFonts w:hint="default" w:ascii="Times New Roman" w:hAnsi="Times New Roman" w:cs="Times New Roman" w:eastAsiaTheme="minorEastAsia"/>
          <w:b w:val="0"/>
          <w:bCs/>
          <w:color w:val="auto"/>
          <w:lang w:val="en-US" w:eastAsia="zh-CN"/>
        </w:rPr>
      </w:pPr>
      <w:r>
        <w:rPr>
          <w:rFonts w:hint="default" w:ascii="Times New Roman" w:hAnsi="Times New Roman" w:cs="Times New Roman" w:eastAsiaTheme="minorEastAsia"/>
          <w:b w:val="0"/>
          <w:bCs/>
          <w:color w:val="auto"/>
          <w:lang w:val="en-US" w:eastAsia="zh-CN"/>
        </w:rPr>
        <w:t>Wu XR, Yan QY, Liu X, et al. Qualitative research on risk perception and care experience of pressure injury in caregivers of disabled elderly at home[J].Journal of Nursing,2022,37(22): 71-74.</w:t>
      </w:r>
    </w:p>
    <w:p w14:paraId="56BFB689">
      <w:pPr>
        <w:pStyle w:val="29"/>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[5]马贵媛,张京慧,师正坤,等.失能、半失能老年人家属对“互联网+护理服务”需求的调查分析[J].中国护理管理,2022,22(3):386-390. DOI:10.3969/j.issn.1672-1756.2022.03.013.</w:t>
      </w:r>
    </w:p>
    <w:p w14:paraId="13CA9433">
      <w:pPr>
        <w:pStyle w:val="29"/>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Ma GY,Zhang JH,Shi ZK,et al.Investigation and analysis of the needs of disabled and semi-disabled elderly families for 'Internet + nursing services' [J].</w:t>
      </w:r>
      <w:r>
        <w:rPr>
          <w:rFonts w:hint="eastAsia" w:ascii="Times New Roman" w:hAnsi="Times New Roman" w:cs="Times New Roman" w:eastAsiaTheme="minorEastAsia"/>
          <w:b w:val="0"/>
          <w:bCs/>
          <w:color w:val="FF0000"/>
          <w:lang w:val="en-US" w:eastAsia="zh-CN"/>
        </w:rPr>
        <w:t>China Nursing Management,</w:t>
      </w:r>
      <w:r>
        <w:rPr>
          <w:rFonts w:hint="eastAsia" w:ascii="Times New Roman" w:hAnsi="Times New Roman" w:cs="Times New Roman" w:eastAsiaTheme="minorEastAsia"/>
          <w:b w:val="0"/>
          <w:bCs/>
          <w:color w:val="auto"/>
          <w:lang w:val="en-US" w:eastAsia="zh-CN"/>
        </w:rPr>
        <w:t>2022,22(3):386-390.</w:t>
      </w:r>
    </w:p>
    <w:p w14:paraId="5DA419D4">
      <w:pPr>
        <w:pStyle w:val="29"/>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[6]Wang Y,Xiang L, Luo Y, et al. Evidence summary on nutrition management for post-stroke dysphagia[J]. Am J Transl Res,2022, 14(11):8252-8262.DOI:10.1186/s12893-024-02579-w.</w:t>
      </w:r>
    </w:p>
    <w:p w14:paraId="7B7FC7C8">
      <w:pPr>
        <w:pStyle w:val="29"/>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[7]中山大学肿瘤防治中心,中国抗癌协会护理委员会,李佳,等. 膀胱癌膀胱灌注全流程管理护理专家共识[J].中华现代护理杂志,2024,30(32):4341-4347. DOI:10.3760/cma.j.cn115682-20240515-02734.</w:t>
      </w:r>
    </w:p>
    <w:p w14:paraId="702047D4">
      <w:pPr>
        <w:pStyle w:val="29"/>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Sun Yat-sen University Cancer Prevention and Treatment Center,Nursing Committee of Chinese Anti-Cancer Association,Li J,et al.  Expert Consensus on Nursing Care of Whole Process Management of Bladder Infusion for Bladder Cancer [J]. Chin J Mod Nurs,2024,30(32):4341-4347.</w:t>
      </w:r>
    </w:p>
    <w:p w14:paraId="141CE061">
      <w:pPr>
        <w:pStyle w:val="29"/>
        <w:numPr>
          <w:ilvl w:val="0"/>
          <w:numId w:val="2"/>
        </w:numPr>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Brouwers MC,Kho ME, Browman GP, et al.AGREEⅡ:advancing guideline development,reporting and evaluation in health care[J].Canadian Medical Association Journal,2010,182(18):E839-E842.</w:t>
      </w:r>
    </w:p>
    <w:p w14:paraId="217079B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DOI:10.1503/cmaj.090449.</w:t>
      </w:r>
    </w:p>
    <w:p w14:paraId="72FB2CE3">
      <w:pPr>
        <w:pStyle w:val="29"/>
        <w:numPr>
          <w:ilvl w:val="0"/>
          <w:numId w:val="2"/>
        </w:numPr>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顾莺,张慧文,周英凤,等. JBI循证卫生保健中心关于不同类型研究的质量评价工具——系统评价的方法学质量评价[J].护士进修杂志,2018,33(8):701-703. DOI:10.16821/j.cnki.hsjx.2018.08.008.</w:t>
      </w:r>
    </w:p>
    <w:p w14:paraId="28F5E984">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Gu Y,Zhang HW,Zhou YF, et al. JBI evidence-based health care center on different types of research quality evaluation tools-methodological quality evaluation of systematic reviews [J].Journal of Nurses Training,2018,33(8):701-703.</w:t>
      </w:r>
    </w:p>
    <w:p w14:paraId="7D0C39E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[10]周英凤,顾莺,胡雁,等. JBI循证卫生保健中心关于不同类型研究的质量评价工具——干预性研究的质量评价[J].护士进修杂志,2018,33(1):24-26. DOI:10.16821/j.cnki.hsjx.2018.01.007.</w:t>
      </w:r>
    </w:p>
    <w:p w14:paraId="591641A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Zhou YF, Gu Y, Hu Y,et al. JBI Evidence-based Healthcare Center Quality Assessment Tool for Different Types of Research-Quality Assessment of Interventional Research[J].Journal of Nurses Training,2018,33(8):701-703.</w:t>
      </w:r>
    </w:p>
    <w:p w14:paraId="45E1DC3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[11]周英凤,顾莺,胡雁,等. JBI循证卫生保健中心对关于不同类型研究的质量评价工具——患病率及分析性横断面研究的质量评价[J].护士进修杂志,2018,33(3):219-221. DOI:10.16821/j.cnki.hsjx.2018.03.007.</w:t>
      </w:r>
    </w:p>
    <w:p w14:paraId="04CA126F">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Zhou YF,Gu Y,Hu Y, et al. JBI evidence-based health care center for different types of research on the quality evaluation tools-morbidity and analytical cross-sectional study of quality evaluation[J].Journal of Nurses Training,2018,33(3):219-221.</w:t>
      </w:r>
    </w:p>
    <w:p w14:paraId="5731E7B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[12]顾莺,张慧文,周英凤,等. JBI循证卫生保健中心关于不同类型研究的质量评价工具——诊断性研究及经济学评价的质量评价[J].护士进修杂志,2018,33(7):598-600. DOI:10.16821/j.cnki.hsjx.2018.07.0.</w:t>
      </w:r>
    </w:p>
    <w:p w14:paraId="5596853D">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Gu Y, Zhang HW,Zhou YF,et al. JBI Evidence-based Healthcare Center 's Quality Assessment Tool for Different Types of Research-Quality Assessment of Diagnostic Research and Economic Evaluation[J].Journal of Nurses Training,2018,33(7):598-600.</w:t>
      </w:r>
    </w:p>
    <w:p w14:paraId="4252763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[13]顾莺,张慧文,周英凤,等. JBI循证卫生保健中心关于不同类型研究的质量评价工具——分析性研究的质量评价[J].护士进修杂志,2018,33(6):513-516. DOI:10.16821/j.cnki.hsjx.2018.06.0012.</w:t>
      </w:r>
    </w:p>
    <w:p w14:paraId="708EF81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Gu Y, Zhang HW, Zhou YF,et al. JBI Evidence-based Healthcare Center Quality Assessment Tool for Different Types of Research-Quality Assessment of Analytical Research[J].Journal of Nurses Training,2018,33(6):513-516.</w:t>
      </w:r>
    </w:p>
    <w:p w14:paraId="37D0AD2D">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[14]周英凤,胡雁,朱政,等.JBI循证卫生保健中心文本证据的质量评价清单[J]. 护士进修杂志,2024,39(10):1075-1080. DOI:10.16821/j.cnki.hsjx.2024.10.012.</w:t>
      </w:r>
    </w:p>
    <w:p w14:paraId="5B9065F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Zhou YF,Hu Y, Zhu Z, et al. JBI evidence-based health care center text evidence quality evaluation list[J].Journal of Nurses Training,2024,39(10):1075-1080.</w:t>
      </w:r>
    </w:p>
    <w:p w14:paraId="4DA3E38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[15]王春青,胡雁.JBI证据预分级及证据推荐级别系统(2014版)[J]. 护士进修杂志,2015(11):964-967. DOI:10.16821/j.cnki.hsjx.2015.11.002.</w:t>
      </w:r>
    </w:p>
    <w:p w14:paraId="235BCFF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Wang CQ,Hu Y. JBI evidence pre-classification and evidence recommendation level system (2014 edition)[J].Journal of Nurses Training,2015(11):964-967.</w:t>
      </w:r>
    </w:p>
    <w:p w14:paraId="1445F320">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[16]许多,韩咏琪,徐小群.基于德尔菲法护理管理人员质量管理工具指标体系的构建[J].中华现代护理杂志,2022,28(36):5079-5083. DOI:10.3760/cma.j.cn115682-20220221-00776.</w:t>
      </w:r>
    </w:p>
    <w:p w14:paraId="5A8CD58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Xu D, Han YQ,Xu XQ.Construction of quality management tool index system for nursing managers based on Delphi method [J].Chin J Mod Nurs,2022, 28(36): 5079-5083.</w:t>
      </w:r>
    </w:p>
    <w:p w14:paraId="67E8CA7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[17]王志稳,韩舒羽. 护理领域专家共识论文的质量评价要点[J]. 中华护理杂志,2024,59(3):267-270. DOI:10.3761/j.issn.0254-1769.2024.03.002.</w:t>
      </w:r>
    </w:p>
    <w:p w14:paraId="68AC7EC3">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Wang ZW,Han SY. Quality evaluation points of expert consensus papers in the field of nursing [J].Chinese Journal of Nursing2024,59(3):267-270.</w:t>
      </w:r>
    </w:p>
    <w:p w14:paraId="3C87F3E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[18]黄南杏,车运秋,刘佳佳,等. “互联网+护理服务”上门护士岗位胜任力指标体系的系统评价和Meta整合[J].中西医结合护理,2024,10(4):170-173. DOI:10.11997/nitcwm.202404053.</w:t>
      </w:r>
    </w:p>
    <w:p w14:paraId="46A3CDF0">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Huang NX,Che YQ, Liu JJ, et al. Systematic evaluation and Meta integration of the competency index system of on-site nurses in ' Internet + nursing service '[J].Journal of Clinical Nursing in Practice,2024,10(4):170-173.</w:t>
      </w:r>
    </w:p>
    <w:p w14:paraId="152049CE">
      <w:pPr>
        <w:pStyle w:val="29"/>
        <w:numPr>
          <w:ilvl w:val="0"/>
          <w:numId w:val="0"/>
        </w:numPr>
        <w:spacing w:line="360" w:lineRule="auto"/>
        <w:ind w:leftChars="0"/>
        <w:rPr>
          <w:rFonts w:hint="eastAsia" w:ascii="Times New Roman" w:hAnsi="Times New Roman" w:cs="Times New Roman" w:eastAsiaTheme="minorEastAsia"/>
          <w:b w:val="0"/>
          <w:bCs/>
          <w:color w:val="auto"/>
          <w:highlight w:val="none"/>
          <w:lang w:val="en-US" w:eastAsia="zh-CN"/>
        </w:rPr>
      </w:pPr>
      <w:r>
        <w:rPr>
          <w:rFonts w:hint="eastAsia" w:ascii="Times New Roman" w:hAnsi="Times New Roman" w:cs="Times New Roman" w:eastAsiaTheme="minorEastAsia"/>
          <w:b w:val="0"/>
          <w:bCs/>
          <w:color w:val="auto"/>
          <w:highlight w:val="none"/>
          <w:lang w:val="en-US" w:eastAsia="zh-CN"/>
        </w:rPr>
        <w:t>[19]国家卫生健康委办公厅.国家卫生健康委办公厅关于进一步推进“互联网 + 护理服务 ”试点工作的通知：国卫办医函[2020]985号[EB/OL].(2020-12-08)[2025-05-27].https://www.gov.cn/zhengce/zhengceku/2020-12/16/content_5569982.htm.</w:t>
      </w:r>
    </w:p>
    <w:p w14:paraId="563B99B2">
      <w:pPr>
        <w:pStyle w:val="29"/>
        <w:numPr>
          <w:ilvl w:val="0"/>
          <w:numId w:val="0"/>
        </w:numPr>
        <w:spacing w:line="360" w:lineRule="auto"/>
        <w:ind w:leftChars="0"/>
        <w:rPr>
          <w:rFonts w:hint="eastAsia" w:ascii="Times New Roman" w:hAnsi="Times New Roman" w:cs="Times New Roman" w:eastAsiaTheme="minorEastAsia"/>
          <w:b w:val="0"/>
          <w:bCs/>
          <w:color w:val="auto"/>
          <w:highlight w:val="none"/>
          <w:lang w:val="en-US" w:eastAsia="zh-CN"/>
        </w:rPr>
      </w:pPr>
      <w:r>
        <w:rPr>
          <w:rFonts w:hint="eastAsia" w:ascii="Times New Roman" w:hAnsi="Times New Roman" w:cs="Times New Roman" w:eastAsiaTheme="minorEastAsia"/>
          <w:b w:val="0"/>
          <w:bCs/>
          <w:color w:val="auto"/>
          <w:highlight w:val="none"/>
          <w:lang w:val="en-US" w:eastAsia="zh-CN"/>
        </w:rPr>
        <w:t>[20]国家卫生健康委办公厅.国家卫生健康委办公厅关于开展 “互联网 + 护理服务” 试点工作的通知:国卫办医函[2019]80 号[EB/OL].(2019-01-22)[2025-05-27]. https://www.gov.cn/zhengce/zhengceku/2019-10/08/content_5436955.htm.</w:t>
      </w:r>
    </w:p>
    <w:p w14:paraId="42893D2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[21]何佳琳,杨燕绥.“互联网+护理服务”六地试点现状研究[J].卫生经济研究,2020,37(10):20-23.DOI:10.14055/j.cnki.33-1056/f.2020.10.005.</w:t>
      </w:r>
    </w:p>
    <w:p w14:paraId="1084B27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He JL,Yang YS. ' Internet + nursing service ' six pilot status research[J].Health Economic Research,2020,37(10):20-23.</w:t>
      </w:r>
    </w:p>
    <w:p w14:paraId="4DBF6236">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[22]张洪,刘琴. 医养结合背景下“互联网+护理服务”中的法律风险及其规制[J]. 医学与法学,2023,15(4):96-100. DOI:10.3969/j.issn.1674-7526.2023.04.014.</w:t>
      </w:r>
    </w:p>
    <w:p w14:paraId="4227896F">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Zhang H, Liu Q.Legal risks and regulations in the 'Internet + nursing service' under the background of the combination of medical care and nursing[J].Medical and Legal,2023,15(4):96-100.</w:t>
      </w:r>
    </w:p>
    <w:p w14:paraId="2CB441B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[23]尹世玉,王颖,徐蓉,等.202所医院“互联网+护理服务”开展现况调查[J].护理学杂志,2024,39(23):57-60+97. DOI:10.3870/j.issn.1001-4152.2024.23.057.</w:t>
      </w:r>
    </w:p>
    <w:p w14:paraId="1A48E76A">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Yin SY,Wang Y,Xu R,et al. A cross-sectional survey was conducted on 'Internet+ nursing service' in 202 hospitals[J].Journal of Nursing Science,2024,39(23):57-60+97.</w:t>
      </w:r>
    </w:p>
    <w:p w14:paraId="79E29C4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[24]张英,熊银环,崔凯,等.“互联网+”网约护士准入标准及岗位胜任力评价指标体系的构建[J].青岛医药卫生,2024,56(06):438-442.DOI:10.3969/j.issn.1006-5571.2024.06.008.</w:t>
      </w:r>
    </w:p>
    <w:p w14:paraId="05916626">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Zhang Y,Xiong YH, Cui K, et al. Construction of ' Internet + ' online nurse access standards and post competency evaluation index system[J].Qingdao Medical and Health,2024,56(06):438-442.</w:t>
      </w:r>
    </w:p>
    <w:p w14:paraId="36086F16">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[25]王巍,张欣,李越,等. 医院-社区-家庭三元联动护理模式在压力性损伤患者居家护理中的应用[J].中华现代护理杂志,2022,28(4):442-446.DOI:10.3760/cma.j.cn115682-20210514-02094. ，</w:t>
      </w:r>
    </w:p>
    <w:p w14:paraId="7C9A6A1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Wang W, Zhang X, Li Y,et al. The application of hospital-community-family ternary linkage nursing model in home care of patients with pressure injury[J].Chin J Mod Nurs, 2022,28(4):442-446.</w:t>
      </w:r>
    </w:p>
    <w:p w14:paraId="4AE40E8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[26]Høyland S A,Holte KA, Islam K, et al. A cross-sector systematic review and synthesis of knowledge on telemedicine interventions in chronic wound management-Implications from a system perspective [J].International Wound Journal,2023,20(5):1712-1724.DOI:10.1111/iwj.13986.</w:t>
      </w:r>
    </w:p>
    <w:p w14:paraId="2A0E30BA">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commentRangeStart w:id="1"/>
      <w:r>
        <w:rPr>
          <w:rFonts w:hint="eastAsia" w:ascii="Times New Roman" w:hAnsi="Times New Roman" w:cs="Times New Roman" w:eastAsiaTheme="minorEastAsia"/>
          <w:b w:val="0"/>
          <w:bCs/>
          <w:color w:val="auto"/>
          <w:lang w:val="en-US" w:eastAsia="zh-CN"/>
        </w:rPr>
        <w:t>[27]Bai X.,Zhang H., Jiao Y., et al. Digital Health Interventions for Chronic Wound Management: A Systematic Review and Meta-Analysis [J].Journal of Medical Internet Research,26:e47904. DOI:10.2196/47904.</w:t>
      </w:r>
      <w:commentRangeEnd w:id="1"/>
      <w:r>
        <w:commentReference w:id="1"/>
      </w:r>
    </w:p>
    <w:p w14:paraId="7D7027AF">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[28]胡芳,马丽娅,朱郁芳. 互联网智慧医院背景下伤口专科护士入户护理管理实践[J].天津护理,2022,30(2):217-219.DOI:10.3969/j.issn.1006-9143.2022.02.025.</w:t>
      </w:r>
    </w:p>
    <w:p w14:paraId="52AF55CA">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 xml:space="preserve">Hu F,Ma LY, Zhu YF. Indoor nursing management practice of wound specialist nurses under the background of Internet smart hospital [J].Tianjin </w:t>
      </w:r>
      <w:r>
        <w:rPr>
          <w:rFonts w:hint="eastAsia" w:ascii="Times New Roman" w:hAnsi="Times New Roman" w:cs="Times New Roman" w:eastAsiaTheme="minorEastAsia"/>
          <w:b w:val="0"/>
          <w:bCs/>
          <w:color w:val="FF0000"/>
          <w:lang w:val="en-US" w:eastAsia="zh-CN"/>
        </w:rPr>
        <w:t>Nursing</w:t>
      </w:r>
      <w:r>
        <w:rPr>
          <w:rFonts w:hint="eastAsia" w:ascii="Times New Roman" w:hAnsi="Times New Roman" w:cs="Times New Roman" w:eastAsiaTheme="minorEastAsia"/>
          <w:b w:val="0"/>
          <w:bCs/>
          <w:color w:val="auto"/>
          <w:lang w:val="en-US" w:eastAsia="zh-CN"/>
        </w:rPr>
        <w:t>,2022,30(2):217-219.</w:t>
      </w:r>
    </w:p>
    <w:p w14:paraId="2B7B11E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[29]盛丽敏,陈苏红,潘月芬,等. 基于“互联网+护理”平台实施慢性伤口管理的SWOT分析及对策[J].中华现代护理杂志,2022,28(4):426-432.DOI:10.3760/cma.j.cn115682-20210427-01857.</w:t>
      </w:r>
    </w:p>
    <w:p w14:paraId="2B6ABDDC">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Sheng LM, Chen SH, Pan YF,et al. SWOT analysis and countermeasures of chronic wound management based on ' Internet + nursing ' platform[J].</w:t>
      </w:r>
      <w:r>
        <w:rPr>
          <w:rFonts w:hint="eastAsia" w:ascii="Times New Roman" w:hAnsi="Times New Roman" w:cs="Times New Roman" w:eastAsiaTheme="minorEastAsia"/>
          <w:b w:val="0"/>
          <w:bCs/>
          <w:color w:val="FF0000"/>
          <w:lang w:val="en-US" w:eastAsia="zh-CN"/>
        </w:rPr>
        <w:t>Chin J Mod Nurs,</w:t>
      </w:r>
      <w:r>
        <w:rPr>
          <w:rFonts w:hint="eastAsia" w:ascii="Times New Roman" w:hAnsi="Times New Roman" w:cs="Times New Roman" w:eastAsiaTheme="minorEastAsia"/>
          <w:b w:val="0"/>
          <w:bCs/>
          <w:color w:val="auto"/>
          <w:lang w:val="en-US" w:eastAsia="zh-CN"/>
        </w:rPr>
        <w:t>2022,28(4):426-432.</w:t>
      </w:r>
    </w:p>
    <w:p w14:paraId="79E784A8">
      <w:pPr>
        <w:pStyle w:val="29"/>
        <w:numPr>
          <w:ilvl w:val="0"/>
          <w:numId w:val="0"/>
        </w:numPr>
        <w:spacing w:line="360" w:lineRule="auto"/>
        <w:ind w:leftChars="0"/>
        <w:rPr>
          <w:rFonts w:hint="eastAsia" w:ascii="Times New Roman" w:hAnsi="Times New Roman" w:cs="Times New Roman" w:eastAsiaTheme="minorEastAsia"/>
          <w:b w:val="0"/>
          <w:bCs/>
          <w:color w:val="auto"/>
          <w:highlight w:val="none"/>
          <w:lang w:val="en-US" w:eastAsia="zh-CN"/>
        </w:rPr>
      </w:pPr>
      <w:r>
        <w:rPr>
          <w:rFonts w:hint="eastAsia" w:ascii="Times New Roman" w:hAnsi="Times New Roman" w:cs="Times New Roman" w:eastAsiaTheme="minorEastAsia"/>
          <w:b w:val="0"/>
          <w:bCs/>
          <w:color w:val="auto"/>
          <w:highlight w:val="none"/>
          <w:lang w:val="en-US" w:eastAsia="zh-CN"/>
        </w:rPr>
        <w:t>[30]上海市卫生健康委办公厅.上海市 “互联网 + 护理服务” 试点工作实施方案[EB/OL].(2019-02-18)</w:t>
      </w:r>
    </w:p>
    <w:p w14:paraId="4B3DA9A3">
      <w:pPr>
        <w:pStyle w:val="29"/>
        <w:numPr>
          <w:ilvl w:val="0"/>
          <w:numId w:val="0"/>
        </w:numPr>
        <w:spacing w:line="360" w:lineRule="auto"/>
        <w:ind w:leftChars="0"/>
        <w:rPr>
          <w:rFonts w:hint="eastAsia" w:ascii="Times New Roman" w:hAnsi="Times New Roman" w:cs="Times New Roman" w:eastAsiaTheme="minorEastAsia"/>
          <w:b w:val="0"/>
          <w:bCs/>
          <w:color w:val="auto"/>
          <w:highlight w:val="none"/>
          <w:lang w:val="en-US" w:eastAsia="zh-CN"/>
        </w:rPr>
      </w:pPr>
      <w:r>
        <w:rPr>
          <w:rFonts w:hint="eastAsia" w:ascii="Times New Roman" w:hAnsi="Times New Roman" w:cs="Times New Roman" w:eastAsiaTheme="minorEastAsia"/>
          <w:b w:val="0"/>
          <w:bCs/>
          <w:color w:val="auto"/>
          <w:highlight w:val="none"/>
          <w:lang w:val="en-US" w:eastAsia="zh-CN"/>
        </w:rPr>
        <w:t>[2025-05-27].https://wsjkw.sh.gov.cn/cmsres/d7/d7abfbe1fe8a4a0c9f77dddfd196000b/e2808bc77558f17acba82</w:t>
      </w:r>
    </w:p>
    <w:p w14:paraId="39026CD3">
      <w:pPr>
        <w:pStyle w:val="29"/>
        <w:numPr>
          <w:ilvl w:val="0"/>
          <w:numId w:val="0"/>
        </w:numPr>
        <w:spacing w:line="360" w:lineRule="auto"/>
        <w:ind w:leftChars="0"/>
        <w:rPr>
          <w:rFonts w:hint="eastAsia" w:ascii="Times New Roman" w:hAnsi="Times New Roman" w:cs="Times New Roman" w:eastAsiaTheme="minorEastAsia"/>
          <w:b w:val="0"/>
          <w:bCs/>
          <w:color w:val="auto"/>
          <w:highlight w:val="none"/>
          <w:lang w:val="en-US" w:eastAsia="zh-CN"/>
        </w:rPr>
      </w:pPr>
      <w:r>
        <w:rPr>
          <w:rFonts w:hint="eastAsia" w:ascii="Times New Roman" w:hAnsi="Times New Roman" w:cs="Times New Roman" w:eastAsiaTheme="minorEastAsia"/>
          <w:b w:val="0"/>
          <w:bCs/>
          <w:color w:val="auto"/>
          <w:highlight w:val="none"/>
          <w:lang w:val="en-US" w:eastAsia="zh-CN"/>
        </w:rPr>
        <w:t>c9d2e6848a5.pdf.</w:t>
      </w:r>
    </w:p>
    <w:p w14:paraId="34BCF75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[31]Ma Y,He X,Yang T, et al. Evaluation of the risk prediction model of pressure injuries in hospitalized patient: A systematic review and meta-analysis[J]. J Clin Nurs,2025:34(6):2117-2137. DOI:10.1111/jocn.17367.</w:t>
      </w:r>
    </w:p>
    <w:p w14:paraId="5068B3B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[32]National Pressure Injury Advisory Panel, European Pressure Ulcer Advisory Panel and Pan Pacific Pressure Injury Alliance. Prevention and Treatment of Pressure Ulcers/Injuries:Quick Reference Guide. The International Guideline:Fourth Edition. Emily Haesler. [2025-05-27]. Available from:https://internationalguideline.com.</w:t>
      </w:r>
    </w:p>
    <w:p w14:paraId="500C32EF">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[33]European Pressure Ulcer Advisory Panel,National Pressure Injury Advisory Panel,Pan Pacific Pressure Injury Alliance.Prevention and treatment of pressure ulcers/injuries:clinicalpractice guideline[EB/OL].(2019-03-28)[2025-05-27].https://internationalguideline.com/static/pdfs/Quick_Reference_Guide-10Mar2019.pdf.</w:t>
      </w:r>
    </w:p>
    <w:p w14:paraId="7F0AD88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[34]RNAO.Pressure injury management: Risk assessment, prevention and treatment: Fourth Edition[EB/OL].(2024-11)[2025-04-25].https://rnao.ca/bpg/guidelines/pressure- injuries.</w:t>
      </w:r>
    </w:p>
    <w:p w14:paraId="5E22C8B4">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[35]武晓茹,颜巧元. 居家失能老人压力性损伤风险评估量表的编制及信效度检验[J].中华护理教育,2023,20(10):1253-1260. DOI:10.3761/j.issn.1672-9234.2023.10.017.</w:t>
      </w:r>
    </w:p>
    <w:p w14:paraId="777A8AD0">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Wu XR,Yan QY.Development and reliability and validity test of pressure injury risk assessment scale for disabled elderly at home [J].Chinese Nursing Education,2023,20(10):1253-1260.</w:t>
      </w:r>
    </w:p>
    <w:p w14:paraId="332C3D35">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[36]Fujiwara H,Isogai Z, Irisawa R, et al. Wound,pressure ulcer and burn guidelines - 2: Guidelines for the diagnosis and treatment of pressure ulcers, second edition</w:t>
      </w:r>
      <w:r>
        <w:rPr>
          <w:rFonts w:hint="eastAsia" w:ascii="Times New Roman" w:hAnsi="Times New Roman" w:cs="Times New Roman" w:eastAsiaTheme="minorEastAsia"/>
          <w:b w:val="0"/>
          <w:bCs/>
          <w:color w:val="FF0000"/>
          <w:lang w:val="en-US" w:eastAsia="zh-CN"/>
        </w:rPr>
        <w:t>[J]. J Dermatol,2020.47(9):929-978.</w:t>
      </w:r>
      <w:r>
        <w:rPr>
          <w:rFonts w:hint="eastAsia" w:ascii="Times New Roman" w:hAnsi="Times New Roman" w:cs="Times New Roman" w:eastAsiaTheme="minorEastAsia"/>
          <w:b w:val="0"/>
          <w:bCs/>
          <w:color w:val="auto"/>
          <w:lang w:val="en-US" w:eastAsia="zh-CN"/>
        </w:rPr>
        <w:t xml:space="preserve"> DOI:10.1111/1346-8138.14587.</w:t>
      </w:r>
    </w:p>
    <w:p w14:paraId="4334E69B">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[37]</w:t>
      </w:r>
      <w:commentRangeStart w:id="2"/>
      <w:r>
        <w:rPr>
          <w:rFonts w:hint="eastAsia" w:ascii="Times New Roman" w:hAnsi="Times New Roman" w:cs="Times New Roman" w:eastAsiaTheme="minorEastAsia"/>
          <w:b w:val="0"/>
          <w:bCs/>
          <w:color w:val="auto"/>
          <w:lang w:val="en-US" w:eastAsia="zh-CN"/>
        </w:rPr>
        <w:t>Mehicic A,Burston A,Fulbrook P. Psychometric properties of the Braden scale to assess pressure injury risk in intensive care： A systematic review [J].Intensive Crit Care Nurs,2024,83:103686. DOI:10.1016/j.iccn.2024.103686.</w:t>
      </w:r>
      <w:commentRangeEnd w:id="2"/>
      <w:r>
        <w:commentReference w:id="2"/>
      </w:r>
    </w:p>
    <w:p w14:paraId="5F7FA5AB">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commentRangeStart w:id="3"/>
      <w:r>
        <w:rPr>
          <w:rFonts w:hint="eastAsia" w:ascii="Times New Roman" w:hAnsi="Times New Roman" w:cs="Times New Roman" w:eastAsiaTheme="minorEastAsia"/>
          <w:b w:val="0"/>
          <w:bCs/>
          <w:color w:val="auto"/>
          <w:lang w:val="en-US" w:eastAsia="zh-CN"/>
        </w:rPr>
        <w:t>[38]Wei L.,Zhang X.,Li H.,et al.Construction of Internet Plus Wound Care Service Quality Evaluation System Based on Donabedian and SERVQUAL Models-A Delphi-Analytic Hierarchy Process Study [J].Nursing &amp; Health Sciences,2025,27(1): e70051.</w:t>
      </w:r>
      <w:r>
        <w:rPr>
          <w:rFonts w:hint="eastAsia" w:ascii="Times New Roman" w:hAnsi="Times New Roman" w:cs="Times New Roman" w:eastAsiaTheme="minorEastAsia"/>
          <w:b w:val="0"/>
          <w:bCs/>
          <w:color w:val="FF0000"/>
          <w:lang w:val="en-US" w:eastAsia="zh-CN"/>
        </w:rPr>
        <w:t>DOI:</w:t>
      </w:r>
      <w:r>
        <w:rPr>
          <w:rFonts w:hint="eastAsia" w:ascii="Times New Roman" w:hAnsi="Times New Roman" w:cs="Times New Roman" w:eastAsiaTheme="minorEastAsia"/>
          <w:b w:val="0"/>
          <w:bCs/>
          <w:color w:val="auto"/>
          <w:lang w:val="en-US" w:eastAsia="zh-CN"/>
        </w:rPr>
        <w:t>10.1111/nhs.70051.</w:t>
      </w:r>
      <w:commentRangeEnd w:id="3"/>
      <w:r>
        <w:commentReference w:id="3"/>
      </w:r>
    </w:p>
    <w:p w14:paraId="3F037766">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[39]Tayyib N,Coyer F, Lewis P. Effectiveness of nurse-led versus multidisciplinary team models in pressure injury healing: A systematic review[J].Journal of Clinical Nursing,2023, 32(5-6) :712-726.DOI:10.1111/jocn.16421.</w:t>
      </w:r>
    </w:p>
    <w:p w14:paraId="03085B93">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[40]Theeranut A, Ninbanphot S, Limpawattana P. Comparison of four pressure ulcer risk assessment tools in critically ill patients [J].Nurs Crit Care,2021,26(1):48-54. DOI:10.1111/nicc.12511.</w:t>
      </w:r>
    </w:p>
    <w:p w14:paraId="110C8412">
      <w:pPr>
        <w:pStyle w:val="41"/>
        <w:spacing w:line="360" w:lineRule="auto"/>
        <w:ind w:left="493" w:hanging="493"/>
        <w:jc w:val="left"/>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[41]甘肃省市场监督管理局. 慢性伤口护理技术规程 第1部分:压力性损伤:DB62/T 4268.1-2020[S].</w:t>
      </w:r>
    </w:p>
    <w:p w14:paraId="283359D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[42]安俊红,韩雪,张春萍. 基于伤口评估三角的干预方案在3期及以上压力性损伤病人延续护理中的应用[J].护理研究,2021,35(24):4475-4477. DOI:10.12102/j.issn.1009-6493.2021.24.026.</w:t>
      </w:r>
    </w:p>
    <w:p w14:paraId="34F58862">
      <w:pPr>
        <w:pStyle w:val="29"/>
        <w:numPr>
          <w:ilvl w:val="0"/>
          <w:numId w:val="0"/>
        </w:numPr>
        <w:spacing w:line="360" w:lineRule="auto"/>
        <w:ind w:leftChars="0"/>
        <w:rPr>
          <w:rFonts w:hint="default" w:ascii="Times New Roman" w:hAnsi="Times New Roman" w:cs="Times New Roman" w:eastAsiaTheme="minorEastAsia"/>
          <w:b w:val="0"/>
          <w:bCs/>
          <w:color w:val="FF0000"/>
          <w:lang w:val="en-US" w:eastAsia="zh-CN"/>
        </w:rPr>
      </w:pPr>
      <w:r>
        <w:rPr>
          <w:rFonts w:hint="eastAsia" w:ascii="Times New Roman" w:hAnsi="Times New Roman" w:cs="Times New Roman" w:eastAsiaTheme="minorEastAsia"/>
          <w:b w:val="0"/>
          <w:bCs/>
          <w:color w:val="FF0000"/>
          <w:lang w:val="en-US" w:eastAsia="zh-CN"/>
        </w:rPr>
        <w:t xml:space="preserve">An JH, Han X, Zhang CP.Application of intervention plan based on wound assessment triangle in continuous nursing of patients with pressure injury above stage 3 [J].Chinese Nursing Research, 2021,35(24):4475-4477. </w:t>
      </w:r>
    </w:p>
    <w:p w14:paraId="4BB66DE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 xml:space="preserve">[43]Kazawa S, Kazawa C, Sakaida T, et al. Feasibility of a novel atrial mechanical sensing method for leadless atrioventricular synchronous pacing[J].J Cardiovasc Electrophysiol,2024,35(6):1115-1120. </w:t>
      </w:r>
    </w:p>
    <w:p w14:paraId="300A5A3C">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DOI:10.1111/jce.16255.</w:t>
      </w:r>
    </w:p>
    <w:p w14:paraId="18347D4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[44]Jiang M, Ma Y,Guo S, et al. Using Machine Learning Technologies in Pressure Injury Management:Systematic Review [J].JMIR Med Inform,2021,9(3):e25704. DOI:10.2196/25704.</w:t>
      </w:r>
    </w:p>
    <w:p w14:paraId="30B6B93A">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[45]魏力.伤口护理实践快速成长手册[M].北京:人民卫生出版社,2019.</w:t>
      </w:r>
    </w:p>
    <w:p w14:paraId="0ECE71F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[46]Jørgensen LB,Sørensen JA,Jemec GB, Yderstraede KB. Methods to assess area and volume of wounds-a systematic review [J].Int Wound J. 2016,13(4):540-553. DOI:10.1111/iwj.12472.</w:t>
      </w:r>
    </w:p>
    <w:p w14:paraId="20F6D53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[47]Crisman E,Appenzeller-Herzog C,Tabakovic S,et al. Multidimensional versus unidimensional pain scales for the assessment of analgesic requirement in the emergency department: a systematic review[J].Internal and Emergency Medicine, 2024,19(3): 1-12.DOI:10.1007/s11739-024-03608-5.</w:t>
      </w:r>
    </w:p>
    <w:p w14:paraId="385E799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[48]王巍,张欣,李越,等. 压力性损伤居家老年患者医院-社区-家庭三元联动护理实践[J].中华护理杂志,2021,56(8):1225-1229. DOI:10.3761/j.issn.0254-1769.2021.08.017.</w:t>
      </w:r>
    </w:p>
    <w:p w14:paraId="1B6AA0AC">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Wang W, Zhang X, Li Y, et al. Hospital-community-family ternary linkage nursing practice for elderly patients with pressure injury at home[J]. Chin J Nurs, 2021,56(8): 1225-1229.</w:t>
      </w:r>
    </w:p>
    <w:p w14:paraId="64A296A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[49]Atkin L, Buc'ko Z,Montero EC.Implementing TIMERS:the race against hard-to-heal wounds[J].J Wound Care,2019,28:S1-S50.DOI:10.12968/jowc.2019.28.Sup3a.S1.</w:t>
      </w:r>
    </w:p>
    <w:p w14:paraId="4C7AC9BB">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[50]刘蓉,翟林君,冯圣雅,等. 老年病人慢性创面生物膜二次愈合干预策略的应用研究[J].护理研究,2024,38(22):4088-4093. DOI:10.12102/j.issn.1009-6493.2024.22.023.</w:t>
      </w:r>
    </w:p>
    <w:p w14:paraId="1D99D9D6">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Liu R, Zhai LJ, Feng SY,et al. Applied research on the intervention strategy of secondary healing of chronic wound biofilm in elderly patients [J].Chinese Nursing research,2024,38(22): 4088-4093.</w:t>
      </w:r>
    </w:p>
    <w:p w14:paraId="3246A47C">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[51]黄锐娜,黄锐佳,牛彩丽,等. 五种常用敷料治疗压疮疗效的网状Meta分析[J]. 中国组织工程研究,2020,24(16):2614-2619.DOI:10.3969/j.issn.2095-4344.2293.</w:t>
      </w:r>
    </w:p>
    <w:p w14:paraId="5B20F64C">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Huang RN,Huang RJ, Niu CL,et al. Network Meta-analysis of the efficacy of five commonly used dressings in the treatment of pressure sores [J]. China Tissue Engineering Research, 2020,24(16): 2614-2619.</w:t>
      </w:r>
    </w:p>
    <w:p w14:paraId="1A95A5D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[52]彭小苑,刘瑞云,邱俊玲,等. 透明防水敷料在Ⅱ期压疮水泡治疗中的应用[J].中国当代医药,2009,16(15):189. DOI:10.3969/j.issn.1674-4721.2009.15.114.</w:t>
      </w:r>
    </w:p>
    <w:p w14:paraId="7A08EA7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Peng XY, Liu RY, Qiu JL, et al. Application of transparent waterproof dressing in the treatment of stage II pressure sore blisters [J]. China Contemporary Medicine,2009,16(15): 189.</w:t>
      </w:r>
    </w:p>
    <w:p w14:paraId="4317FFF8">
      <w:pPr>
        <w:pStyle w:val="29"/>
        <w:numPr>
          <w:ilvl w:val="0"/>
          <w:numId w:val="0"/>
        </w:numPr>
        <w:spacing w:line="360" w:lineRule="auto"/>
        <w:ind w:leftChars="0"/>
        <w:rPr>
          <w:rFonts w:hint="eastAsia" w:ascii="Times New Roman" w:hAnsi="Times New Roman" w:cs="Times New Roman" w:eastAsiaTheme="minorEastAsia"/>
          <w:b w:val="0"/>
          <w:bCs/>
          <w:color w:val="auto"/>
          <w:highlight w:val="none"/>
          <w:lang w:val="en-US" w:eastAsia="zh-CN"/>
        </w:rPr>
      </w:pPr>
      <w:r>
        <w:rPr>
          <w:rFonts w:hint="eastAsia" w:ascii="Times New Roman" w:hAnsi="Times New Roman" w:cs="Times New Roman" w:eastAsiaTheme="minorEastAsia"/>
          <w:b w:val="0"/>
          <w:bCs/>
          <w:color w:val="auto"/>
          <w:highlight w:val="none"/>
          <w:lang w:val="en-US" w:eastAsia="zh-CN"/>
        </w:rPr>
        <w:t>[53]耿婕.不同敷料预防压力性损伤的网状Meta分析与成本效果分析[D].兰州大学,2023.</w:t>
      </w:r>
    </w:p>
    <w:p w14:paraId="0F386CE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[54]Gould LJ,Alderden J,Aslam R,et al.WHS guidelines for thetreatment of pressure ulcers-2023 update.Wound Repair Regen,2024,32(1):6-33.DOI:10.1111/wrr.13130.</w:t>
      </w:r>
    </w:p>
    <w:p w14:paraId="02B5A67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[55]Zhang Q,Li X, Wang J,et al. Comparative application study of VSD negative pressure drainage combined with nano-silver dressing in the treatment of stage 3 and 4 pressure injuries[J].Adv Clin Med,2022,12(8):7281-7288.DOI:10.12677/ACM.2022.1281047.</w:t>
      </w:r>
    </w:p>
    <w:p w14:paraId="0DBFFBF3">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[56]Amadeh A,Mohebbi N,Amadeh Z, et al. Comparative Efficacy of Autolytic and Collagenase-Based Enzymatic Debridement in Chronic Wound Healing: a comprehensive systematic review [J]. Int Wound J,2025,22(4)：e70177. DOI:10.1111/iwj.70177.</w:t>
      </w:r>
    </w:p>
    <w:p w14:paraId="19314F2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[57]Moore R, Mullner D, Nichols G,et al. Color Doppler Ultrasound versus Computed Tomography Angiography for Preoperative Anterolateral Thigh Flap Perforator Imaging: A Systematic Review and Meta-Analysis [J].J Reconstr Microsurg,2022,38(7):563-570. DOI:10.1055/s-0041-1740958.</w:t>
      </w:r>
    </w:p>
    <w:p w14:paraId="13B66CA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[58]Dube AZ. Heel Pressure Ulcers： Contributory factors and their impact on quality of life and role at the end of life in the adult population [D].Birmingham: Birmingham City University,2024.</w:t>
      </w:r>
    </w:p>
    <w:p w14:paraId="58730235">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[59]王澜,刘刚,李哲,等. 富血小板纤维蛋白在合并潜行皮下窦道的慢性创面治疗中的临床应用[J]. 中华烧伤杂志,2018,34(9):637-642. DOI:10.3760/cma.j.issn.1009-2587.2018.09.014.</w:t>
      </w:r>
    </w:p>
    <w:p w14:paraId="4F28864B">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Wang L, Liu G,Li Z,et al. Clinical application of platelet-rich fibrin in the treatment of chronic wounds with latent subcutaneous sinus[J].Chinese Journal of Burns,2018,34(9): 637-642.</w:t>
      </w:r>
    </w:p>
    <w:p w14:paraId="60B4B95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[60]张乐乐,战青,宋旭林,等. 重组人表皮生长因子治疗压力性损伤疗效的系统评价[J]. 上海护理,2022,22(7):44-49.DOI:10.3969/j.issn.1009-8399.2022.07.011.</w:t>
      </w:r>
    </w:p>
    <w:p w14:paraId="103662F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Zhang LL, Zhan Q, Song XL, et al. Systematic review of the efficacy of recombinant human epidermal growth factor in the treatment of stress injury [J].Shanghai Nursing,2022,22 (7): 44-49.</w:t>
      </w:r>
    </w:p>
    <w:p w14:paraId="117F985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[61]闫欣,刘中国,尹治晖,等. 液体伤口敷料用于治疗皮肤浅表损伤的疗效与安全性临床研究[J].中国药物与临床,2014,14(1):69-70. DOI:10.11655/zgywylc2014.01.029.</w:t>
      </w:r>
    </w:p>
    <w:p w14:paraId="6703153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Yan X,Liu ZG,Yin ZH, et al. Clinical study on the efficacy and safety of liquid wound dressing in the treatment of superficial skin injury[J].Chinese Medicine and Clinical,2014,14 (1): 69-70.</w:t>
      </w:r>
    </w:p>
    <w:p w14:paraId="7C50FAB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[62]傅聪颖,黎宁,李茂君,等.非药物干预治疗患者慢性创面疼痛效果的系统评价与贝叶斯网状荟萃分析[J].中华烧伤与创面修复杂志, 2025,41(5):491-500. DOI:10.3760/cma.j.cn501225-20241213-00486.</w:t>
      </w:r>
    </w:p>
    <w:p w14:paraId="49AF8A0F">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Fu CY, Li N,Li MJ, et al. Systematic evaluation and Bayesian network meta-analysis of the effect of non-drug intervention on chronic wound pain in patients[J].Chinese Journal of Burns and Wound Repair,2025,41(05): 491-500.</w:t>
      </w:r>
    </w:p>
    <w:p w14:paraId="6E504F37">
      <w:pPr>
        <w:pStyle w:val="41"/>
        <w:spacing w:line="360" w:lineRule="auto"/>
        <w:ind w:left="493" w:hanging="493"/>
        <w:jc w:val="left"/>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[63]宁夏标准化协会.压力性损伤老年人护理规范:T/NXBX 007-2023[S]. 2023.</w:t>
      </w:r>
    </w:p>
    <w:p w14:paraId="71F8C2E4">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[64]中华护理学会伤口、造口、失禁护理专业委员会.器械相关压力性损伤预防指南(2020版)[J].中华护理杂志,2020,55(增刊):115-121.DOI:10.3761/j.issn.0254-1769.2020.S2.024.</w:t>
      </w:r>
    </w:p>
    <w:p w14:paraId="6F5989FB">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The Professional Committee of Wound,Stoma and Incontinence Nursing of Chinese Nursing Association. Guideline for the prevention of device-related pressure injury (2020 edition )[J].Chinese Journal of Nursing, 2020,55 Suppl: 115-121.</w:t>
      </w:r>
    </w:p>
    <w:p w14:paraId="590F446A">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[65]刘瑞,余中华,张霞,等.老年失能全周期综合康复管理模式专家共识[J].华西医学,2024, 39(6):856-865.DOI:10.7507/1002-0179.202311284.</w:t>
      </w:r>
    </w:p>
    <w:p w14:paraId="39C0757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Liu R, Yu ZH,Zhang X, et al. Expert Consensus on the Whole Cycle Comprehensive Rehabilitation Management Model for the Disabled Elderly[J].Huaxi Medicine,2024,39(6): 856-865.</w:t>
      </w:r>
    </w:p>
    <w:p w14:paraId="27664F36">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[66]Smet S,Lahousse A,Van Damme N, et al. Comparison of instruments for measuring pressure ulcer healing: a systematic review [J]. Wound Repair Regen,2021,29(4):635-647. DOI:10.1111/wrr.12921.</w:t>
      </w:r>
    </w:p>
    <w:p w14:paraId="1AF9985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[67]朱月兰,汪亚男,徐霞艳. "互联网+护理服务"质量评价指标研究范围综述[J].中国现代医生,2024,62(29):98-102,108. DOI:10.3969/j.issn.1673-9701.2024.29.024.</w:t>
      </w:r>
    </w:p>
    <w:p w14:paraId="74554320">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Zhu YL, Wang YN, Xu XY. Review of the research scope of ' Internet + nursing service ' quality evaluation index [J]. Modern Chinese doctors,2024,62(29):98-102,108.</w:t>
      </w:r>
    </w:p>
    <w:p w14:paraId="05FD0B74">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[68]任志方,高学莉,王艳玲,等. 基于三维质量理论与服务质量评价模型的"互联网+护理服务"质量评价指标体系的构建[J].中国护理管理,2022,22(3):391-396. DOI:10.3969/j.issn.1672-1756.2022.03.014.</w:t>
      </w:r>
    </w:p>
    <w:p w14:paraId="57AD191C">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Ren ZF, Gao XL,Wang YL, et al.Construction of ' Internet + nursing service ' quality evaluation index system based on three-dimensional quality theory and service quality evaluation model [J].Chinese Nursing Management,2022,22(3):391-396.</w:t>
      </w:r>
    </w:p>
    <w:p w14:paraId="26A93B50">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[69]李苗苗,董利英,赵文博,等. 造口伤口失禁专科护士开展"互联网+护理服务"制约因素的质性研究[J].上海护理,2024,24(1):16-20. DOI:10.3969/j.issn.1009-8399.2024.01.004.</w:t>
      </w:r>
    </w:p>
    <w:p w14:paraId="4555345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Li MM,Dong LY, Zhao WB,et al.Qualitative research on the restrictive factors of ' Internet + nursing service ' carried out by specialist nurses of ostomy, wound and incontinence[J].Shanghai Nursing,2024,24(1):16-20.</w:t>
      </w:r>
    </w:p>
    <w:p w14:paraId="70C6DED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[70]Ye L.,Yang S., Jiang B., et al. Developing a quality indicator system for evaluating internet plus home care nursing services based on the SERVQUAL model: a Delphi-analytic hierarchy process study[J].Peer J,2024,12, e18281. DOI:10.7717/peerj.18281.</w:t>
      </w:r>
    </w:p>
    <w:p w14:paraId="18602FD5">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[71]茹楠,关瑜山,贾香平,等. 2010～2023年护理经济学研究概况、热点与前沿分析[J].护理管理杂志,2025,25(1):67-72. DOI:10.3969/j.issn.1671-315x.2025.01.013.</w:t>
      </w:r>
    </w:p>
    <w:p w14:paraId="3D17C1BD">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Ru N,Guan YS, Jia XP, et al.2010-2023 Nursing Economics Research Survey, Hotspots and Frontier Analysis[J].Nursing Management Journal,2025,25(1):67-72.</w:t>
      </w:r>
    </w:p>
    <w:p w14:paraId="6BC6746A">
      <w:pPr>
        <w:pStyle w:val="29"/>
        <w:numPr>
          <w:ilvl w:val="0"/>
          <w:numId w:val="0"/>
        </w:numPr>
        <w:spacing w:line="360" w:lineRule="auto"/>
        <w:rPr>
          <w:rFonts w:hint="eastAsia" w:ascii="Times New Roman" w:hAnsi="Times New Roman" w:cs="Times New Roman" w:eastAsiaTheme="minorEastAsia"/>
          <w:b w:val="0"/>
          <w:bCs/>
          <w:color w:val="FF0000"/>
          <w:lang w:val="en-US" w:eastAsia="zh-CN"/>
        </w:rPr>
      </w:pPr>
      <w:r>
        <w:rPr>
          <w:rFonts w:hint="eastAsia" w:ascii="Times New Roman" w:hAnsi="Times New Roman" w:cs="Times New Roman" w:eastAsiaTheme="minorEastAsia"/>
          <w:b w:val="0"/>
          <w:bCs/>
          <w:color w:val="FF0000"/>
          <w:lang w:val="en-US" w:eastAsia="zh-CN"/>
        </w:rPr>
        <w:t>[72]姚瑶,张敏,王清,等. 基于CiteSpace的"互联网+护理服务"中英文研究热点及演进趋势分析[J]. 中华现代护理杂志,2024,30(32):4408-4417.DOI:10.3760/cma.j.cn115682-20231214-02606.</w:t>
      </w:r>
    </w:p>
    <w:p w14:paraId="074BFED7">
      <w:pPr>
        <w:pStyle w:val="29"/>
        <w:numPr>
          <w:ilvl w:val="0"/>
          <w:numId w:val="0"/>
        </w:numPr>
        <w:spacing w:line="360" w:lineRule="auto"/>
        <w:rPr>
          <w:rFonts w:hint="default" w:ascii="Times New Roman" w:hAnsi="Times New Roman" w:cs="Times New Roman" w:eastAsiaTheme="minorEastAsia"/>
          <w:b w:val="0"/>
          <w:bCs/>
          <w:color w:val="FF0000"/>
          <w:lang w:val="en-US" w:eastAsia="zh-CN"/>
        </w:rPr>
      </w:pPr>
      <w:r>
        <w:rPr>
          <w:rFonts w:hint="eastAsia" w:ascii="Times New Roman" w:hAnsi="Times New Roman" w:cs="Times New Roman" w:eastAsiaTheme="minorEastAsia"/>
          <w:b w:val="0"/>
          <w:bCs/>
          <w:color w:val="FF0000"/>
          <w:lang w:val="en-US" w:eastAsia="zh-CN"/>
        </w:rPr>
        <w:t>Yao Y, Zhang M, Wang Q, et al.Chinese and English hotspots and evolution trend of "Internet +nursing service" based on CiteSpace [J]. Chin J Mod Nurs,2024,30(32):4408-4417.</w:t>
      </w:r>
    </w:p>
    <w:p w14:paraId="24BD7DDE">
      <w:pPr>
        <w:pStyle w:val="29"/>
        <w:numPr>
          <w:ilvl w:val="0"/>
          <w:numId w:val="0"/>
        </w:numPr>
        <w:spacing w:line="360" w:lineRule="auto"/>
        <w:ind w:leftChars="0"/>
        <w:rPr>
          <w:rFonts w:hint="default" w:ascii="Times New Roman" w:hAnsi="Times New Roman" w:cs="Times New Roman" w:eastAsiaTheme="minorEastAsia"/>
          <w:b w:val="0"/>
          <w:bCs/>
          <w:color w:val="FF0000"/>
          <w:lang w:val="en-US" w:eastAsia="zh-CN"/>
        </w:rPr>
      </w:pPr>
      <w:r>
        <w:rPr>
          <w:rFonts w:hint="eastAsia" w:ascii="Times New Roman" w:hAnsi="Times New Roman" w:cs="Times New Roman" w:eastAsiaTheme="minorEastAsia"/>
          <w:b w:val="0"/>
          <w:bCs/>
          <w:color w:val="FF0000"/>
          <w:lang w:val="en-US" w:eastAsia="zh-CN"/>
        </w:rPr>
        <w:t>[73]Xu X, Li N, Gao F, et al. Residents' willingness and awareness to participate in internet+nursing service in China: A meta-analysis[J].</w:t>
      </w:r>
      <w:r>
        <w:rPr>
          <w:rFonts w:hint="default" w:ascii="Times New Roman" w:hAnsi="Times New Roman" w:cs="Times New Roman" w:eastAsiaTheme="minorEastAsia"/>
          <w:b w:val="0"/>
          <w:bCs/>
          <w:color w:val="FF0000"/>
          <w:lang w:val="en-US" w:eastAsia="zh-CN"/>
        </w:rPr>
        <w:t>Medicine (Baltimore)</w:t>
      </w:r>
      <w:r>
        <w:rPr>
          <w:rFonts w:hint="eastAsia" w:ascii="Times New Roman" w:hAnsi="Times New Roman" w:cs="Times New Roman" w:eastAsiaTheme="minorEastAsia"/>
          <w:b w:val="0"/>
          <w:bCs/>
          <w:color w:val="FF0000"/>
          <w:lang w:val="en-US" w:eastAsia="zh-CN"/>
        </w:rPr>
        <w:t>,</w:t>
      </w:r>
      <w:r>
        <w:rPr>
          <w:rFonts w:hint="default" w:ascii="Times New Roman" w:hAnsi="Times New Roman" w:cs="Times New Roman" w:eastAsiaTheme="minorEastAsia"/>
          <w:b w:val="0"/>
          <w:bCs/>
          <w:color w:val="FF0000"/>
          <w:lang w:val="en-US" w:eastAsia="zh-CN"/>
        </w:rPr>
        <w:t>2025</w:t>
      </w:r>
      <w:bookmarkStart w:id="7" w:name="_GoBack"/>
      <w:bookmarkEnd w:id="7"/>
      <w:r>
        <w:rPr>
          <w:rFonts w:hint="eastAsia" w:ascii="Times New Roman" w:hAnsi="Times New Roman" w:cs="Times New Roman" w:eastAsiaTheme="minorEastAsia"/>
          <w:b w:val="0"/>
          <w:bCs/>
          <w:color w:val="FF0000"/>
          <w:lang w:val="en-US" w:eastAsia="zh-CN"/>
        </w:rPr>
        <w:t>,</w:t>
      </w:r>
      <w:r>
        <w:rPr>
          <w:rFonts w:hint="default" w:ascii="Times New Roman" w:hAnsi="Times New Roman" w:cs="Times New Roman" w:eastAsiaTheme="minorEastAsia"/>
          <w:b w:val="0"/>
          <w:bCs/>
          <w:color w:val="FF0000"/>
          <w:lang w:val="en-US" w:eastAsia="zh-CN"/>
        </w:rPr>
        <w:t xml:space="preserve">104(2):e41219. </w:t>
      </w:r>
      <w:r>
        <w:rPr>
          <w:rFonts w:hint="eastAsia" w:ascii="Times New Roman" w:hAnsi="Times New Roman" w:cs="Times New Roman" w:eastAsiaTheme="minorEastAsia"/>
          <w:b w:val="0"/>
          <w:bCs/>
          <w:color w:val="FF0000"/>
          <w:lang w:val="en-US" w:eastAsia="zh-CN"/>
        </w:rPr>
        <w:t>DOI</w:t>
      </w:r>
      <w:r>
        <w:rPr>
          <w:rFonts w:hint="default" w:ascii="Times New Roman" w:hAnsi="Times New Roman" w:cs="Times New Roman" w:eastAsiaTheme="minorEastAsia"/>
          <w:b w:val="0"/>
          <w:bCs/>
          <w:color w:val="FF0000"/>
          <w:lang w:val="en-US" w:eastAsia="zh-CN"/>
        </w:rPr>
        <w:t>:10.1097/MD.0000000000041219</w:t>
      </w:r>
      <w:r>
        <w:rPr>
          <w:rFonts w:hint="eastAsia" w:ascii="Times New Roman" w:hAnsi="Times New Roman" w:cs="Times New Roman" w:eastAsiaTheme="minorEastAsia"/>
          <w:b w:val="0"/>
          <w:bCs/>
          <w:color w:val="FF0000"/>
          <w:lang w:val="en-US" w:eastAsia="zh-CN"/>
        </w:rPr>
        <w:t>.</w:t>
      </w:r>
    </w:p>
    <w:p w14:paraId="106C4F9A">
      <w:pPr>
        <w:pStyle w:val="41"/>
        <w:spacing w:line="360" w:lineRule="auto"/>
        <w:ind w:left="495" w:hanging="495"/>
        <w:jc w:val="left"/>
        <w:rPr>
          <w:rFonts w:hint="eastAsia" w:ascii="Times New Roman" w:hAnsi="Times New Roman" w:cs="Times New Roman" w:eastAsiaTheme="minorEastAsia"/>
          <w:b/>
          <w:bCs/>
          <w:color w:val="auto"/>
          <w:sz w:val="21"/>
          <w:szCs w:val="21"/>
          <w:lang w:eastAsia="zh-CN"/>
        </w:rPr>
      </w:pPr>
    </w:p>
    <w:p w14:paraId="52E537B1">
      <w:pPr>
        <w:pStyle w:val="41"/>
        <w:spacing w:line="360" w:lineRule="auto"/>
        <w:ind w:left="495" w:hanging="495"/>
        <w:rPr>
          <w:rFonts w:ascii="Times New Roman" w:hAnsi="Times New Roman" w:cs="Times New Roman" w:eastAsiaTheme="minorEastAsia"/>
          <w:b/>
          <w:bCs/>
          <w:color w:val="auto"/>
          <w:sz w:val="21"/>
          <w:szCs w:val="21"/>
        </w:rPr>
      </w:pPr>
    </w:p>
    <w:p w14:paraId="1EE204CF">
      <w:pPr>
        <w:pStyle w:val="41"/>
        <w:spacing w:line="360" w:lineRule="auto"/>
        <w:ind w:left="495" w:hanging="495"/>
        <w:rPr>
          <w:rFonts w:ascii="Times New Roman" w:hAnsi="Times New Roman" w:cs="Times New Roman" w:eastAsiaTheme="minorEastAsia"/>
          <w:b/>
          <w:bCs/>
          <w:color w:val="auto"/>
          <w:sz w:val="21"/>
          <w:szCs w:val="21"/>
        </w:rPr>
      </w:pPr>
    </w:p>
    <w:p w14:paraId="664D3F9A">
      <w:pPr>
        <w:pStyle w:val="41"/>
        <w:spacing w:line="360" w:lineRule="auto"/>
        <w:ind w:left="493" w:hanging="493"/>
        <w:rPr>
          <w:rFonts w:ascii="Times New Roman" w:hAnsi="Times New Roman" w:cs="Times New Roman" w:eastAsiaTheme="minorEastAsia"/>
          <w:color w:val="auto"/>
          <w:sz w:val="21"/>
          <w:szCs w:val="21"/>
        </w:rPr>
      </w:pPr>
    </w:p>
    <w:p w14:paraId="3322E7BB">
      <w:pPr>
        <w:pStyle w:val="41"/>
        <w:spacing w:line="360" w:lineRule="auto"/>
        <w:ind w:left="493" w:hanging="493"/>
        <w:rPr>
          <w:rFonts w:ascii="Times New Roman" w:hAnsi="Times New Roman" w:cs="Times New Roman" w:eastAsiaTheme="minorEastAsia"/>
          <w:color w:val="auto"/>
          <w:sz w:val="21"/>
          <w:szCs w:val="21"/>
        </w:rPr>
      </w:pPr>
    </w:p>
    <w:p w14:paraId="4CC21E66">
      <w:pPr>
        <w:pStyle w:val="41"/>
        <w:spacing w:line="360" w:lineRule="auto"/>
        <w:ind w:left="493" w:hanging="493"/>
        <w:rPr>
          <w:rFonts w:ascii="Times New Roman" w:hAnsi="Times New Roman" w:cs="Times New Roman" w:eastAsiaTheme="minorEastAsia"/>
          <w:color w:val="auto"/>
          <w:sz w:val="21"/>
          <w:szCs w:val="21"/>
        </w:rPr>
      </w:pPr>
    </w:p>
    <w:p w14:paraId="0ED539EC">
      <w:pPr>
        <w:pStyle w:val="41"/>
        <w:spacing w:line="360" w:lineRule="auto"/>
        <w:ind w:left="493" w:hanging="493"/>
        <w:rPr>
          <w:rFonts w:ascii="Times New Roman" w:hAnsi="Times New Roman" w:cs="Times New Roman" w:eastAsiaTheme="minorEastAsia"/>
          <w:color w:val="auto"/>
          <w:sz w:val="21"/>
          <w:szCs w:val="21"/>
        </w:rPr>
      </w:pPr>
    </w:p>
    <w:p w14:paraId="4C83ABE8">
      <w:pPr>
        <w:pStyle w:val="41"/>
        <w:spacing w:line="360" w:lineRule="auto"/>
        <w:ind w:left="493" w:hanging="493"/>
        <w:rPr>
          <w:rFonts w:ascii="Times New Roman" w:hAnsi="Times New Roman" w:cs="Times New Roman" w:eastAsiaTheme="minorEastAsia"/>
          <w:color w:val="auto"/>
          <w:sz w:val="21"/>
          <w:szCs w:val="21"/>
        </w:rPr>
      </w:pPr>
    </w:p>
    <w:p w14:paraId="1F8A0552">
      <w:pPr>
        <w:rPr>
          <w:rFonts w:ascii="Times New Roman" w:cs="Times New Roman"/>
          <w:sz w:val="21"/>
          <w:szCs w:val="21"/>
        </w:rPr>
      </w:pPr>
    </w:p>
    <w:p w14:paraId="21229881">
      <w:pPr>
        <w:rPr>
          <w:rFonts w:ascii="Times New Roman" w:cs="Times New Roman"/>
          <w:sz w:val="21"/>
          <w:szCs w:val="21"/>
        </w:rPr>
      </w:pPr>
    </w:p>
    <w:p w14:paraId="3FD0758E">
      <w:pPr>
        <w:rPr>
          <w:rFonts w:ascii="Times New Roman" w:cs="Times New Roman"/>
          <w:sz w:val="21"/>
          <w:szCs w:val="21"/>
        </w:rPr>
      </w:pPr>
    </w:p>
    <w:p w14:paraId="06C42A6C">
      <w:pPr>
        <w:rPr>
          <w:rFonts w:ascii="Times New Roman" w:cs="Times New Roman"/>
          <w:sz w:val="21"/>
          <w:szCs w:val="21"/>
        </w:rPr>
      </w:pPr>
    </w:p>
    <w:p w14:paraId="1DC20A9B">
      <w:pPr>
        <w:rPr>
          <w:rFonts w:ascii="Times New Roman" w:cs="Times New Roman"/>
          <w:sz w:val="21"/>
          <w:szCs w:val="21"/>
        </w:rPr>
      </w:pPr>
    </w:p>
    <w:p w14:paraId="596379D2">
      <w:pPr>
        <w:rPr>
          <w:rFonts w:ascii="Times New Roman" w:cs="Times New Roman"/>
          <w:sz w:val="21"/>
          <w:szCs w:val="21"/>
        </w:rPr>
      </w:pPr>
    </w:p>
    <w:p w14:paraId="14811831">
      <w:pPr>
        <w:rPr>
          <w:rFonts w:ascii="Times New Roman" w:cs="Times New Roman"/>
          <w:sz w:val="21"/>
          <w:szCs w:val="21"/>
        </w:rPr>
      </w:pPr>
    </w:p>
    <w:p w14:paraId="47D9880C">
      <w:pPr>
        <w:rPr>
          <w:rFonts w:ascii="Times New Roman" w:cs="Times New Roman"/>
          <w:sz w:val="21"/>
          <w:szCs w:val="21"/>
        </w:rPr>
      </w:pPr>
    </w:p>
    <w:p w14:paraId="49C2F269">
      <w:pPr>
        <w:rPr>
          <w:rFonts w:ascii="Times New Roman" w:cs="Times New Roman"/>
          <w:sz w:val="21"/>
          <w:szCs w:val="21"/>
        </w:rPr>
      </w:pPr>
    </w:p>
    <w:p w14:paraId="18975BA0">
      <w:pPr>
        <w:rPr>
          <w:rFonts w:ascii="Times New Roman" w:cs="Times New Roman"/>
          <w:sz w:val="21"/>
          <w:szCs w:val="21"/>
        </w:rPr>
      </w:pPr>
    </w:p>
    <w:p w14:paraId="2FD26039">
      <w:pPr>
        <w:rPr>
          <w:rFonts w:ascii="Times New Roman" w:cs="Times New Roman"/>
          <w:sz w:val="21"/>
          <w:szCs w:val="21"/>
        </w:rPr>
      </w:pPr>
    </w:p>
    <w:p w14:paraId="2D6032A6">
      <w:pPr>
        <w:rPr>
          <w:rFonts w:ascii="Times New Roman" w:cs="Times New Roman"/>
          <w:sz w:val="21"/>
          <w:szCs w:val="21"/>
        </w:rPr>
      </w:pPr>
    </w:p>
    <w:p w14:paraId="0134631B">
      <w:pPr>
        <w:rPr>
          <w:rFonts w:ascii="Times New Roman" w:cs="Times New Roman"/>
          <w:sz w:val="21"/>
          <w:szCs w:val="21"/>
        </w:rPr>
      </w:pPr>
    </w:p>
    <w:p w14:paraId="624293D3">
      <w:pPr>
        <w:rPr>
          <w:rFonts w:ascii="Times New Roman" w:cs="Times New Roman"/>
          <w:sz w:val="21"/>
          <w:szCs w:val="21"/>
        </w:rPr>
      </w:pPr>
    </w:p>
    <w:p w14:paraId="5550A603">
      <w:pPr>
        <w:rPr>
          <w:rFonts w:ascii="Times New Roman" w:cs="Times New Roman"/>
          <w:sz w:val="21"/>
          <w:szCs w:val="21"/>
        </w:rPr>
      </w:pPr>
    </w:p>
    <w:p w14:paraId="01E4207D">
      <w:pPr>
        <w:rPr>
          <w:rFonts w:ascii="Times New Roman" w:cs="Times New Roman"/>
          <w:sz w:val="21"/>
          <w:szCs w:val="21"/>
        </w:rPr>
      </w:pPr>
    </w:p>
    <w:p w14:paraId="380FFC17">
      <w:pPr>
        <w:rPr>
          <w:rFonts w:ascii="Times New Roman" w:cs="Times New Roman"/>
          <w:sz w:val="21"/>
          <w:szCs w:val="21"/>
        </w:rPr>
      </w:pPr>
    </w:p>
    <w:p w14:paraId="0719AF88">
      <w:pPr>
        <w:tabs>
          <w:tab w:val="left" w:pos="6720"/>
        </w:tabs>
        <w:rPr>
          <w:rFonts w:ascii="Times New Roman" w:cs="Times New Roman"/>
          <w:sz w:val="21"/>
          <w:szCs w:val="21"/>
        </w:rPr>
      </w:pPr>
      <w:r>
        <w:rPr>
          <w:rFonts w:ascii="Times New Roman" w:cs="Times New Roman"/>
          <w:sz w:val="21"/>
          <w:szCs w:val="21"/>
        </w:rPr>
        <w:tab/>
      </w:r>
    </w:p>
    <w:p w14:paraId="6D491730">
      <w:pPr>
        <w:tabs>
          <w:tab w:val="left" w:pos="6720"/>
        </w:tabs>
        <w:rPr>
          <w:rFonts w:ascii="Times New Roman" w:cs="Times New Roman"/>
          <w:sz w:val="21"/>
          <w:szCs w:val="21"/>
        </w:rPr>
      </w:pPr>
    </w:p>
    <w:p w14:paraId="64B6B025">
      <w:pPr>
        <w:tabs>
          <w:tab w:val="left" w:pos="6720"/>
        </w:tabs>
        <w:rPr>
          <w:rFonts w:ascii="Times New Roman" w:cs="Times New Roman"/>
          <w:b/>
          <w:bCs/>
          <w:sz w:val="21"/>
          <w:szCs w:val="21"/>
        </w:rPr>
      </w:pPr>
    </w:p>
    <w:p w14:paraId="5197FC41">
      <w:pPr>
        <w:tabs>
          <w:tab w:val="left" w:pos="6720"/>
        </w:tabs>
        <w:jc w:val="center"/>
        <w:rPr>
          <w:rFonts w:ascii="Times New Roman" w:cs="Times New Roman"/>
          <w:sz w:val="21"/>
          <w:szCs w:val="21"/>
        </w:rPr>
      </w:pPr>
    </w:p>
    <w:sectPr>
      <w:footnotePr>
        <w:numFmt w:val="decimalEnclosedCircleChinese"/>
      </w:footnotePr>
      <w:pgSz w:w="11907" w:h="16159"/>
      <w:pgMar w:top="1417" w:right="1134" w:bottom="1020" w:left="1134"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XDHL" w:date="2026-01-04T14:04:00Z" w:initials="ms">
    <w:p w14:paraId="37381FE7">
      <w:pPr>
        <w:pStyle w:val="3"/>
      </w:pPr>
      <w:bookmarkStart w:id="6" w:name="_Hlk192492187"/>
      <w:r>
        <w:rPr>
          <w:rFonts w:hint="eastAsia"/>
          <w:b/>
          <w:bCs/>
        </w:rPr>
        <w:t>1.</w:t>
      </w:r>
      <w:r>
        <w:rPr>
          <w:rFonts w:hint="eastAsia"/>
        </w:rPr>
        <w:t>丰富文献，补</w:t>
      </w:r>
      <w:r>
        <w:rPr>
          <w:rFonts w:hint="eastAsia"/>
          <w:color w:val="000000"/>
        </w:rPr>
        <w:t>充护理核心期刊文献2022-2024年的文章2-3篇。请补充相关外文参考文献，推荐补充医学期刊或硕博论文文章（近3年）。</w:t>
      </w:r>
    </w:p>
    <w:p w14:paraId="7F2CABC5">
      <w:pPr>
        <w:pStyle w:val="3"/>
      </w:pPr>
      <w:r>
        <w:rPr>
          <w:b/>
          <w:bCs/>
          <w:color w:val="000000"/>
        </w:rPr>
        <w:t>2.</w:t>
      </w:r>
      <w:r>
        <w:rPr>
          <w:rFonts w:hint="eastAsia"/>
          <w:b/>
          <w:bCs/>
          <w:color w:val="FF0000"/>
        </w:rPr>
        <w:t>请补充每条参考文献的DOI序列号</w:t>
      </w:r>
      <w:r>
        <w:rPr>
          <w:rFonts w:hint="eastAsia"/>
          <w:color w:val="000000"/>
        </w:rPr>
        <w:t>；中文可在ChinaDOI网站（</w:t>
      </w:r>
      <w:r>
        <w:fldChar w:fldCharType="begin"/>
      </w:r>
      <w:r>
        <w:instrText xml:space="preserve"> HYPERLINK "http://www.chinadoi.cn/" </w:instrText>
      </w:r>
      <w:r>
        <w:fldChar w:fldCharType="separate"/>
      </w:r>
      <w:r>
        <w:rPr>
          <w:rStyle w:val="15"/>
        </w:rPr>
        <w:t>http://www.chinadoi.cn</w:t>
      </w:r>
      <w:r>
        <w:rPr>
          <w:rStyle w:val="15"/>
        </w:rPr>
        <w:fldChar w:fldCharType="end"/>
      </w:r>
      <w:r>
        <w:rPr>
          <w:rFonts w:hint="eastAsia"/>
          <w:color w:val="000000"/>
        </w:rPr>
        <w:t>）、万方数据知识服务平台 （</w:t>
      </w:r>
      <w:r>
        <w:fldChar w:fldCharType="begin"/>
      </w:r>
      <w:r>
        <w:instrText xml:space="preserve"> HYPERLINK "http://www.wanfangdata.com.cn/" </w:instrText>
      </w:r>
      <w:r>
        <w:fldChar w:fldCharType="separate"/>
      </w:r>
      <w:r>
        <w:rPr>
          <w:rStyle w:val="15"/>
        </w:rPr>
        <w:t>http://www.wanfangdata.com.cn</w:t>
      </w:r>
      <w:r>
        <w:rPr>
          <w:rStyle w:val="15"/>
        </w:rPr>
        <w:fldChar w:fldCharType="end"/>
      </w:r>
      <w:r>
        <w:rPr>
          <w:rFonts w:hint="eastAsia"/>
          <w:color w:val="000000"/>
        </w:rPr>
        <w:t>）、CNKI（http://www.cnki.net）上查询；外文可在检索网站CrossRef（http://www.crossref.org/guestquery/）、DOI检索网站（</w:t>
      </w:r>
      <w:r>
        <w:fldChar w:fldCharType="begin"/>
      </w:r>
      <w:r>
        <w:instrText xml:space="preserve"> HYPERLINK "http://dx.doi.org/" </w:instrText>
      </w:r>
      <w:r>
        <w:fldChar w:fldCharType="separate"/>
      </w:r>
      <w:r>
        <w:rPr>
          <w:rStyle w:val="15"/>
        </w:rPr>
        <w:t>http://dx.doi.org</w:t>
      </w:r>
      <w:r>
        <w:rPr>
          <w:rStyle w:val="15"/>
        </w:rPr>
        <w:fldChar w:fldCharType="end"/>
      </w:r>
      <w:r>
        <w:rPr>
          <w:rFonts w:hint="eastAsia"/>
          <w:color w:val="000000"/>
        </w:rPr>
        <w:t>）、PubMed上查询。</w:t>
      </w:r>
    </w:p>
    <w:p w14:paraId="6FC69003">
      <w:pPr>
        <w:pStyle w:val="3"/>
        <w:tabs>
          <w:tab w:val="left" w:pos="7513"/>
        </w:tabs>
        <w:spacing w:line="276" w:lineRule="auto"/>
        <w:rPr>
          <w:color w:val="000000"/>
          <w:szCs w:val="21"/>
        </w:rPr>
      </w:pPr>
      <w:r>
        <w:rPr>
          <w:rFonts w:hint="eastAsia"/>
          <w:b/>
          <w:szCs w:val="21"/>
        </w:rPr>
        <w:t>3.</w:t>
      </w:r>
      <w:r>
        <w:rPr>
          <w:rFonts w:hint="eastAsia"/>
          <w:color w:val="000000"/>
          <w:szCs w:val="21"/>
        </w:rPr>
        <w:t>中文参考文献若有英文信息采用中英文双语著录。（1）作者姓名：英译采用汉语拼音形式表示，姓的首字母大写，名按音节首字母大写的缩写形式；3个以上作者只用写前3位作者姓名，其余用“等”表示，英文则使用“et al”（示例：“张三，李四，王五，等”英文写为：“Zhang S, Li S, Wang W, et al”）。（2）题目：检索到该文后，点击下方的“英文信息”，复制题目即可， 无“英文信息”则改文献不用翻译英文，请勿自行翻译英文题目。（3）刊名：使用其刊名的英文简称，不使用汉语拼音名称（如：中华现代护理杂志英文为：Chin J Mod Nurs），</w:t>
      </w:r>
      <w:r>
        <w:rPr>
          <w:rFonts w:hint="eastAsia"/>
          <w:color w:val="000000"/>
          <w:szCs w:val="21"/>
          <w:highlight w:val="yellow"/>
        </w:rPr>
        <w:t>无规范英文简称者著录全部英文刊名</w:t>
      </w:r>
      <w:r>
        <w:rPr>
          <w:rFonts w:hint="eastAsia"/>
          <w:color w:val="000000"/>
          <w:szCs w:val="21"/>
        </w:rPr>
        <w:t>。（4）请逐条核实参考文献并与文中标注核对序号顺序。示例如下：</w:t>
      </w:r>
    </w:p>
    <w:p w14:paraId="2F8FAF36">
      <w:pPr>
        <w:pStyle w:val="3"/>
        <w:tabs>
          <w:tab w:val="left" w:pos="7513"/>
        </w:tabs>
        <w:spacing w:line="276" w:lineRule="auto"/>
        <w:rPr>
          <w:color w:val="000000"/>
          <w:szCs w:val="21"/>
        </w:rPr>
      </w:pPr>
      <w:r>
        <w:rPr>
          <w:rFonts w:hint="eastAsia"/>
          <w:color w:val="000000"/>
          <w:szCs w:val="21"/>
        </w:rPr>
        <w:t>[1]吴欣娟, 刘戈, 刘莹. 护理这十年—国家政策助力护理事业高质量发展[J].中华现代护理杂志,2022,28(31):4297-4301. DOI: 10.3760/cma.j.cn115682-20220914-04519.</w:t>
      </w:r>
    </w:p>
    <w:p w14:paraId="364188A7">
      <w:pPr>
        <w:pStyle w:val="3"/>
        <w:tabs>
          <w:tab w:val="left" w:pos="7513"/>
        </w:tabs>
        <w:spacing w:line="276" w:lineRule="auto"/>
        <w:rPr>
          <w:color w:val="000000"/>
          <w:szCs w:val="21"/>
        </w:rPr>
      </w:pPr>
      <w:r>
        <w:rPr>
          <w:rFonts w:hint="eastAsia"/>
          <w:color w:val="000000"/>
          <w:szCs w:val="21"/>
        </w:rPr>
        <w:t>Wu XJ, Liu G, Liu Y. Nursing in the past decade - national policies supporting high quality development of nursing[J]. Chin J Mod Nurs, 2022, 28 (31): 4297-4301.</w:t>
      </w:r>
    </w:p>
    <w:p w14:paraId="0B2446F0">
      <w:pPr>
        <w:pStyle w:val="3"/>
        <w:tabs>
          <w:tab w:val="left" w:pos="7513"/>
        </w:tabs>
        <w:spacing w:line="276" w:lineRule="auto"/>
        <w:rPr>
          <w:color w:val="000000"/>
          <w:szCs w:val="21"/>
        </w:rPr>
      </w:pPr>
      <w:r>
        <w:rPr>
          <w:rFonts w:hint="eastAsia"/>
          <w:color w:val="000000"/>
          <w:szCs w:val="21"/>
        </w:rPr>
        <w:t>[2]Rasmussen HH, Hamberg O, Stanga Z, et al. Nutritional risk screening (NRS 2002): a new method based on an analysis of controlled clinical trials[J]. Clin Nutr, 2003, 22 (3): 321-336. DOI:10.1016/s0261-5614(02)00214-5.</w:t>
      </w:r>
    </w:p>
    <w:p w14:paraId="09C2179E">
      <w:pPr>
        <w:ind w:left="189" w:leftChars="86"/>
        <w:rPr>
          <w:rFonts w:ascii="Times New Roman" w:eastAsia="宋体"/>
          <w:sz w:val="24"/>
          <w:szCs w:val="24"/>
        </w:rPr>
      </w:pPr>
      <w:r>
        <w:rPr>
          <w:rFonts w:hint="eastAsia"/>
        </w:rPr>
        <w:t>此外，参考文献删除域代码，部分文献缺页码，作者姓名、杂志名称应是</w:t>
      </w:r>
      <w:r>
        <w:rPr>
          <w:rFonts w:hint="eastAsia"/>
          <w:b/>
          <w:bCs/>
          <w:color w:val="FF0000"/>
        </w:rPr>
        <w:t>首字母大写</w:t>
      </w:r>
      <w:r>
        <w:rPr>
          <w:rFonts w:hint="eastAsia"/>
        </w:rPr>
        <w:t>，所有的标点均应为英文半角状态</w:t>
      </w:r>
    </w:p>
    <w:bookmarkEnd w:id="6"/>
    <w:p w14:paraId="66694007">
      <w:pPr>
        <w:pStyle w:val="3"/>
      </w:pPr>
    </w:p>
  </w:comment>
  <w:comment w:id="1" w:author="Lily Chai" w:date="2026-01-11T20:55:20Z" w:initials="">
    <w:p w14:paraId="19D3ADC0">
      <w:pPr>
        <w:pStyle w:val="3"/>
        <w:rPr>
          <w:rFonts w:hint="eastAsia"/>
          <w:lang w:val="en-US" w:eastAsia="zh-CN"/>
        </w:rPr>
      </w:pPr>
      <w:r>
        <w:rPr>
          <w:rFonts w:hint="eastAsia"/>
          <w:lang w:val="en-US" w:eastAsia="zh-CN"/>
        </w:rPr>
        <w:t>尊敬的专家：</w:t>
      </w:r>
    </w:p>
    <w:p w14:paraId="504163DD">
      <w:pPr>
        <w:pStyle w:val="3"/>
        <w:rPr>
          <w:rFonts w:hint="default" w:eastAsiaTheme="minorEastAsia"/>
          <w:lang w:val="en-US" w:eastAsia="zh-CN"/>
        </w:rPr>
      </w:pPr>
      <w:r>
        <w:rPr>
          <w:rFonts w:hint="eastAsia"/>
          <w:lang w:val="en-US" w:eastAsia="zh-CN"/>
        </w:rPr>
        <w:t>作者复核原始文献，发现此文无期次和页码信息。</w:t>
      </w:r>
    </w:p>
    <w:p w14:paraId="6284B60E">
      <w:pPr>
        <w:pStyle w:val="3"/>
      </w:pPr>
    </w:p>
    <w:p w14:paraId="3A8DABC9">
      <w:pPr>
        <w:pStyle w:val="3"/>
      </w:pPr>
      <w:r>
        <w:drawing>
          <wp:inline distT="0" distB="0" distL="114300" distR="114300">
            <wp:extent cx="2214880" cy="3039745"/>
            <wp:effectExtent l="0" t="0" r="1016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2214880" cy="3039745"/>
                    </a:xfrm>
                    <a:prstGeom prst="rect">
                      <a:avLst/>
                    </a:prstGeom>
                    <a:noFill/>
                    <a:ln>
                      <a:noFill/>
                    </a:ln>
                  </pic:spPr>
                </pic:pic>
              </a:graphicData>
            </a:graphic>
          </wp:inline>
        </w:drawing>
      </w:r>
    </w:p>
  </w:comment>
  <w:comment w:id="2" w:author="Lily Chai" w:date="2026-01-11T21:11:33Z" w:initials="">
    <w:p w14:paraId="11732ECA">
      <w:pPr>
        <w:pStyle w:val="3"/>
        <w:rPr>
          <w:rFonts w:hint="default" w:eastAsiaTheme="minorEastAsia"/>
          <w:lang w:val="en-US" w:eastAsia="zh-CN"/>
        </w:rPr>
      </w:pPr>
      <w:r>
        <w:rPr>
          <w:rFonts w:hint="eastAsia"/>
          <w:lang w:val="en-US" w:eastAsia="zh-CN"/>
        </w:rPr>
        <w:t>经作者复核，此文缺少期次和页码的信息。</w:t>
      </w:r>
    </w:p>
    <w:p w14:paraId="665B109D">
      <w:pPr>
        <w:pStyle w:val="3"/>
      </w:pPr>
      <w:r>
        <w:drawing>
          <wp:inline distT="0" distB="0" distL="114300" distR="114300">
            <wp:extent cx="2219960" cy="3062605"/>
            <wp:effectExtent l="0" t="0" r="508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a:stretch>
                      <a:fillRect/>
                    </a:stretch>
                  </pic:blipFill>
                  <pic:spPr>
                    <a:xfrm>
                      <a:off x="0" y="0"/>
                      <a:ext cx="2219960" cy="3062605"/>
                    </a:xfrm>
                    <a:prstGeom prst="rect">
                      <a:avLst/>
                    </a:prstGeom>
                    <a:noFill/>
                    <a:ln>
                      <a:noFill/>
                    </a:ln>
                  </pic:spPr>
                </pic:pic>
              </a:graphicData>
            </a:graphic>
          </wp:inline>
        </w:drawing>
      </w:r>
    </w:p>
    <w:p w14:paraId="12B6270B">
      <w:pPr>
        <w:pStyle w:val="3"/>
      </w:pPr>
    </w:p>
  </w:comment>
  <w:comment w:id="3" w:author="Lily Chai" w:date="2026-01-11T21:20:07Z" w:initials="">
    <w:p w14:paraId="5E20D5C2">
      <w:pPr>
        <w:pStyle w:val="3"/>
      </w:pPr>
    </w:p>
    <w:p w14:paraId="415C5117">
      <w:pPr>
        <w:pStyle w:val="3"/>
        <w:rPr>
          <w:rFonts w:hint="default" w:eastAsiaTheme="minorEastAsia"/>
          <w:lang w:val="en-US" w:eastAsia="zh-CN"/>
        </w:rPr>
      </w:pPr>
      <w:r>
        <w:rPr>
          <w:rFonts w:hint="eastAsia"/>
          <w:lang w:val="en-US" w:eastAsia="zh-CN"/>
        </w:rPr>
        <w:t>经作者复核，此文缺少期次和页码的信息。</w:t>
      </w:r>
    </w:p>
    <w:p w14:paraId="325EF849">
      <w:pPr>
        <w:pStyle w:val="3"/>
      </w:pPr>
    </w:p>
    <w:p w14:paraId="46C8F5FE">
      <w:pPr>
        <w:pStyle w:val="3"/>
      </w:pPr>
    </w:p>
    <w:p w14:paraId="69A884F5">
      <w:pPr>
        <w:pStyle w:val="3"/>
      </w:pPr>
      <w:r>
        <w:drawing>
          <wp:inline distT="0" distB="0" distL="114300" distR="114300">
            <wp:extent cx="2101215" cy="2960370"/>
            <wp:effectExtent l="0" t="0" r="190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
                    <a:stretch>
                      <a:fillRect/>
                    </a:stretch>
                  </pic:blipFill>
                  <pic:spPr>
                    <a:xfrm>
                      <a:off x="0" y="0"/>
                      <a:ext cx="2101215" cy="2960370"/>
                    </a:xfrm>
                    <a:prstGeom prst="rect">
                      <a:avLst/>
                    </a:prstGeom>
                    <a:noFill/>
                    <a:ln>
                      <a:noFill/>
                    </a:ln>
                  </pic:spPr>
                </pic:pic>
              </a:graphicData>
            </a:graphic>
          </wp:inline>
        </w:drawing>
      </w:r>
    </w:p>
    <w:p w14:paraId="01C977D2">
      <w:pPr>
        <w:pStyle w:val="3"/>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6694007" w15:done="0"/>
  <w15:commentEx w15:paraId="3A8DABC9" w15:done="0"/>
  <w15:commentEx w15:paraId="12B6270B" w15:done="0"/>
  <w15:commentEx w15:paraId="01C977D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方正书宋_GBK">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B0AB03"/>
    <w:multiLevelType w:val="singleLevel"/>
    <w:tmpl w:val="A6B0AB03"/>
    <w:lvl w:ilvl="0" w:tentative="0">
      <w:start w:val="1"/>
      <w:numFmt w:val="decimal"/>
      <w:lvlText w:val="%1."/>
      <w:lvlJc w:val="left"/>
      <w:pPr>
        <w:tabs>
          <w:tab w:val="left" w:pos="312"/>
        </w:tabs>
      </w:pPr>
    </w:lvl>
  </w:abstractNum>
  <w:abstractNum w:abstractNumId="1">
    <w:nsid w:val="393CF35C"/>
    <w:multiLevelType w:val="singleLevel"/>
    <w:tmpl w:val="393CF35C"/>
    <w:lvl w:ilvl="0" w:tentative="0">
      <w:start w:val="8"/>
      <w:numFmt w:val="decimal"/>
      <w:lvlText w:val="[%1]"/>
      <w:lvlJc w:val="left"/>
      <w:pPr>
        <w:tabs>
          <w:tab w:val="left" w:pos="312"/>
        </w:tabs>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XDHL">
    <w15:presenceInfo w15:providerId="None" w15:userId="ZHXDHL"/>
  </w15:person>
  <w15:person w15:author="Lily Chai">
    <w15:presenceInfo w15:providerId="WPS Office" w15:userId="41664148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numFmt w:val="decimalEnclosedCircleChinese"/>
  </w:footnotePr>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Y_MEDREF_DOCUID" w:val="{411FEBA4-F311-4797-B665-D91314AABCCB}"/>
    <w:docVar w:name="KY_MEDREF_VERSION" w:val="3"/>
  </w:docVars>
  <w:rsids>
    <w:rsidRoot w:val="00FA57C3"/>
    <w:rsid w:val="000120E3"/>
    <w:rsid w:val="00043C97"/>
    <w:rsid w:val="00051636"/>
    <w:rsid w:val="0006373F"/>
    <w:rsid w:val="00066D3E"/>
    <w:rsid w:val="00075369"/>
    <w:rsid w:val="00080E45"/>
    <w:rsid w:val="00085746"/>
    <w:rsid w:val="000B623B"/>
    <w:rsid w:val="000C0487"/>
    <w:rsid w:val="000C1496"/>
    <w:rsid w:val="00103C56"/>
    <w:rsid w:val="001302C8"/>
    <w:rsid w:val="0013235C"/>
    <w:rsid w:val="00140C6F"/>
    <w:rsid w:val="00152ED9"/>
    <w:rsid w:val="0017625A"/>
    <w:rsid w:val="00183CEC"/>
    <w:rsid w:val="001C5ADF"/>
    <w:rsid w:val="00201231"/>
    <w:rsid w:val="002068E6"/>
    <w:rsid w:val="002312F0"/>
    <w:rsid w:val="00234FA0"/>
    <w:rsid w:val="00246419"/>
    <w:rsid w:val="002613D9"/>
    <w:rsid w:val="00292EDB"/>
    <w:rsid w:val="002F7C5A"/>
    <w:rsid w:val="00326389"/>
    <w:rsid w:val="00327CDE"/>
    <w:rsid w:val="0035771B"/>
    <w:rsid w:val="00366E37"/>
    <w:rsid w:val="00391EE7"/>
    <w:rsid w:val="00395B09"/>
    <w:rsid w:val="003B1CD3"/>
    <w:rsid w:val="003D65AC"/>
    <w:rsid w:val="003E48CF"/>
    <w:rsid w:val="00405CA5"/>
    <w:rsid w:val="00451408"/>
    <w:rsid w:val="00486645"/>
    <w:rsid w:val="00486E71"/>
    <w:rsid w:val="0049669A"/>
    <w:rsid w:val="004A2F49"/>
    <w:rsid w:val="004A3019"/>
    <w:rsid w:val="004D6DD7"/>
    <w:rsid w:val="004F361D"/>
    <w:rsid w:val="004F70C9"/>
    <w:rsid w:val="0050590C"/>
    <w:rsid w:val="00510EA2"/>
    <w:rsid w:val="005156A7"/>
    <w:rsid w:val="005243A2"/>
    <w:rsid w:val="00535272"/>
    <w:rsid w:val="0055053D"/>
    <w:rsid w:val="005518C6"/>
    <w:rsid w:val="00562933"/>
    <w:rsid w:val="0057001B"/>
    <w:rsid w:val="0058578F"/>
    <w:rsid w:val="005A6CF2"/>
    <w:rsid w:val="005B0CFB"/>
    <w:rsid w:val="005B348D"/>
    <w:rsid w:val="005F127C"/>
    <w:rsid w:val="00614D55"/>
    <w:rsid w:val="0062112A"/>
    <w:rsid w:val="0064035E"/>
    <w:rsid w:val="006A514D"/>
    <w:rsid w:val="006B213C"/>
    <w:rsid w:val="006C537E"/>
    <w:rsid w:val="006E28A5"/>
    <w:rsid w:val="006F328F"/>
    <w:rsid w:val="00703B50"/>
    <w:rsid w:val="00705DB5"/>
    <w:rsid w:val="00720332"/>
    <w:rsid w:val="007355AA"/>
    <w:rsid w:val="0074009E"/>
    <w:rsid w:val="00747AFD"/>
    <w:rsid w:val="007602BF"/>
    <w:rsid w:val="0076542E"/>
    <w:rsid w:val="007A797D"/>
    <w:rsid w:val="007B2B0C"/>
    <w:rsid w:val="007B6859"/>
    <w:rsid w:val="007C3634"/>
    <w:rsid w:val="007D0A97"/>
    <w:rsid w:val="007F66EC"/>
    <w:rsid w:val="008107DA"/>
    <w:rsid w:val="008133A6"/>
    <w:rsid w:val="0081363D"/>
    <w:rsid w:val="008138CC"/>
    <w:rsid w:val="00822648"/>
    <w:rsid w:val="00823A60"/>
    <w:rsid w:val="00824B31"/>
    <w:rsid w:val="00843D10"/>
    <w:rsid w:val="00875EB4"/>
    <w:rsid w:val="00876282"/>
    <w:rsid w:val="008820E1"/>
    <w:rsid w:val="008B3DDC"/>
    <w:rsid w:val="008B4B85"/>
    <w:rsid w:val="008C5C0D"/>
    <w:rsid w:val="008F393C"/>
    <w:rsid w:val="0091385C"/>
    <w:rsid w:val="009217BC"/>
    <w:rsid w:val="00926391"/>
    <w:rsid w:val="00936449"/>
    <w:rsid w:val="00960619"/>
    <w:rsid w:val="00961EB6"/>
    <w:rsid w:val="00971BFB"/>
    <w:rsid w:val="00977E9D"/>
    <w:rsid w:val="009A2154"/>
    <w:rsid w:val="009C4C9E"/>
    <w:rsid w:val="009D3FDE"/>
    <w:rsid w:val="009D7281"/>
    <w:rsid w:val="009F4C47"/>
    <w:rsid w:val="00A11184"/>
    <w:rsid w:val="00A22EEE"/>
    <w:rsid w:val="00A33F40"/>
    <w:rsid w:val="00A41F4E"/>
    <w:rsid w:val="00A5139A"/>
    <w:rsid w:val="00A52941"/>
    <w:rsid w:val="00A94C90"/>
    <w:rsid w:val="00AA205E"/>
    <w:rsid w:val="00AB315B"/>
    <w:rsid w:val="00AC385D"/>
    <w:rsid w:val="00AE544A"/>
    <w:rsid w:val="00B028FF"/>
    <w:rsid w:val="00B1410A"/>
    <w:rsid w:val="00B308B8"/>
    <w:rsid w:val="00B82B68"/>
    <w:rsid w:val="00B8580A"/>
    <w:rsid w:val="00BA1E36"/>
    <w:rsid w:val="00BC3D5F"/>
    <w:rsid w:val="00BF17CB"/>
    <w:rsid w:val="00C04062"/>
    <w:rsid w:val="00C04DD5"/>
    <w:rsid w:val="00C110B7"/>
    <w:rsid w:val="00C3277D"/>
    <w:rsid w:val="00C44E2D"/>
    <w:rsid w:val="00C47140"/>
    <w:rsid w:val="00C6302E"/>
    <w:rsid w:val="00C74B0A"/>
    <w:rsid w:val="00C82289"/>
    <w:rsid w:val="00C93E3A"/>
    <w:rsid w:val="00CB1D13"/>
    <w:rsid w:val="00CD359E"/>
    <w:rsid w:val="00CD7F26"/>
    <w:rsid w:val="00CE606F"/>
    <w:rsid w:val="00CE619E"/>
    <w:rsid w:val="00D01BC0"/>
    <w:rsid w:val="00D136F8"/>
    <w:rsid w:val="00D24AC0"/>
    <w:rsid w:val="00D27773"/>
    <w:rsid w:val="00D3685C"/>
    <w:rsid w:val="00D767D5"/>
    <w:rsid w:val="00D81827"/>
    <w:rsid w:val="00D85370"/>
    <w:rsid w:val="00D940E1"/>
    <w:rsid w:val="00D95C35"/>
    <w:rsid w:val="00D96F73"/>
    <w:rsid w:val="00DA628C"/>
    <w:rsid w:val="00DE77E6"/>
    <w:rsid w:val="00E039A5"/>
    <w:rsid w:val="00E05032"/>
    <w:rsid w:val="00E20274"/>
    <w:rsid w:val="00E336E3"/>
    <w:rsid w:val="00E5427A"/>
    <w:rsid w:val="00E629AC"/>
    <w:rsid w:val="00E75D53"/>
    <w:rsid w:val="00E7696E"/>
    <w:rsid w:val="00E93DC0"/>
    <w:rsid w:val="00EA06CC"/>
    <w:rsid w:val="00EB4538"/>
    <w:rsid w:val="00ED30EA"/>
    <w:rsid w:val="00EE5B8D"/>
    <w:rsid w:val="00F043AD"/>
    <w:rsid w:val="00F058C2"/>
    <w:rsid w:val="00F2499B"/>
    <w:rsid w:val="00F26DB7"/>
    <w:rsid w:val="00F4060D"/>
    <w:rsid w:val="00F81A0E"/>
    <w:rsid w:val="00FA57C3"/>
    <w:rsid w:val="00FB5B7A"/>
    <w:rsid w:val="00FC268C"/>
    <w:rsid w:val="00FC4922"/>
    <w:rsid w:val="00FD1BAA"/>
    <w:rsid w:val="00FD3653"/>
    <w:rsid w:val="00FE3482"/>
    <w:rsid w:val="00FF1259"/>
    <w:rsid w:val="02AA4B5B"/>
    <w:rsid w:val="0B5F6A5A"/>
    <w:rsid w:val="0B780669"/>
    <w:rsid w:val="0FCD7028"/>
    <w:rsid w:val="10901EE8"/>
    <w:rsid w:val="10D64721"/>
    <w:rsid w:val="11D50962"/>
    <w:rsid w:val="13462B91"/>
    <w:rsid w:val="145207D0"/>
    <w:rsid w:val="17484DC2"/>
    <w:rsid w:val="1A0C111B"/>
    <w:rsid w:val="1DAB760F"/>
    <w:rsid w:val="1DD82F26"/>
    <w:rsid w:val="1F555CBB"/>
    <w:rsid w:val="23844439"/>
    <w:rsid w:val="274B3618"/>
    <w:rsid w:val="2F670DA4"/>
    <w:rsid w:val="358160C2"/>
    <w:rsid w:val="39F1665A"/>
    <w:rsid w:val="3A004FB1"/>
    <w:rsid w:val="3A2346FB"/>
    <w:rsid w:val="415574F0"/>
    <w:rsid w:val="42632345"/>
    <w:rsid w:val="43923B90"/>
    <w:rsid w:val="43A64653"/>
    <w:rsid w:val="446B0381"/>
    <w:rsid w:val="46ED1809"/>
    <w:rsid w:val="48E96DD2"/>
    <w:rsid w:val="4D1F1C6D"/>
    <w:rsid w:val="4DA06425"/>
    <w:rsid w:val="52C4236F"/>
    <w:rsid w:val="591729D2"/>
    <w:rsid w:val="598D345D"/>
    <w:rsid w:val="5B74510D"/>
    <w:rsid w:val="61101431"/>
    <w:rsid w:val="61266CD3"/>
    <w:rsid w:val="66740704"/>
    <w:rsid w:val="684D7ADC"/>
    <w:rsid w:val="69317A25"/>
    <w:rsid w:val="694626E7"/>
    <w:rsid w:val="726920F9"/>
    <w:rsid w:val="750A2CCD"/>
    <w:rsid w:val="7606499A"/>
    <w:rsid w:val="77414BF2"/>
    <w:rsid w:val="7C661114"/>
  </w:rsids>
  <m:mathPr>
    <m:mathFont m:val="Cambria Math"/>
    <m:brkBin m:val="before"/>
    <m:brkBinSub m:val="--"/>
    <m:smallFrac m:val="0"/>
    <m:dispDef/>
    <m:lMargin m:val="0"/>
    <m:rMargin m:val="0"/>
    <m:defJc m:val="centerGroup"/>
    <m:wrapIndent m:val="1440"/>
    <m:intLim m:val="subSup"/>
    <m:naryLim m:val="undOvr"/>
  </m:mathPr>
  <w:attachedSchema w:val="http://www.founder.com/pam"/>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hAnsi="Times New Roman" w:asciiTheme="minorHAnsi" w:eastAsiaTheme="minorEastAsia" w:cstheme="minorBidi"/>
      <w:sz w:val="22"/>
      <w:szCs w:val="22"/>
      <w:lang w:val="en-US" w:eastAsia="zh-CN" w:bidi="ar-SA"/>
    </w:rPr>
  </w:style>
  <w:style w:type="paragraph" w:styleId="2">
    <w:name w:val="heading 1"/>
    <w:basedOn w:val="1"/>
    <w:next w:val="1"/>
    <w:qFormat/>
    <w:uiPriority w:val="0"/>
    <w:pPr>
      <w:keepNext/>
      <w:keepLines/>
      <w:spacing w:line="600" w:lineRule="exact"/>
      <w:ind w:firstLine="200" w:firstLineChars="200"/>
      <w:outlineLvl w:val="0"/>
    </w:pPr>
    <w:rPr>
      <w:rFonts w:ascii="Calibri" w:hAnsi="Calibri" w:eastAsia="仿宋"/>
      <w:b/>
      <w:bCs/>
      <w:kern w:val="44"/>
      <w:sz w:val="32"/>
      <w:szCs w:val="44"/>
    </w:rPr>
  </w:style>
  <w:style w:type="character" w:default="1" w:styleId="13">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48"/>
    <w:unhideWhenUsed/>
    <w:qFormat/>
    <w:uiPriority w:val="99"/>
  </w:style>
  <w:style w:type="paragraph" w:styleId="4">
    <w:name w:val="Balloon Text"/>
    <w:basedOn w:val="1"/>
    <w:link w:val="21"/>
    <w:semiHidden/>
    <w:unhideWhenUsed/>
    <w:qFormat/>
    <w:uiPriority w:val="99"/>
    <w:rPr>
      <w:rFonts w:ascii="Tahoma" w:hAnsi="Tahoma" w:cs="Tahoma"/>
      <w:sz w:val="16"/>
      <w:szCs w:val="16"/>
    </w:rPr>
  </w:style>
  <w:style w:type="paragraph" w:styleId="5">
    <w:name w:val="footer"/>
    <w:basedOn w:val="1"/>
    <w:link w:val="19"/>
    <w:unhideWhenUsed/>
    <w:qFormat/>
    <w:uiPriority w:val="99"/>
    <w:pPr>
      <w:tabs>
        <w:tab w:val="center" w:pos="4513"/>
        <w:tab w:val="right" w:pos="9026"/>
      </w:tabs>
    </w:pPr>
  </w:style>
  <w:style w:type="paragraph" w:styleId="6">
    <w:name w:val="header"/>
    <w:basedOn w:val="1"/>
    <w:link w:val="18"/>
    <w:unhideWhenUsed/>
    <w:qFormat/>
    <w:uiPriority w:val="99"/>
    <w:pPr>
      <w:tabs>
        <w:tab w:val="center" w:pos="4513"/>
        <w:tab w:val="right" w:pos="9026"/>
      </w:tabs>
    </w:pPr>
  </w:style>
  <w:style w:type="paragraph" w:styleId="7">
    <w:name w:val="footnote text"/>
    <w:basedOn w:val="1"/>
    <w:link w:val="26"/>
    <w:semiHidden/>
    <w:unhideWhenUsed/>
    <w:qFormat/>
    <w:uiPriority w:val="99"/>
    <w:pPr>
      <w:snapToGrid w:val="0"/>
    </w:pPr>
    <w:rPr>
      <w:sz w:val="18"/>
      <w:szCs w:val="18"/>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9">
    <w:name w:val="annotation subject"/>
    <w:basedOn w:val="3"/>
    <w:next w:val="3"/>
    <w:link w:val="49"/>
    <w:semiHidden/>
    <w:unhideWhenUsed/>
    <w:qFormat/>
    <w:uiPriority w:val="99"/>
    <w:rPr>
      <w:b/>
      <w:bCs/>
    </w:rPr>
  </w:style>
  <w:style w:type="table" w:styleId="11">
    <w:name w:val="Table Grid"/>
    <w:basedOn w:val="10"/>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2">
    <w:name w:val="Light Shading Accent 3"/>
    <w:basedOn w:val="10"/>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4">
    <w:name w:val="Strong"/>
    <w:basedOn w:val="13"/>
    <w:qFormat/>
    <w:uiPriority w:val="22"/>
    <w:rPr>
      <w:b/>
    </w:rPr>
  </w:style>
  <w:style w:type="character" w:styleId="15">
    <w:name w:val="Hyperlink"/>
    <w:qFormat/>
    <w:uiPriority w:val="99"/>
    <w:rPr>
      <w:color w:val="0000FF"/>
      <w:u w:val="single"/>
    </w:rPr>
  </w:style>
  <w:style w:type="character" w:styleId="16">
    <w:name w:val="annotation reference"/>
    <w:basedOn w:val="13"/>
    <w:semiHidden/>
    <w:unhideWhenUsed/>
    <w:qFormat/>
    <w:uiPriority w:val="99"/>
    <w:rPr>
      <w:sz w:val="21"/>
      <w:szCs w:val="21"/>
    </w:rPr>
  </w:style>
  <w:style w:type="character" w:styleId="17">
    <w:name w:val="footnote reference"/>
    <w:basedOn w:val="13"/>
    <w:semiHidden/>
    <w:unhideWhenUsed/>
    <w:qFormat/>
    <w:uiPriority w:val="99"/>
    <w:rPr>
      <w:vertAlign w:val="superscript"/>
    </w:rPr>
  </w:style>
  <w:style w:type="character" w:customStyle="1" w:styleId="18">
    <w:name w:val="页眉 字符"/>
    <w:basedOn w:val="13"/>
    <w:link w:val="6"/>
    <w:qFormat/>
    <w:uiPriority w:val="99"/>
  </w:style>
  <w:style w:type="character" w:customStyle="1" w:styleId="19">
    <w:name w:val="页脚 字符"/>
    <w:basedOn w:val="13"/>
    <w:link w:val="5"/>
    <w:qFormat/>
    <w:uiPriority w:val="99"/>
  </w:style>
  <w:style w:type="paragraph" w:styleId="20">
    <w:name w:val="List Paragraph"/>
    <w:basedOn w:val="1"/>
    <w:qFormat/>
    <w:uiPriority w:val="34"/>
    <w:pPr>
      <w:ind w:left="720"/>
      <w:contextualSpacing/>
    </w:pPr>
  </w:style>
  <w:style w:type="character" w:customStyle="1" w:styleId="21">
    <w:name w:val="批注框文本 字符"/>
    <w:basedOn w:val="13"/>
    <w:link w:val="4"/>
    <w:semiHidden/>
    <w:qFormat/>
    <w:uiPriority w:val="99"/>
    <w:rPr>
      <w:rFonts w:ascii="Tahoma" w:hAnsi="Tahoma" w:cs="Tahoma"/>
      <w:sz w:val="16"/>
      <w:szCs w:val="16"/>
    </w:rPr>
  </w:style>
  <w:style w:type="paragraph" w:styleId="22">
    <w:name w:val="Quote"/>
    <w:basedOn w:val="1"/>
    <w:next w:val="1"/>
    <w:link w:val="23"/>
    <w:qFormat/>
    <w:uiPriority w:val="29"/>
    <w:rPr>
      <w:i/>
      <w:iCs/>
      <w:color w:val="000000" w:themeColor="text1"/>
      <w14:textFill>
        <w14:solidFill>
          <w14:schemeClr w14:val="tx1"/>
        </w14:solidFill>
      </w14:textFill>
    </w:rPr>
  </w:style>
  <w:style w:type="character" w:customStyle="1" w:styleId="23">
    <w:name w:val="引用 字符"/>
    <w:basedOn w:val="13"/>
    <w:link w:val="22"/>
    <w:qFormat/>
    <w:uiPriority w:val="29"/>
    <w:rPr>
      <w:i/>
      <w:iCs/>
      <w:color w:val="000000" w:themeColor="text1"/>
      <w14:textFill>
        <w14:solidFill>
          <w14:schemeClr w14:val="tx1"/>
        </w14:solidFill>
      </w14:textFill>
    </w:rPr>
  </w:style>
  <w:style w:type="paragraph" w:customStyle="1" w:styleId="24">
    <w:name w:val="MTDisplayEquation"/>
    <w:basedOn w:val="1"/>
    <w:next w:val="1"/>
    <w:link w:val="25"/>
    <w:qFormat/>
    <w:uiPriority w:val="0"/>
    <w:pPr>
      <w:tabs>
        <w:tab w:val="center" w:pos="4160"/>
        <w:tab w:val="right" w:pos="8300"/>
      </w:tabs>
    </w:pPr>
  </w:style>
  <w:style w:type="character" w:customStyle="1" w:styleId="25">
    <w:name w:val="MTDisplayEquation Char"/>
    <w:basedOn w:val="13"/>
    <w:link w:val="24"/>
    <w:qFormat/>
    <w:uiPriority w:val="0"/>
  </w:style>
  <w:style w:type="character" w:customStyle="1" w:styleId="26">
    <w:name w:val="脚注文本 字符"/>
    <w:basedOn w:val="13"/>
    <w:link w:val="7"/>
    <w:semiHidden/>
    <w:qFormat/>
    <w:uiPriority w:val="99"/>
    <w:rPr>
      <w:sz w:val="18"/>
      <w:szCs w:val="18"/>
    </w:rPr>
  </w:style>
  <w:style w:type="paragraph" w:customStyle="1" w:styleId="27">
    <w:name w:val="[基本段落]"/>
    <w:basedOn w:val="28"/>
    <w:qFormat/>
    <w:uiPriority w:val="0"/>
    <w:pPr>
      <w:ind w:firstLine="200" w:firstLineChars="200"/>
    </w:pPr>
    <w:rPr>
      <w:rFonts w:hint="default" w:ascii="宋体" w:hAnsi="宋体" w:eastAsia="宋体"/>
    </w:rPr>
  </w:style>
  <w:style w:type="paragraph" w:customStyle="1" w:styleId="28">
    <w:name w:val="[系统文字]"/>
    <w:qFormat/>
    <w:uiPriority w:val="0"/>
    <w:pPr>
      <w:jc w:val="both"/>
    </w:pPr>
    <w:rPr>
      <w:rFonts w:hint="eastAsia" w:ascii="Times New Roman" w:hAnsi="Times New Roman" w:eastAsia="方正书宋_GBK" w:cstheme="minorBidi"/>
      <w:color w:val="000000"/>
      <w:sz w:val="21"/>
      <w:szCs w:val="21"/>
      <w:lang w:val="en-US" w:eastAsia="zh-CN" w:bidi="ar-SA"/>
    </w:rPr>
  </w:style>
  <w:style w:type="paragraph" w:customStyle="1" w:styleId="29">
    <w:name w:val="41正文"/>
    <w:basedOn w:val="28"/>
    <w:qFormat/>
    <w:uiPriority w:val="0"/>
    <w:pPr>
      <w:ind w:firstLine="200" w:firstLineChars="200"/>
    </w:pPr>
    <w:rPr>
      <w:rFonts w:hint="default" w:ascii="宋体" w:hAnsi="宋体" w:eastAsia="宋体"/>
    </w:rPr>
  </w:style>
  <w:style w:type="paragraph" w:customStyle="1" w:styleId="30">
    <w:name w:val="55章首页眉左块 拷贝"/>
    <w:basedOn w:val="28"/>
    <w:qFormat/>
    <w:uiPriority w:val="0"/>
    <w:rPr>
      <w:rFonts w:hint="default"/>
      <w:sz w:val="16"/>
      <w:szCs w:val="16"/>
    </w:rPr>
  </w:style>
  <w:style w:type="paragraph" w:customStyle="1" w:styleId="31">
    <w:name w:val="01中文标题"/>
    <w:basedOn w:val="28"/>
    <w:qFormat/>
    <w:uiPriority w:val="0"/>
    <w:pPr>
      <w:jc w:val="center"/>
    </w:pPr>
    <w:rPr>
      <w:rFonts w:hint="default" w:ascii="宋体" w:hAnsi="宋体" w:eastAsia="宋体"/>
      <w:sz w:val="42"/>
      <w:szCs w:val="42"/>
    </w:rPr>
  </w:style>
  <w:style w:type="paragraph" w:customStyle="1" w:styleId="32">
    <w:name w:val="04中文摘要"/>
    <w:basedOn w:val="28"/>
    <w:qFormat/>
    <w:uiPriority w:val="0"/>
    <w:rPr>
      <w:rFonts w:hint="default" w:ascii="宋体" w:hAnsi="宋体" w:eastAsia="楷体"/>
    </w:rPr>
  </w:style>
  <w:style w:type="paragraph" w:customStyle="1" w:styleId="33">
    <w:name w:val="05中文关键词"/>
    <w:basedOn w:val="28"/>
    <w:qFormat/>
    <w:uiPriority w:val="0"/>
    <w:rPr>
      <w:rFonts w:hint="default" w:ascii="宋体" w:hAnsi="宋体" w:eastAsia="楷体"/>
    </w:rPr>
  </w:style>
  <w:style w:type="paragraph" w:customStyle="1" w:styleId="34">
    <w:name w:val="07中图分类号"/>
    <w:basedOn w:val="28"/>
    <w:qFormat/>
    <w:uiPriority w:val="0"/>
    <w:pPr>
      <w:spacing w:after="158"/>
    </w:pPr>
    <w:rPr>
      <w:rFonts w:hint="default" w:ascii="宋体" w:hAnsi="宋体" w:eastAsia="黑体"/>
    </w:rPr>
  </w:style>
  <w:style w:type="paragraph" w:customStyle="1" w:styleId="35">
    <w:name w:val="11英文标题"/>
    <w:basedOn w:val="28"/>
    <w:qFormat/>
    <w:uiPriority w:val="0"/>
    <w:pPr>
      <w:jc w:val="center"/>
    </w:pPr>
    <w:rPr>
      <w:rFonts w:hint="default" w:ascii="黑体" w:hAnsi="黑体" w:eastAsia="黑体"/>
      <w:sz w:val="24"/>
      <w:szCs w:val="24"/>
    </w:rPr>
  </w:style>
  <w:style w:type="paragraph" w:customStyle="1" w:styleId="36">
    <w:name w:val="14英文摘要"/>
    <w:basedOn w:val="28"/>
    <w:qFormat/>
    <w:uiPriority w:val="0"/>
    <w:pPr>
      <w:spacing w:before="105"/>
    </w:pPr>
    <w:rPr>
      <w:rFonts w:hint="default" w:ascii="宋体" w:hAnsi="宋体" w:eastAsia="宋体"/>
      <w:sz w:val="18"/>
      <w:szCs w:val="18"/>
    </w:rPr>
  </w:style>
  <w:style w:type="paragraph" w:customStyle="1" w:styleId="37">
    <w:name w:val="15英文关键词"/>
    <w:basedOn w:val="28"/>
    <w:qFormat/>
    <w:uiPriority w:val="0"/>
    <w:pPr>
      <w:spacing w:after="315"/>
    </w:pPr>
    <w:rPr>
      <w:rFonts w:hint="default" w:ascii="宋体" w:hAnsi="宋体" w:eastAsia="宋体"/>
      <w:sz w:val="18"/>
      <w:szCs w:val="18"/>
    </w:rPr>
  </w:style>
  <w:style w:type="paragraph" w:customStyle="1" w:styleId="38">
    <w:name w:val="42一级标题"/>
    <w:basedOn w:val="28"/>
    <w:qFormat/>
    <w:uiPriority w:val="0"/>
    <w:pPr>
      <w:spacing w:before="105" w:after="105"/>
    </w:pPr>
    <w:rPr>
      <w:rFonts w:hint="default" w:ascii="黑体" w:hAnsi="黑体" w:eastAsia="黑体"/>
      <w:sz w:val="28"/>
      <w:szCs w:val="28"/>
    </w:rPr>
  </w:style>
  <w:style w:type="paragraph" w:customStyle="1" w:styleId="39">
    <w:name w:val="42二级标题"/>
    <w:basedOn w:val="28"/>
    <w:qFormat/>
    <w:uiPriority w:val="0"/>
    <w:rPr>
      <w:rFonts w:hint="default" w:ascii="黑体" w:hAnsi="黑体" w:eastAsia="黑体"/>
    </w:rPr>
  </w:style>
  <w:style w:type="paragraph" w:customStyle="1" w:styleId="40">
    <w:name w:val="24参考文献标题"/>
    <w:basedOn w:val="28"/>
    <w:qFormat/>
    <w:uiPriority w:val="0"/>
    <w:pPr>
      <w:spacing w:before="315"/>
      <w:outlineLvl w:val="1"/>
    </w:pPr>
    <w:rPr>
      <w:rFonts w:hint="default" w:ascii="宋体" w:hAnsi="宋体" w:eastAsia="黑体"/>
      <w:sz w:val="18"/>
      <w:szCs w:val="18"/>
    </w:rPr>
  </w:style>
  <w:style w:type="paragraph" w:customStyle="1" w:styleId="41">
    <w:name w:val="22参考文献条目段落"/>
    <w:basedOn w:val="28"/>
    <w:qFormat/>
    <w:uiPriority w:val="0"/>
    <w:pPr>
      <w:ind w:hanging="235" w:hangingChars="235"/>
    </w:pPr>
    <w:rPr>
      <w:rFonts w:hint="default" w:ascii="宋体" w:hAnsi="宋体" w:eastAsia="宋体"/>
      <w:sz w:val="18"/>
      <w:szCs w:val="18"/>
    </w:rPr>
  </w:style>
  <w:style w:type="paragraph" w:customStyle="1" w:styleId="42">
    <w:name w:val="22参考文献条目"/>
    <w:basedOn w:val="28"/>
    <w:qFormat/>
    <w:uiPriority w:val="0"/>
    <w:pPr>
      <w:ind w:left="567" w:hanging="567"/>
    </w:pPr>
    <w:rPr>
      <w:rFonts w:hint="default" w:ascii="宋体" w:hAnsi="宋体" w:eastAsia="宋体"/>
      <w:sz w:val="18"/>
      <w:szCs w:val="18"/>
    </w:rPr>
  </w:style>
  <w:style w:type="paragraph" w:customStyle="1" w:styleId="43">
    <w:name w:val="53章首注释区"/>
    <w:basedOn w:val="28"/>
    <w:qFormat/>
    <w:uiPriority w:val="0"/>
    <w:pPr>
      <w:ind w:firstLine="200" w:firstLineChars="200"/>
    </w:pPr>
    <w:rPr>
      <w:rFonts w:hint="default" w:ascii="宋体" w:hAnsi="宋体" w:eastAsia="宋体"/>
      <w:sz w:val="16"/>
      <w:szCs w:val="16"/>
    </w:rPr>
  </w:style>
  <w:style w:type="paragraph" w:customStyle="1" w:styleId="44">
    <w:name w:val="表题"/>
    <w:basedOn w:val="28"/>
    <w:qFormat/>
    <w:uiPriority w:val="0"/>
    <w:pPr>
      <w:ind w:firstLine="200" w:firstLineChars="200"/>
    </w:pPr>
    <w:rPr>
      <w:rFonts w:hint="default" w:ascii="宋体" w:hAnsi="宋体" w:eastAsia="楷体"/>
    </w:rPr>
  </w:style>
  <w:style w:type="paragraph" w:customStyle="1" w:styleId="45">
    <w:name w:val="下行跟随"/>
    <w:basedOn w:val="28"/>
    <w:qFormat/>
    <w:uiPriority w:val="0"/>
    <w:pPr>
      <w:jc w:val="center"/>
    </w:pPr>
    <w:rPr>
      <w:rFonts w:hint="default" w:ascii="宋体" w:hAnsi="宋体" w:eastAsia="宋体"/>
      <w:sz w:val="18"/>
      <w:szCs w:val="18"/>
    </w:rPr>
  </w:style>
  <w:style w:type="paragraph" w:customStyle="1" w:styleId="46">
    <w:name w:val="56表体内容"/>
    <w:basedOn w:val="28"/>
    <w:qFormat/>
    <w:uiPriority w:val="0"/>
    <w:pPr>
      <w:jc w:val="center"/>
    </w:pPr>
    <w:rPr>
      <w:rFonts w:hint="default" w:ascii="宋体" w:hAnsi="宋体" w:eastAsia="仿宋"/>
      <w:sz w:val="18"/>
      <w:szCs w:val="18"/>
    </w:rPr>
  </w:style>
  <w:style w:type="paragraph" w:customStyle="1" w:styleId="47">
    <w:name w:val="59表题 拷贝"/>
    <w:basedOn w:val="28"/>
    <w:qFormat/>
    <w:uiPriority w:val="0"/>
    <w:pPr>
      <w:jc w:val="center"/>
    </w:pPr>
    <w:rPr>
      <w:rFonts w:hint="default" w:ascii="黑体" w:hAnsi="黑体" w:eastAsia="黑体"/>
      <w:sz w:val="18"/>
      <w:szCs w:val="18"/>
    </w:rPr>
  </w:style>
  <w:style w:type="character" w:customStyle="1" w:styleId="48">
    <w:name w:val="批注文字 字符"/>
    <w:basedOn w:val="13"/>
    <w:link w:val="3"/>
    <w:qFormat/>
    <w:uiPriority w:val="99"/>
  </w:style>
  <w:style w:type="character" w:customStyle="1" w:styleId="49">
    <w:name w:val="批注主题 字符"/>
    <w:basedOn w:val="48"/>
    <w:link w:val="9"/>
    <w:semiHidden/>
    <w:qFormat/>
    <w:uiPriority w:val="99"/>
    <w:rPr>
      <w:b/>
      <w:bCs/>
    </w:rPr>
  </w:style>
  <w:style w:type="character" w:customStyle="1" w:styleId="50">
    <w:name w:val="批注文字 字符1"/>
    <w:qFormat/>
    <w:uiPriority w:val="0"/>
    <w:rPr>
      <w:rFonts w:ascii="Times New Roman" w:hAnsi="Times New Roman" w:eastAsia="宋体" w:cs="Times New Roman"/>
      <w:szCs w:val="20"/>
    </w:rPr>
  </w:style>
</w:style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8.xml"/><Relationship Id="rId13" Type="http://schemas.openxmlformats.org/officeDocument/2006/relationships/customXml" Target="../customXml/item7.xml"/><Relationship Id="rId12" Type="http://schemas.openxmlformats.org/officeDocument/2006/relationships/customXml" Target="../customXml/item6.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fxdataroot>
  <parastyle-set>
    <parastyle name="01中文标题" metatype="中文标题"/>
    <parastyle name="05中文关键词" metatype="中文关键词"/>
    <parastyle name="07中图分类号" metatype="文章编号"/>
    <parastyle name="11英文标题" metatype="英文标题"/>
    <parastyle name="15英文关键词" metatype="英文关键词"/>
    <parastyle name="22参考文献条目段落" metatype="参考文献条目"/>
    <parastyle name="42一级标题" metatype="一级标题"/>
    <parastyle name="42二级标题" metatype="二级标题"/>
    <parastyle name="53章首注释区" metatype="收稿日期"/>
    <parastyle name="表题" metatype="中文表头,中文表题"/>
  </parastyle-set>
</fxdataroot>
</file>

<file path=customXml/item4.xml><?xml version="1.0" encoding="utf-8"?>
<contractReview xmlns="http://schemas.wps.cn/vas-ai-hub/contract-review">
  <reviewItems>
    <reviewItem>
      <errorID>2707b07c-c017-4616-9520-b20c6a34c59a</errorID>
      <errorWord>应以</errorWord>
      <group>L1_Word</group>
      <groupName>字词问题</groupName>
      <ability>L2_Typo</ability>
      <abilityName>字词错误</abilityName>
      <candidateList>
        <item>应</item>
      </candidateList>
      <explain/>
      <paraID>77A4C42E</paraID>
      <start>20</start>
      <end>22</end>
      <status>unmodified</status>
      <modifiedWord/>
      <trackRevisions>false</trackRevisions>
    </reviewItem>
    <reviewItem>
      <errorID>bcc0af13-74c7-485a-885e-807361545aa7</errorID>
      <errorWord>，。：；</errorWord>
      <group>L1_Punc</group>
      <groupName>标点问题</groupName>
      <ability>L2_Punc</ability>
      <abilityName>标点符号检查</abilityName>
      <candidateList>
        <item>，</item>
      </candidateList>
      <explain/>
      <paraID>5225BB61</paraID>
      <start>20</start>
      <end>24</end>
      <status>unmodified</status>
      <modifiedWord/>
      <trackRevisions>false</trackRevisions>
    </reviewItem>
    <reviewItem>
      <errorID>58a2b625-4bd2-4b20-9767-c841567cc981</errorID>
      <errorWord>2022-2023</errorWord>
      <group>L1_Punc</group>
      <groupName>标点问题</groupName>
      <ability>L2_Punc</ability>
      <abilityName>标点符号检查</abilityName>
      <candidateList>
        <item>2022—2023</item>
      </candidateList>
      <explain/>
      <paraID>52FC5DF5</paraID>
      <start>14</start>
      <end>23</end>
      <status>unmodified</status>
      <modifiedWord/>
      <trackRevisions>false</trackRevisions>
    </reviewItem>
    <reviewItem>
      <errorID>1f4c3aa2-fc7e-48ad-8e28-a27a6dfb8283</errorID>
      <errorWord>。</errorWord>
      <group>L1_Punc</group>
      <groupName>标点问题</groupName>
      <ability>L2_Punc</ability>
      <abilityName>标点符号检查</abilityName>
      <candidateList>
        <item/>
      </candidateList>
      <explain>标题文本后不使用标点符号。</explain>
      <paraID>37F53A0C</paraID>
      <start>28</start>
      <end>29</end>
      <status>unmodified</status>
      <modifiedWord/>
      <trackRevisions>false</trackRevisions>
    </reviewItem>
    <reviewItem>
      <errorID>ecffc978-3aea-46ce-87a6-de4cbae20b37</errorID>
      <errorWord>“</errorWord>
      <group>L1_Format</group>
      <groupName>格式问题</groupName>
      <ability>L2_HalfPunc</ability>
      <abilityName>全半角检查</abilityName>
      <candidateList>
        <item>"</item>
      </candidateList>
      <explain>文本全半角错误。</explain>
      <paraID>61740F4D</paraID>
      <start>778</start>
      <end>779</end>
      <status>unmodified</status>
      <modifiedWord/>
      <trackRevisions>false</trackRevisions>
    </reviewItem>
    <reviewItem>
      <errorID>36202633-b2be-41f8-8836-750db74f9dc2</errorID>
      <errorWord>”</errorWord>
      <group>L1_Format</group>
      <groupName>格式问题</groupName>
      <ability>L2_HalfPunc</ability>
      <abilityName>全半角检查</abilityName>
      <candidateList>
        <item>"</item>
      </candidateList>
      <explain>文本全半角错误。</explain>
      <paraID>61740F4D</paraID>
      <start>791</start>
      <end>792</end>
      <status>unmodified</status>
      <modifiedWord/>
      <trackRevisions>false</trackRevisions>
    </reviewItem>
    <reviewItem>
      <errorID>0fff2263-1233-4fcf-b794-724ae814ec06</errorID>
      <errorWord>“</errorWord>
      <group>L1_Format</group>
      <groupName>格式问题</groupName>
      <ability>L2_HalfPunc</ability>
      <abilityName>全半角检查</abilityName>
      <candidateList>
        <item>"</item>
      </candidateList>
      <explain>文本全半角错误。</explain>
      <paraID>61740F4D</paraID>
      <start>802</start>
      <end>803</end>
      <status>unmodified</status>
      <modifiedWord/>
      <trackRevisions>false</trackRevisions>
    </reviewItem>
    <reviewItem>
      <errorID>e3bddb51-9b4b-496b-a9b7-9a3438cd8a16</errorID>
      <errorWord>”</errorWord>
      <group>L1_Format</group>
      <groupName>格式问题</groupName>
      <ability>L2_HalfPunc</ability>
      <abilityName>全半角检查</abilityName>
      <candidateList>
        <item>"</item>
      </candidateList>
      <explain>文本全半角错误。</explain>
      <paraID>61740F4D</paraID>
      <start>824</start>
      <end>825</end>
      <status>unmodified</status>
      <modifiedWord/>
      <trackRevisions>false</trackRevisions>
    </reviewItem>
    <reviewItem>
      <errorID>41dad126-abcc-4f18-8187-dcc82fc4f2c2</errorID>
      <errorWord>“</errorWord>
      <group>L1_Format</group>
      <groupName>格式问题</groupName>
      <ability>L2_HalfPunc</ability>
      <abilityName>全半角检查</abilityName>
      <candidateList>
        <item>"</item>
      </candidateList>
      <explain>文本全半角错误。</explain>
      <paraID>61740F4D</paraID>
      <start>845</start>
      <end>846</end>
      <status>unmodified</status>
      <modifiedWord/>
      <trackRevisions>false</trackRevisions>
    </reviewItem>
    <reviewItem>
      <errorID>1d00f001-661c-48d8-95bb-b1aa48de6ac3</errorID>
      <errorWord>”</errorWord>
      <group>L1_Format</group>
      <groupName>格式问题</groupName>
      <ability>L2_HalfPunc</ability>
      <abilityName>全半角检查</abilityName>
      <candidateList>
        <item>"</item>
      </candidateList>
      <explain>文本全半角错误。</explain>
      <paraID>61740F4D</paraID>
      <start>864</start>
      <end>865</end>
      <status>unmodified</status>
      <modifiedWord/>
      <trackRevisions>false</trackRevisions>
    </reviewItem>
    <reviewItem>
      <errorID>1eca8705-3fef-4950-b8b0-921cd30cce55</errorID>
      <errorWord>“</errorWord>
      <group>L1_Format</group>
      <groupName>格式问题</groupName>
      <ability>L2_HalfPunc</ability>
      <abilityName>全半角检查</abilityName>
      <candidateList>
        <item>"</item>
      </candidateList>
      <explain>文本全半角错误。</explain>
      <paraID>61740F4D</paraID>
      <start>958</start>
      <end>959</end>
      <status>unmodified</status>
      <modifiedWord/>
      <trackRevisions>false</trackRevisions>
    </reviewItem>
    <reviewItem>
      <errorID>b723091a-3e5b-409b-baae-d62798e9c5a7</errorID>
      <errorWord>”</errorWord>
      <group>L1_Format</group>
      <groupName>格式问题</groupName>
      <ability>L2_HalfPunc</ability>
      <abilityName>全半角检查</abilityName>
      <candidateList>
        <item>"</item>
      </candidateList>
      <explain>文本全半角错误。</explain>
      <paraID>61740F4D</paraID>
      <start>975</start>
      <end>976</end>
      <status>unmodified</status>
      <modifiedWord/>
      <trackRevisions>false</trackRevisions>
    </reviewItem>
    <reviewItem>
      <errorID>2ffdac67-5021-4a81-8d6c-ad6e7b41ffb9</errorID>
      <errorWord>“</errorWord>
      <group>L1_Format</group>
      <groupName>格式问题</groupName>
      <ability>L2_HalfPunc</ability>
      <abilityName>全半角检查</abilityName>
      <candidateList>
        <item>"</item>
      </candidateList>
      <explain>文本全半角错误。</explain>
      <paraID>61740F4D</paraID>
      <start>996</start>
      <end>997</end>
      <status>unmodified</status>
      <modifiedWord/>
      <trackRevisions>false</trackRevisions>
    </reviewItem>
    <reviewItem>
      <errorID>c0415fc9-0075-48ce-abe0-89b9a0b6db3f</errorID>
      <errorWord>”</errorWord>
      <group>L1_Format</group>
      <groupName>格式问题</groupName>
      <ability>L2_HalfPunc</ability>
      <abilityName>全半角检查</abilityName>
      <candidateList>
        <item>"</item>
      </candidateList>
      <explain>文本全半角错误。</explain>
      <paraID>61740F4D</paraID>
      <start>1022</start>
      <end>1023</end>
      <status>unmodified</status>
      <modifiedWord/>
      <trackRevisions>false</trackRevisions>
    </reviewItem>
    <reviewItem>
      <errorID>f96f4928-6820-48af-8f3f-da2b48cecb36</errorID>
      <errorWord>“</errorWord>
      <group>L1_Format</group>
      <groupName>格式问题</groupName>
      <ability>L2_HalfPunc</ability>
      <abilityName>全半角检查</abilityName>
      <candidateList>
        <item>"</item>
      </candidateList>
      <explain>文本全半角错误。</explain>
      <paraID>61740F4D</paraID>
      <start>1098</start>
      <end>1099</end>
      <status>unmodified</status>
      <modifiedWord/>
      <trackRevisions>false</trackRevisions>
    </reviewItem>
    <reviewItem>
      <errorID>d8dd0522-148b-4c45-8230-c7be4c73f20a</errorID>
      <errorWord>”</errorWord>
      <group>L1_Format</group>
      <groupName>格式问题</groupName>
      <ability>L2_HalfPunc</ability>
      <abilityName>全半角检查</abilityName>
      <candidateList>
        <item>"</item>
      </candidateList>
      <explain>文本全半角错误。</explain>
      <paraID>61740F4D</paraID>
      <start>1118</start>
      <end>1119</end>
      <status>unmodified</status>
      <modifiedWord/>
      <trackRevisions>false</trackRevisions>
    </reviewItem>
    <reviewItem>
      <errorID>5927b4ac-686b-43c5-b4f8-ffb2fb399154</errorID>
      <errorWord>“</errorWord>
      <group>L1_Format</group>
      <groupName>格式问题</groupName>
      <ability>L2_HalfPunc</ability>
      <abilityName>全半角检查</abilityName>
      <candidateList>
        <item>"</item>
      </candidateList>
      <explain>文本全半角错误。</explain>
      <paraID>61740F4D</paraID>
      <start>1168</start>
      <end>1169</end>
      <status>unmodified</status>
      <modifiedWord/>
      <trackRevisions>false</trackRevisions>
    </reviewItem>
    <reviewItem>
      <errorID>fb4a0995-117c-4267-ba7f-8b123bc9d7de</errorID>
      <errorWord>”</errorWord>
      <group>L1_Format</group>
      <groupName>格式问题</groupName>
      <ability>L2_HalfPunc</ability>
      <abilityName>全半角检查</abilityName>
      <candidateList>
        <item>"</item>
      </candidateList>
      <explain>文本全半角错误。</explain>
      <paraID>61740F4D</paraID>
      <start>1182</start>
      <end>1183</end>
      <status>unmodified</status>
      <modifiedWord/>
      <trackRevisions>false</trackRevisions>
    </reviewItem>
    <reviewItem>
      <errorID>4e744d86-2d59-4734-ba2e-815e7ab21517</errorID>
      <errorWord>“</errorWord>
      <group>L1_Format</group>
      <groupName>格式问题</groupName>
      <ability>L2_HalfPunc</ability>
      <abilityName>全半角检查</abilityName>
      <candidateList>
        <item>"</item>
      </candidateList>
      <explain>文本全半角错误。</explain>
      <paraID>61740F4D</paraID>
      <start>1239</start>
      <end>1240</end>
      <status>unmodified</status>
      <modifiedWord/>
      <trackRevisions>false</trackRevisions>
    </reviewItem>
    <reviewItem>
      <errorID>f5372192-af2d-492a-aded-39d294058cca</errorID>
      <errorWord>”</errorWord>
      <group>L1_Format</group>
      <groupName>格式问题</groupName>
      <ability>L2_HalfPunc</ability>
      <abilityName>全半角检查</abilityName>
      <candidateList>
        <item>"</item>
      </candidateList>
      <explain>文本全半角错误。</explain>
      <paraID>61740F4D</paraID>
      <start>1254</start>
      <end>1255</end>
      <status>unmodified</status>
      <modifiedWord/>
      <trackRevisions>false</trackRevisions>
    </reviewItem>
    <reviewItem>
      <errorID>2fbd11a2-6606-40ed-9e2c-ba45635f951d</errorID>
      <errorWord>“</errorWord>
      <group>L1_Format</group>
      <groupName>格式问题</groupName>
      <ability>L2_HalfPunc</ability>
      <abilityName>全半角检查</abilityName>
      <candidateList>
        <item>"</item>
      </candidateList>
      <explain>文本全半角错误。</explain>
      <paraID>61740F4D</paraID>
      <start>1275</start>
      <end>1276</end>
      <status>unmodified</status>
      <modifiedWord/>
      <trackRevisions>false</trackRevisions>
    </reviewItem>
    <reviewItem>
      <errorID>3fd27db7-66cb-466d-a465-a712a5060f49</errorID>
      <errorWord>”</errorWord>
      <group>L1_Format</group>
      <groupName>格式问题</groupName>
      <ability>L2_HalfPunc</ability>
      <abilityName>全半角检查</abilityName>
      <candidateList>
        <item>"</item>
      </candidateList>
      <explain>文本全半角错误。</explain>
      <paraID>61740F4D</paraID>
      <start>1287</start>
      <end>1288</end>
      <status>unmodified</status>
      <modifiedWord/>
      <trackRevisions>false</trackRevisions>
    </reviewItem>
    <reviewItem>
      <errorID>b569e33c-b2a4-49e8-8536-9577b5a21a3c</errorID>
      <errorWord>“</errorWord>
      <group>L1_Format</group>
      <groupName>格式问题</groupName>
      <ability>L2_HalfPunc</ability>
      <abilityName>全半角检查</abilityName>
      <candidateList>
        <item>"</item>
      </candidateList>
      <explain>文本全半角错误。</explain>
      <paraID>61740F4D</paraID>
      <start>1308</start>
      <end>1309</end>
      <status>unmodified</status>
      <modifiedWord/>
      <trackRevisions>false</trackRevisions>
    </reviewItem>
    <reviewItem>
      <errorID>c9e000c9-5fac-4352-b86a-1e264eda58c5</errorID>
      <errorWord>”</errorWord>
      <group>L1_Format</group>
      <groupName>格式问题</groupName>
      <ability>L2_HalfPunc</ability>
      <abilityName>全半角检查</abilityName>
      <candidateList>
        <item>"</item>
      </candidateList>
      <explain>文本全半角错误。</explain>
      <paraID>61740F4D</paraID>
      <start>1318</start>
      <end>1319</end>
      <status>unmodified</status>
      <modifiedWord/>
      <trackRevisions>false</trackRevisions>
    </reviewItem>
    <reviewItem>
      <errorID>4b429f58-99a7-49cb-9a75-118b244a9d16</errorID>
      <errorWord>。</errorWord>
      <group>L1_Punc</group>
      <groupName>标点问题</groupName>
      <ability>L2_Punc</ability>
      <abilityName>标点符号检查</abilityName>
      <candidateList>
        <item/>
      </candidateList>
      <explain>标题文本后不使用标点符号。</explain>
      <paraID>3C7BDC5B</paraID>
      <start>21</start>
      <end>22</end>
      <status>unmodified</status>
      <modifiedWord/>
      <trackRevisions>false</trackRevisions>
    </reviewItem>
    <reviewItem>
      <errorID>9cfaaaf8-3122-446e-ad6d-66a514b7497f</errorID>
      <errorWord>~</errorWord>
      <group>L1_Format</group>
      <groupName>格式问题</groupName>
      <ability>L2_HalfPunc</ability>
      <abilityName>全半角检查</abilityName>
      <candidateList>
        <item>～</item>
      </candidateList>
      <explain>文本全半角错误。</explain>
      <paraID>76326218</paraID>
      <start>187</start>
      <end>188</end>
      <status>unmodified</status>
      <modifiedWord/>
      <trackRevisions>false</trackRevisions>
    </reviewItem>
    <reviewItem>
      <errorID>d2bebad7-2f67-4fe3-8b3b-0f926ad51112</errorID>
      <errorWord>。</errorWord>
      <group>L1_Punc</group>
      <groupName>标点问题</groupName>
      <ability>L2_Punc</ability>
      <abilityName>标点符号检查</abilityName>
      <candidateList>
        <item/>
      </candidateList>
      <explain>标题文本后不使用标点符号。</explain>
      <paraID> 5EA1CBF</paraID>
      <start>36</start>
      <end>37</end>
      <status>unmodified</status>
      <modifiedWord/>
      <trackRevisions>false</trackRevisions>
    </reviewItem>
    <reviewItem>
      <errorID>e6d2839c-9ce5-42c1-878d-4827b8abd801</errorID>
      <errorWord>。</errorWord>
      <group>L1_Punc</group>
      <groupName>标点问题</groupName>
      <ability>L2_Punc</ability>
      <abilityName>标点符号检查</abilityName>
      <candidateList>
        <item/>
      </candidateList>
      <explain>标题文本后不使用标点符号。</explain>
      <paraID>75AF86AF</paraID>
      <start>36</start>
      <end>37</end>
      <status>unmodified</status>
      <modifiedWord/>
      <trackRevisions>false</trackRevisions>
    </reviewItem>
    <reviewItem>
      <errorID>8bce5df6-8575-47f3-b877-7c6f3aa0ad4d</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11EEE91C</paraID>
      <start>28</start>
      <end>29</end>
      <status>unmodified</status>
      <modifiedWord/>
      <trackRevisions>false</trackRevisions>
    </reviewItem>
    <reviewItem>
      <errorID>95339524-0f53-475f-b138-a4c68bcb49c7</errorID>
      <errorWord>。</errorWord>
      <group>L1_Punc</group>
      <groupName>标点问题</groupName>
      <ability>L2_Punc</ability>
      <abilityName>标点符号检查</abilityName>
      <candidateList>
        <item/>
      </candidateList>
      <explain>标题文本后不使用标点符号。</explain>
      <paraID>15C83394</paraID>
      <start>22</start>
      <end>23</end>
      <status>unmodified</status>
      <modifiedWord/>
      <trackRevisions>false</trackRevisions>
    </reviewItem>
    <reviewItem>
      <errorID>771029c4-3ab5-4b33-b001-d5c65e25a3aa</errorID>
      <errorWord>,</errorWord>
      <group>L1_Format</group>
      <groupName>格式问题</groupName>
      <ability>L2_HalfPunc</ability>
      <abilityName>全半角检查</abilityName>
      <candidateList>
        <item>，</item>
      </candidateList>
      <explain>文本全半角错误。</explain>
      <paraID>49830E6D</paraID>
      <start>6</start>
      <end>7</end>
      <status>unmodified</status>
      <modifiedWord/>
      <trackRevisions>false</trackRevisions>
    </reviewItem>
    <reviewItem>
      <errorID>9f90b631-e649-40eb-bc0e-92072161526d</errorID>
      <errorWord>,</errorWord>
      <group>L1_Format</group>
      <groupName>格式问题</groupName>
      <ability>L2_HalfPunc</ability>
      <abilityName>全半角检查</abilityName>
      <candidateList>
        <item>，</item>
      </candidateList>
      <explain>文本全半角错误。</explain>
      <paraID>49830E6D</paraID>
      <start>10</start>
      <end>11</end>
      <status>unmodified</status>
      <modifiedWord/>
      <trackRevisions>false</trackRevisions>
    </reviewItem>
    <reviewItem>
      <errorID>bee84df5-6e63-4bf9-a63c-9ead49c24043</errorID>
      <errorWord>,</errorWord>
      <group>L1_Format</group>
      <groupName>格式问题</groupName>
      <ability>L2_HalfPunc</ability>
      <abilityName>全半角检查</abilityName>
      <candidateList>
        <item>，</item>
      </candidateList>
      <explain>文本全半角错误。</explain>
      <paraID>49830E6D</paraID>
      <start>14</start>
      <end>15</end>
      <status>unmodified</status>
      <modifiedWord/>
      <trackRevisions>false</trackRevisions>
    </reviewItem>
    <reviewItem>
      <errorID>dbc43b3a-c2d2-4f8a-971d-7274ccda0237</errorID>
      <errorWord>.</errorWord>
      <group>L1_Format</group>
      <groupName>格式问题</groupName>
      <ability>L2_HalfPunc</ability>
      <abilityName>全半角检查</abilityName>
      <candidateList>
        <item>。</item>
      </candidateList>
      <explain>文本全半角错误。</explain>
      <paraID>49830E6D</paraID>
      <start>16</start>
      <end>17</end>
      <status>unmodified</status>
      <modifiedWord/>
      <trackRevisions>false</trackRevisions>
    </reviewItem>
    <reviewItem>
      <errorID>abb007f5-6c54-4904-b573-ca7a324643f3</errorID>
      <errorWord>,</errorWord>
      <group>L1_Format</group>
      <groupName>格式问题</groupName>
      <ability>L2_HalfPunc</ability>
      <abilityName>全半角检查</abilityName>
      <candidateList>
        <item>，</item>
      </candidateList>
      <explain>文本全半角错误。</explain>
      <paraID>56BFB689</paraID>
      <start>6</start>
      <end>7</end>
      <status>unmodified</status>
      <modifiedWord/>
      <trackRevisions>false</trackRevisions>
    </reviewItem>
    <reviewItem>
      <errorID>b0094e68-9218-4692-aa7b-383fda4823f1</errorID>
      <errorWord>,</errorWord>
      <group>L1_Format</group>
      <groupName>格式问题</groupName>
      <ability>L2_HalfPunc</ability>
      <abilityName>全半角检查</abilityName>
      <candidateList>
        <item>，</item>
      </candidateList>
      <explain>文本全半角错误。</explain>
      <paraID>56BFB689</paraID>
      <start>10</start>
      <end>11</end>
      <status>unmodified</status>
      <modifiedWord/>
      <trackRevisions>false</trackRevisions>
    </reviewItem>
    <reviewItem>
      <errorID>992ebb98-1593-4f13-aae0-f0f6c25ee1ac</errorID>
      <errorWord>,</errorWord>
      <group>L1_Format</group>
      <groupName>格式问题</groupName>
      <ability>L2_HalfPunc</ability>
      <abilityName>全半角检查</abilityName>
      <candidateList>
        <item>，</item>
      </candidateList>
      <explain>文本全半角错误。</explain>
      <paraID>56BFB689</paraID>
      <start>14</start>
      <end>15</end>
      <status>unmodified</status>
      <modifiedWord/>
      <trackRevisions>false</trackRevisions>
    </reviewItem>
    <reviewItem>
      <errorID>fe7963a3-7f00-4553-b529-61ab0271525b</errorID>
      <errorWord>.</errorWord>
      <group>L1_Format</group>
      <groupName>格式问题</groupName>
      <ability>L2_HalfPunc</ability>
      <abilityName>全半角检查</abilityName>
      <candidateList>
        <item>。</item>
      </candidateList>
      <explain>文本全半角错误。</explain>
      <paraID>56BFB689</paraID>
      <start>16</start>
      <end>17</end>
      <status>unmodified</status>
      <modifiedWord/>
      <trackRevisions>false</trackRevisions>
    </reviewItem>
    <reviewItem>
      <errorID>ef28a01e-73ab-4d45-94db-03cf1c2ef0e6</errorID>
      <errorWord>,</errorWord>
      <group>L1_Format</group>
      <groupName>格式问题</groupName>
      <ability>L2_HalfPunc</ability>
      <abilityName>全半角检查</abilityName>
      <candidateList>
        <item>，</item>
      </candidateList>
      <explain>文本全半角错误。</explain>
      <paraID>3C87F3E1</paraID>
      <start>7</start>
      <end>8</end>
      <status>unmodified</status>
      <modifiedWord/>
      <trackRevisions>false</trackRevisions>
    </reviewItem>
    <reviewItem>
      <errorID>c72fa61e-c0bd-49d7-823d-2eca19233301</errorID>
      <errorWord>,</errorWord>
      <group>L1_Format</group>
      <groupName>格式问题</groupName>
      <ability>L2_HalfPunc</ability>
      <abilityName>全半角检查</abilityName>
      <candidateList>
        <item>，</item>
      </candidateList>
      <explain>文本全半角错误。</explain>
      <paraID>3C87F3E1</paraID>
      <start>11</start>
      <end>12</end>
      <status>unmodified</status>
      <modifiedWord/>
      <trackRevisions>false</trackRevisions>
    </reviewItem>
    <reviewItem>
      <errorID>6bea712b-affb-479b-be4c-d5de02b36433</errorID>
      <errorWord>,</errorWord>
      <group>L1_Format</group>
      <groupName>格式问题</groupName>
      <ability>L2_HalfPunc</ability>
      <abilityName>全半角检查</abilityName>
      <candidateList>
        <item>，</item>
      </candidateList>
      <explain>文本全半角错误。</explain>
      <paraID>3C87F3E1</paraID>
      <start>15</start>
      <end>16</end>
      <status>unmodified</status>
      <modifiedWord/>
      <trackRevisions>false</trackRevisions>
    </reviewItem>
    <reviewItem>
      <errorID>0c970f94-c640-49e8-a779-5992829d8802</errorID>
      <errorWord>.</errorWord>
      <group>L1_Format</group>
      <groupName>格式问题</groupName>
      <ability>L2_HalfPunc</ability>
      <abilityName>全半角检查</abilityName>
      <candidateList>
        <item>。</item>
      </candidateList>
      <explain>文本全半角错误。</explain>
      <paraID>3C87F3E1</paraID>
      <start>17</start>
      <end>18</end>
      <status>unmodified</status>
      <modifiedWord/>
      <trackRevisions>false</trackRevisions>
    </reviewItem>
    <reviewItem>
      <errorID>a21dd957-b729-4851-970f-3f91a5005a9e</errorID>
      <errorWord>.</errorWord>
      <group>L1_Format</group>
      <groupName>格式问题</groupName>
      <ability>L2_HalfPunc</ability>
      <abilityName>全半角检查</abilityName>
      <candidateList>
        <item>。</item>
      </candidateList>
      <explain>文本全半角错误。</explain>
      <paraID>152049CE</paraID>
      <start>14</start>
      <end>15</end>
      <status>unmodified</status>
      <modifiedWord/>
      <trackRevisions>false</trackRevisions>
    </reviewItem>
    <reviewItem>
      <errorID>d3aac4f1-1b96-4e9f-bbe0-9b1e97c370ae</errorID>
      <errorWord>[2020]985号</errorWord>
      <group>L1_Knowledge</group>
      <groupName>知识性问题</groupName>
      <ability>L2_Knowledge</ability>
      <abilityName>其他知识</abilityName>
      <candidateList>
        <item>〔2020〕985号</item>
      </candidateList>
      <explain>发文字号格式错误。</explain>
      <paraID>152049CE</paraID>
      <start>58</start>
      <end>68</end>
      <status>unmodified</status>
      <modifiedWord/>
      <trackRevisions>false</trackRevisions>
    </reviewItem>
    <reviewItem>
      <errorID>23ac77d2-5a54-40ef-a8ac-b99d94ac3727</errorID>
      <errorWord>.</errorWord>
      <group>L1_Format</group>
      <groupName>格式问题</groupName>
      <ability>L2_HalfPunc</ability>
      <abilityName>全半角检查</abilityName>
      <candidateList>
        <item>。</item>
      </candidateList>
      <explain>文本全半角错误。</explain>
      <paraID>563B99B2</paraID>
      <start>14</start>
      <end>15</end>
      <status>unmodified</status>
      <modifiedWord/>
      <trackRevisions>false</trackRevisions>
    </reviewItem>
    <reviewItem>
      <errorID>e52c420e-8311-45a4-bdbd-78abd6ac4536</errorID>
      <errorWord>:</errorWord>
      <group>L1_Format</group>
      <groupName>格式问题</groupName>
      <ability>L2_HalfPunc</ability>
      <abilityName>全半角检查</abilityName>
      <candidateList>
        <item>：</item>
      </candidateList>
      <explain>文本全半角错误。</explain>
      <paraID>563B99B2</paraID>
      <start>50</start>
      <end>51</end>
      <status>unmodified</status>
      <modifiedWord/>
      <trackRevisions>false</trackRevisions>
    </reviewItem>
    <reviewItem>
      <errorID>0efe015b-fa3a-4cce-af15-2b31efdc9b3a</errorID>
      <errorWord>,</errorWord>
      <group>L1_Format</group>
      <groupName>格式问题</groupName>
      <ability>L2_HalfPunc</ability>
      <abilityName>全半角检查</abilityName>
      <candidateList>
        <item>，</item>
      </candidateList>
      <explain>文本全半角错误。</explain>
      <paraID>42893D28</paraID>
      <start>7</start>
      <end>8</end>
      <status>unmodified</status>
      <modifiedWord/>
      <trackRevisions>false</trackRevisions>
    </reviewItem>
    <reviewItem>
      <errorID>e5f67927-e94b-4f7c-b9dc-64309efe5de7</errorID>
      <errorWord>.</errorWord>
      <group>L1_Format</group>
      <groupName>格式问题</groupName>
      <ability>L2_HalfPunc</ability>
      <abilityName>全半角检查</abilityName>
      <candidateList>
        <item>。</item>
      </candidateList>
      <explain>文本全半角错误。</explain>
      <paraID>42893D28</paraID>
      <start>11</start>
      <end>12</end>
      <status>unmodified</status>
      <modifiedWord/>
      <trackRevisions>false</trackRevisions>
    </reviewItem>
    <reviewItem>
      <errorID>045dd3e8-e5c1-4f88-9ed0-e90ea0f0e7d5</errorID>
      <errorWord>,</errorWord>
      <group>L1_Format</group>
      <groupName>格式问题</groupName>
      <ability>L2_HalfPunc</ability>
      <abilityName>全半角检查</abilityName>
      <candidateList>
        <item>，</item>
      </candidateList>
      <explain>文本全半角错误。</explain>
      <paraID>4DBF6236</paraID>
      <start>6</start>
      <end>7</end>
      <status>unmodified</status>
      <modifiedWord/>
      <trackRevisions>false</trackRevisions>
    </reviewItem>
    <reviewItem>
      <errorID>faa8e3b4-8530-4301-ac49-3d68beb6d6d8</errorID>
      <errorWord>.</errorWord>
      <group>L1_Format</group>
      <groupName>格式问题</groupName>
      <ability>L2_HalfPunc</ability>
      <abilityName>全半角检查</abilityName>
      <candidateList>
        <item>。</item>
      </candidateList>
      <explain>文本全半角错误。</explain>
      <paraID>4DBF6236</paraID>
      <start>9</start>
      <end>10</end>
      <status>unmodified</status>
      <modifiedWord/>
      <trackRevisions>false</trackRevisions>
    </reviewItem>
    <reviewItem>
      <errorID>6cc96a0d-904a-47b8-aec8-f5064294c2f9</errorID>
      <errorWord>,</errorWord>
      <group>L1_Format</group>
      <groupName>格式问题</groupName>
      <ability>L2_HalfPunc</ability>
      <abilityName>全半角检查</abilityName>
      <candidateList>
        <item>，</item>
      </candidateList>
      <explain>文本全半角错误。</explain>
      <paraID>2CB441B1</paraID>
      <start>7</start>
      <end>8</end>
      <status>unmodified</status>
      <modifiedWord/>
      <trackRevisions>false</trackRevisions>
    </reviewItem>
    <reviewItem>
      <errorID>504bfe35-a43c-48d4-880d-13ac0e50ac67</errorID>
      <errorWord>,</errorWord>
      <group>L1_Format</group>
      <groupName>格式问题</groupName>
      <ability>L2_HalfPunc</ability>
      <abilityName>全半角检查</abilityName>
      <candidateList>
        <item>，</item>
      </candidateList>
      <explain>文本全半角错误。</explain>
      <paraID>2CB441B1</paraID>
      <start>10</start>
      <end>11</end>
      <status>unmodified</status>
      <modifiedWord/>
      <trackRevisions>false</trackRevisions>
    </reviewItem>
    <reviewItem>
      <errorID>5bec2e44-6caf-4172-9908-190d0fc1cc01</errorID>
      <errorWord>,</errorWord>
      <group>L1_Format</group>
      <groupName>格式问题</groupName>
      <ability>L2_HalfPunc</ability>
      <abilityName>全半角检查</abilityName>
      <candidateList>
        <item>，</item>
      </candidateList>
      <explain>文本全半角错误。</explain>
      <paraID>2CB441B1</paraID>
      <start>13</start>
      <end>14</end>
      <status>unmodified</status>
      <modifiedWord/>
      <trackRevisions>false</trackRevisions>
    </reviewItem>
    <reviewItem>
      <errorID>6395a4fd-8655-4696-8842-ecf20506e155</errorID>
      <errorWord>.</errorWord>
      <group>L1_Format</group>
      <groupName>格式问题</groupName>
      <ability>L2_HalfPunc</ability>
      <abilityName>全半角检查</abilityName>
      <candidateList>
        <item>。</item>
      </candidateList>
      <explain>文本全半角错误。</explain>
      <paraID>2CB441B1</paraID>
      <start>15</start>
      <end>16</end>
      <status>unmodified</status>
      <modifiedWord/>
      <trackRevisions>false</trackRevisions>
    </reviewItem>
    <reviewItem>
      <errorID>f82a7be4-6204-482d-a397-7fab91998818</errorID>
      <errorWord>,</errorWord>
      <group>L1_Format</group>
      <groupName>格式问题</groupName>
      <ability>L2_HalfPunc</ability>
      <abilityName>全半角检查</abilityName>
      <candidateList>
        <item>，</item>
      </candidateList>
      <explain>文本全半角错误。</explain>
      <paraID>79E29C41</paraID>
      <start>6</start>
      <end>7</end>
      <status>unmodified</status>
      <modifiedWord/>
      <trackRevisions>false</trackRevisions>
    </reviewItem>
    <reviewItem>
      <errorID>a492bc6d-92db-4d6b-b20d-a709e3366735</errorID>
      <errorWord>,</errorWord>
      <group>L1_Format</group>
      <groupName>格式问题</groupName>
      <ability>L2_HalfPunc</ability>
      <abilityName>全半角检查</abilityName>
      <candidateList>
        <item>，</item>
      </candidateList>
      <explain>文本全半角错误。</explain>
      <paraID>79E29C41</paraID>
      <start>10</start>
      <end>11</end>
      <status>unmodified</status>
      <modifiedWord/>
      <trackRevisions>false</trackRevisions>
    </reviewItem>
    <reviewItem>
      <errorID>41f46d30-df8c-4288-86e7-c597c777adc6</errorID>
      <errorWord>,</errorWord>
      <group>L1_Format</group>
      <groupName>格式问题</groupName>
      <ability>L2_HalfPunc</ability>
      <abilityName>全半角检查</abilityName>
      <candidateList>
        <item>，</item>
      </candidateList>
      <explain>文本全半角错误。</explain>
      <paraID>79E29C41</paraID>
      <start>13</start>
      <end>14</end>
      <status>unmodified</status>
      <modifiedWord/>
      <trackRevisions>false</trackRevisions>
    </reviewItem>
    <reviewItem>
      <errorID>f21ffa3b-24b8-4c0c-b937-ab16437d7c4c</errorID>
      <errorWord>.</errorWord>
      <group>L1_Format</group>
      <groupName>格式问题</groupName>
      <ability>L2_HalfPunc</ability>
      <abilityName>全半角检查</abilityName>
      <candidateList>
        <item>。</item>
      </candidateList>
      <explain>文本全半角错误。</explain>
      <paraID>79E29C41</paraID>
      <start>15</start>
      <end>16</end>
      <status>unmodified</status>
      <modifiedWord/>
      <trackRevisions>false</trackRevisions>
    </reviewItem>
    <reviewItem>
      <errorID>fd0bd3f7-10da-49e2-be48-8d6538b1e304</errorID>
      <errorWord>,</errorWord>
      <group>L1_Format</group>
      <groupName>格式问题</groupName>
      <ability>L2_HalfPunc</ability>
      <abilityName>全半角检查</abilityName>
      <candidateList>
        <item>，</item>
      </candidateList>
      <explain>文本全半角错误。</explain>
      <paraID>2B7B11E8</paraID>
      <start>7</start>
      <end>8</end>
      <status>unmodified</status>
      <modifiedWord/>
      <trackRevisions>false</trackRevisions>
    </reviewItem>
    <reviewItem>
      <errorID>165980d4-cbd4-4764-a61e-e81fe31bab90</errorID>
      <errorWord>,</errorWord>
      <group>L1_Format</group>
      <groupName>格式问题</groupName>
      <ability>L2_HalfPunc</ability>
      <abilityName>全半角检查</abilityName>
      <candidateList>
        <item>，</item>
      </candidateList>
      <explain>文本全半角错误。</explain>
      <paraID>2B7B11E8</paraID>
      <start>11</start>
      <end>12</end>
      <status>unmodified</status>
      <modifiedWord/>
      <trackRevisions>false</trackRevisions>
    </reviewItem>
    <reviewItem>
      <errorID>cd1097e7-9ffc-4bba-a0c8-a413f608ed4f</errorID>
      <errorWord>,</errorWord>
      <group>L1_Format</group>
      <groupName>格式问题</groupName>
      <ability>L2_HalfPunc</ability>
      <abilityName>全半角检查</abilityName>
      <candidateList>
        <item>，</item>
      </candidateList>
      <explain>文本全半角错误。</explain>
      <paraID>2B7B11E8</paraID>
      <start>15</start>
      <end>16</end>
      <status>unmodified</status>
      <modifiedWord/>
      <trackRevisions>false</trackRevisions>
    </reviewItem>
    <reviewItem>
      <errorID>fe18253d-1b87-4e58-9022-ad4c12a54036</errorID>
      <errorWord>.</errorWord>
      <group>L1_Format</group>
      <groupName>格式问题</groupName>
      <ability>L2_HalfPunc</ability>
      <abilityName>全半角检查</abilityName>
      <candidateList>
        <item>。</item>
      </candidateList>
      <explain>文本全半角错误。</explain>
      <paraID>2B7B11E8</paraID>
      <start>17</start>
      <end>18</end>
      <status>unmodified</status>
      <modifiedWord/>
      <trackRevisions>false</trackRevisions>
    </reviewItem>
    <reviewItem>
      <errorID>1369c919-07af-4097-b6f8-4b2cd4e6437c</errorID>
      <errorWord>.</errorWord>
      <group>L1_Format</group>
      <groupName>格式问题</groupName>
      <ability>L2_HalfPunc</ability>
      <abilityName>全半角检查</abilityName>
      <candidateList>
        <item>。</item>
      </candidateList>
      <explain>文本全半角错误。</explain>
      <paraID>79E784A8</paraID>
      <start>15</start>
      <end>16</end>
      <status>unmodified</status>
      <modifiedWord/>
      <trackRevisions>false</trackRevisions>
    </reviewItem>
    <reviewItem>
      <errorID>3ebbfbf4-5429-4e52-878c-af96c5a2a837</errorID>
      <errorWord>.</errorWord>
      <group>L1_Format</group>
      <groupName>格式问题</groupName>
      <ability>L2_HalfPunc</ability>
      <abilityName>全半角检查</abilityName>
      <candidateList>
        <item>。</item>
      </candidateList>
      <explain>文本全半角错误。</explain>
      <paraID>110C8412</paraID>
      <start>14</start>
      <end>15</end>
      <status>unmodified</status>
      <modifiedWord/>
      <trackRevisions>false</trackRevisions>
    </reviewItem>
    <reviewItem>
      <errorID>d23aa313-7bd3-4888-89aa-b511a77bc213</errorID>
      <errorWord>:</errorWord>
      <group>L1_Format</group>
      <groupName>格式问题</groupName>
      <ability>L2_HalfPunc</ability>
      <abilityName>全半角检查</abilityName>
      <candidateList>
        <item>：</item>
      </candidateList>
      <explain>文本全半角错误。</explain>
      <paraID>110C8412</paraID>
      <start>31</start>
      <end>32</end>
      <status>unmodified</status>
      <modifiedWord/>
      <trackRevisions>false</trackRevisions>
    </reviewItem>
    <reviewItem>
      <errorID>caa8c380-6cdc-4e45-bf11-3170ac5eaea5</errorID>
      <errorWord>:</errorWord>
      <group>L1_Format</group>
      <groupName>格式问题</groupName>
      <ability>L2_HalfPunc</ability>
      <abilityName>全半角检查</abilityName>
      <candidateList>
        <item>：</item>
      </candidateList>
      <explain>文本全半角错误。</explain>
      <paraID>110C8412</paraID>
      <start>37</start>
      <end>38</end>
      <status>unmodified</status>
      <modifiedWord/>
      <trackRevisions>false</trackRevisions>
    </reviewItem>
    <reviewItem>
      <errorID>9d966bb2-6b60-4780-8451-08e021323958</errorID>
      <errorWord>,</errorWord>
      <group>L1_Format</group>
      <groupName>格式问题</groupName>
      <ability>L2_HalfPunc</ability>
      <abilityName>全半角检查</abilityName>
      <candidateList>
        <item>，</item>
      </candidateList>
      <explain>文本全半角错误。</explain>
      <paraID>1A95A5DE</paraID>
      <start>7</start>
      <end>8</end>
      <status>unmodified</status>
      <modifiedWord/>
      <trackRevisions>false</trackRevisions>
    </reviewItem>
    <reviewItem>
      <errorID>5f6bc08e-1c91-43f9-9340-97517d2cfb62</errorID>
      <errorWord>,</errorWord>
      <group>L1_Format</group>
      <groupName>格式问题</groupName>
      <ability>L2_HalfPunc</ability>
      <abilityName>全半角检查</abilityName>
      <candidateList>
        <item>，</item>
      </candidateList>
      <explain>文本全半角错误。</explain>
      <paraID>1A95A5DE</paraID>
      <start>11</start>
      <end>12</end>
      <status>unmodified</status>
      <modifiedWord/>
      <trackRevisions>false</trackRevisions>
    </reviewItem>
    <reviewItem>
      <errorID>f55050b7-9766-4e60-8583-165ffa279491</errorID>
      <errorWord>,</errorWord>
      <group>L1_Format</group>
      <groupName>格式问题</groupName>
      <ability>L2_HalfPunc</ability>
      <abilityName>全半角检查</abilityName>
      <candidateList>
        <item>，</item>
      </candidateList>
      <explain>文本全半角错误。</explain>
      <paraID>1A95A5DE</paraID>
      <start>15</start>
      <end>16</end>
      <status>unmodified</status>
      <modifiedWord/>
      <trackRevisions>false</trackRevisions>
    </reviewItem>
    <reviewItem>
      <errorID>b8cdfdbb-057d-48ad-af8d-139a1880b6ff</errorID>
      <errorWord>.</errorWord>
      <group>L1_Format</group>
      <groupName>格式问题</groupName>
      <ability>L2_HalfPunc</ability>
      <abilityName>全半角检查</abilityName>
      <candidateList>
        <item>。</item>
      </candidateList>
      <explain>文本全半角错误。</explain>
      <paraID>1A95A5DE</paraID>
      <start>17</start>
      <end>18</end>
      <status>unmodified</status>
      <modifiedWord/>
      <trackRevisions>false</trackRevisions>
    </reviewItem>
    <reviewItem>
      <errorID>bcf0bbaa-502a-4c4b-9ae5-8315bf0274e3</errorID>
      <errorWord>，</errorWord>
      <group>L1_Format</group>
      <groupName>格式问题</groupName>
      <ability>L2_HalfPunc</ability>
      <abilityName>全半角检查</abilityName>
      <candidateList>
        <item>,</item>
      </candidateList>
      <explain>文本全半角错误。</explain>
      <paraID> F386CE1</paraID>
      <start>119</start>
      <end>120</end>
      <status>unmodified</status>
      <modifiedWord/>
      <trackRevisions>false</trackRevisions>
    </reviewItem>
    <reviewItem>
      <errorID>7b32d817-db9e-4f4b-a6cc-06ef7392ff8f</errorID>
      <errorWord>：</errorWord>
      <group>L1_Format</group>
      <groupName>格式问题</groupName>
      <ability>L2_HalfPunc</ability>
      <abilityName>全半角检查</abilityName>
      <candidateList>
        <item>: </item>
      </candidateList>
      <explain>文本全半角错误。</explain>
      <paraID> DBFFBF3</paraID>
      <start>205</start>
      <end>206</end>
      <status>unmodified</status>
      <modifiedWord/>
      <trackRevisions>false</trackRevisions>
    </reviewItem>
    <reviewItem>
      <errorID>7f6ac49c-ce30-4529-9f97-9b025218199d</errorID>
      <errorWord>：</errorWord>
      <group>L1_Format</group>
      <groupName>格式问题</groupName>
      <ability>L2_HalfPunc</ability>
      <abilityName>全半角检查</abilityName>
      <candidateList>
        <item>:</item>
      </candidateList>
      <explain>文本全半角错误。</explain>
      <paraID> DBFFBF3</paraID>
      <start>217</start>
      <end>218</end>
      <status>unmodified</status>
      <modifiedWord/>
      <trackRevisions>false</trackRevisions>
    </reviewItem>
    <reviewItem>
      <errorID>efac75e4-bf29-47ca-b5d8-53deb9362970</errorID>
      <errorWord>.</errorWord>
      <group>L1_Format</group>
      <groupName>格式问题</groupName>
      <ability>L2_HalfPunc</ability>
      <abilityName>全半角检查</abilityName>
      <candidateList>
        <item>。</item>
      </candidateList>
      <explain>文本全半角错误。</explain>
      <paraID>6E504F37</paraID>
      <start>11</start>
      <end>12</end>
      <status>unmodified</status>
      <modifiedWord/>
      <trackRevisions>false</trackRevisions>
    </reviewItem>
    <reviewItem>
      <errorID>86ac1d16-c853-46d9-bee6-dfbfe917b31a</errorID>
      <errorWord>:</errorWord>
      <group>L1_Format</group>
      <groupName>格式问题</groupName>
      <ability>L2_HalfPunc</ability>
      <abilityName>全半角检查</abilityName>
      <candidateList>
        <item>：</item>
      </candidateList>
      <explain>文本全半角错误。</explain>
      <paraID>6E504F37</paraID>
      <start>24</start>
      <end>25</end>
      <status>unmodified</status>
      <modifiedWord/>
      <trackRevisions>false</trackRevisions>
    </reviewItem>
    <reviewItem>
      <errorID>dce6fbf5-33e2-4619-89ff-5e67ff3c89bc</errorID>
      <errorWord>(</errorWord>
      <group>L1_Format</group>
      <groupName>格式问题</groupName>
      <ability>L2_HalfPunc</ability>
      <abilityName>全半角检查</abilityName>
      <candidateList>
        <item>（</item>
      </candidateList>
      <explain>文本全半角错误。</explain>
      <paraID>71F8C2E4</paraID>
      <start>64</start>
      <end>65</end>
      <status>unmodified</status>
      <modifiedWord/>
      <trackRevisions>false</trackRevisions>
    </reviewItem>
    <reviewItem>
      <errorID>9ee6556f-923a-4e92-88f7-51c37e49960e</errorID>
      <errorWord>)</errorWord>
      <group>L1_Format</group>
      <groupName>格式问题</groupName>
      <ability>L2_HalfPunc</ability>
      <abilityName>全半角检查</abilityName>
      <candidateList>
        <item>）</item>
      </candidateList>
      <explain>文本全半角错误。</explain>
      <paraID>71F8C2E4</paraID>
      <start>67</start>
      <end>68</end>
      <status>unmodified</status>
      <modifiedWord/>
      <trackRevisions>false</trackRevisions>
    </reviewItem>
    <reviewItem>
      <errorID>814dfcd3-5896-4992-a4c6-f054447908aa</errorID>
      <errorWord>,</errorWord>
      <group>L1_Format</group>
      <groupName>格式问题</groupName>
      <ability>L2_HalfPunc</ability>
      <abilityName>全半角检查</abilityName>
      <candidateList>
        <item>，</item>
      </candidateList>
      <explain>文本全半角错误。</explain>
      <paraID>1AF99852</paraID>
      <start>7</start>
      <end>8</end>
      <status>unmodified</status>
      <modifiedWord/>
      <trackRevisions>false</trackRevisions>
    </reviewItem>
    <reviewItem>
      <errorID>7c078fed-97dc-4c11-9537-615cdbde0b30</errorID>
      <errorWord>,</errorWord>
      <group>L1_Format</group>
      <groupName>格式问题</groupName>
      <ability>L2_HalfPunc</ability>
      <abilityName>全半角检查</abilityName>
      <candidateList>
        <item>，</item>
      </candidateList>
      <explain>文本全半角错误。</explain>
      <paraID>1AF99852</paraID>
      <start>11</start>
      <end>12</end>
      <status>unmodified</status>
      <modifiedWord/>
      <trackRevisions>false</trackRevisions>
    </reviewItem>
    <reviewItem>
      <errorID>12eac982-39a3-4c9d-80b7-723f18a684f1</errorID>
      <errorWord>.</errorWord>
      <group>L1_Format</group>
      <groupName>格式问题</groupName>
      <ability>L2_HalfPunc</ability>
      <abilityName>全半角检查</abilityName>
      <candidateList>
        <item>。</item>
      </candidateList>
      <explain>文本全半角错误。</explain>
      <paraID>1AF99852</paraID>
      <start>15</start>
      <end>16</end>
      <status>unmodified</status>
      <modifiedWord/>
      <trackRevisions>false</trackRevisions>
    </reviewItem>
    <reviewItem>
      <errorID>2eaaed6a-9e10-4f35-96fa-063c8a5f07fe</errorID>
      <errorWord>"</errorWord>
      <group>L1_Format</group>
      <groupName>格式问题</groupName>
      <ability>L2_HalfPunc</ability>
      <abilityName>全半角检查</abilityName>
      <candidateList>
        <item>“</item>
      </candidateList>
      <explain>文本全半角错误。</explain>
      <paraID>1AF99852</paraID>
      <start>17</start>
      <end>18</end>
      <status>unmodified</status>
      <modifiedWord/>
      <trackRevisions>false</trackRevisions>
    </reviewItem>
    <reviewItem>
      <errorID>2465e9a1-a912-4ae6-9dd1-019f876a86dc</errorID>
      <errorWord>"</errorWord>
      <group>L1_Format</group>
      <groupName>格式问题</groupName>
      <ability>L2_HalfPunc</ability>
      <abilityName>全半角检查</abilityName>
      <candidateList>
        <item>”</item>
      </candidateList>
      <explain>文本全半角错误。</explain>
      <paraID>1AF99852</paraID>
      <start>26</start>
      <end>27</end>
      <status>unmodified</status>
      <modifiedWord/>
      <trackRevisions>false</trackRevisions>
    </reviewItem>
    <reviewItem>
      <errorID>bd287a08-13c2-4fc4-bf64-6333a4c8a456</errorID>
      <errorWord>,</errorWord>
      <group>L1_Format</group>
      <groupName>格式问题</groupName>
      <ability>L2_HalfPunc</ability>
      <abilityName>全半角检查</abilityName>
      <candidateList>
        <item>，</item>
      </candidateList>
      <explain>文本全半角错误。</explain>
      <paraID> 5FD0B74</paraID>
      <start>7</start>
      <end>8</end>
      <status>unmodified</status>
      <modifiedWord/>
      <trackRevisions>false</trackRevisions>
    </reviewItem>
    <reviewItem>
      <errorID>063b11be-0905-4059-911c-aa43d1d1a124</errorID>
      <errorWord>,</errorWord>
      <group>L1_Format</group>
      <groupName>格式问题</groupName>
      <ability>L2_HalfPunc</ability>
      <abilityName>全半角检查</abilityName>
      <candidateList>
        <item>，</item>
      </candidateList>
      <explain>文本全半角错误。</explain>
      <paraID> 5FD0B74</paraID>
      <start>11</start>
      <end>12</end>
      <status>unmodified</status>
      <modifiedWord/>
      <trackRevisions>false</trackRevisions>
    </reviewItem>
    <reviewItem>
      <errorID>6b9c22ab-ccfc-4c37-8ffd-841d0bd25063</errorID>
      <errorWord>,</errorWord>
      <group>L1_Format</group>
      <groupName>格式问题</groupName>
      <ability>L2_HalfPunc</ability>
      <abilityName>全半角检查</abilityName>
      <candidateList>
        <item>，</item>
      </candidateList>
      <explain>文本全半角错误。</explain>
      <paraID> 5FD0B74</paraID>
      <start>15</start>
      <end>16</end>
      <status>unmodified</status>
      <modifiedWord/>
      <trackRevisions>false</trackRevisions>
    </reviewItem>
    <reviewItem>
      <errorID>0ca7114a-6510-4b48-980a-8c8dc7a950c9</errorID>
      <errorWord>.</errorWord>
      <group>L1_Format</group>
      <groupName>格式问题</groupName>
      <ability>L2_HalfPunc</ability>
      <abilityName>全半角检查</abilityName>
      <candidateList>
        <item>。</item>
      </candidateList>
      <explain>文本全半角错误。</explain>
      <paraID> 5FD0B74</paraID>
      <start>17</start>
      <end>18</end>
      <status>unmodified</status>
      <modifiedWord/>
      <trackRevisions>false</trackRevisions>
    </reviewItem>
    <reviewItem>
      <errorID>e16bc7a9-a48d-4263-b1b0-dd48786268a1</errorID>
      <errorWord>"</errorWord>
      <group>L1_Format</group>
      <groupName>格式问题</groupName>
      <ability>L2_HalfPunc</ability>
      <abilityName>全半角检查</abilityName>
      <candidateList>
        <item>“</item>
      </candidateList>
      <explain>文本全半角错误。</explain>
      <paraID> 5FD0B74</paraID>
      <start>37</start>
      <end>38</end>
      <status>unmodified</status>
      <modifiedWord/>
      <trackRevisions>false</trackRevisions>
    </reviewItem>
    <reviewItem>
      <errorID>2dcd2808-508e-4d76-b0f0-ffe3dcc4eee0</errorID>
      <errorWord>"</errorWord>
      <group>L1_Format</group>
      <groupName>格式问题</groupName>
      <ability>L2_HalfPunc</ability>
      <abilityName>全半角检查</abilityName>
      <candidateList>
        <item>”</item>
      </candidateList>
      <explain>文本全半角错误。</explain>
      <paraID> 5FD0B74</paraID>
      <start>46</start>
      <end>47</end>
      <status>unmodified</status>
      <modifiedWord/>
      <trackRevisions>false</trackRevisions>
    </reviewItem>
    <reviewItem>
      <errorID>654641a5-02c0-47a4-9b89-cf76d2ca2610</errorID>
      <errorWord>,</errorWord>
      <group>L1_Format</group>
      <groupName>格式问题</groupName>
      <ability>L2_HalfPunc</ability>
      <abilityName>全半角检查</abilityName>
      <candidateList>
        <item>，</item>
      </candidateList>
      <explain>文本全半角错误。</explain>
      <paraID>26A93B50</paraID>
      <start>7</start>
      <end>8</end>
      <status>unmodified</status>
      <modifiedWord/>
      <trackRevisions>false</trackRevisions>
    </reviewItem>
    <reviewItem>
      <errorID>8b4055f0-1d97-4d72-8405-d96ac69ae4be</errorID>
      <errorWord>,</errorWord>
      <group>L1_Format</group>
      <groupName>格式问题</groupName>
      <ability>L2_HalfPunc</ability>
      <abilityName>全半角检查</abilityName>
      <candidateList>
        <item>，</item>
      </candidateList>
      <explain>文本全半角错误。</explain>
      <paraID>26A93B50</paraID>
      <start>11</start>
      <end>12</end>
      <status>unmodified</status>
      <modifiedWord/>
      <trackRevisions>false</trackRevisions>
    </reviewItem>
    <reviewItem>
      <errorID>b6375732-ad75-432a-ba90-c70232c96539</errorID>
      <errorWord>,</errorWord>
      <group>L1_Format</group>
      <groupName>格式问题</groupName>
      <ability>L2_HalfPunc</ability>
      <abilityName>全半角检查</abilityName>
      <candidateList>
        <item>，</item>
      </candidateList>
      <explain>文本全半角错误。</explain>
      <paraID>26A93B50</paraID>
      <start>15</start>
      <end>16</end>
      <status>unmodified</status>
      <modifiedWord/>
      <trackRevisions>false</trackRevisions>
    </reviewItem>
    <reviewItem>
      <errorID>7eb5f68c-8136-49f5-8910-199185aaae19</errorID>
      <errorWord>.</errorWord>
      <group>L1_Format</group>
      <groupName>格式问题</groupName>
      <ability>L2_HalfPunc</ability>
      <abilityName>全半角检查</abilityName>
      <candidateList>
        <item>。</item>
      </candidateList>
      <explain>文本全半角错误。</explain>
      <paraID>26A93B50</paraID>
      <start>17</start>
      <end>18</end>
      <status>unmodified</status>
      <modifiedWord/>
      <trackRevisions>false</trackRevisions>
    </reviewItem>
    <reviewItem>
      <errorID>a3bb5d44-631f-493b-b7f6-edc4d8f1056a</errorID>
      <errorWord>"</errorWord>
      <group>L1_Format</group>
      <groupName>格式问题</groupName>
      <ability>L2_HalfPunc</ability>
      <abilityName>全半角检查</abilityName>
      <candidateList>
        <item>“</item>
      </candidateList>
      <explain>文本全半角错误。</explain>
      <paraID>26A93B50</paraID>
      <start>31</start>
      <end>32</end>
      <status>unmodified</status>
      <modifiedWord/>
      <trackRevisions>false</trackRevisions>
    </reviewItem>
    <reviewItem>
      <errorID>51c0b1d2-481d-4f85-b6e4-e1fdc49bc241</errorID>
      <errorWord>"</errorWord>
      <group>L1_Format</group>
      <groupName>格式问题</groupName>
      <ability>L2_HalfPunc</ability>
      <abilityName>全半角检查</abilityName>
      <candidateList>
        <item>”</item>
      </candidateList>
      <explain>文本全半角错误。</explain>
      <paraID>26A93B50</paraID>
      <start>40</start>
      <end>41</end>
      <status>unmodified</status>
      <modifiedWord/>
      <trackRevisions>false</trackRevisions>
    </reviewItem>
    <reviewItem>
      <errorID>ef5d3440-6adc-49fa-8c67-1646d07219d6</errorID>
      <errorWord>MM</errorWord>
      <group>L1_Official</group>
      <groupName>公文问题</groupName>
      <ability>L2_Official</ability>
      <abilityName>公文问题</abilityName>
      <candidateList/>
      <explain>公文中禁止出现该词语</explain>
      <paraID>4555345E</paraID>
      <start>3</start>
      <end>5</end>
      <status>unmodified</status>
      <modifiedWord/>
      <trackRevisions>false</trackRevisions>
    </reviewItem>
    <reviewItem>
      <errorID>8893abea-5417-46cf-b85d-9d245916c05b</errorID>
      <errorWord>,</errorWord>
      <group>L1_Format</group>
      <groupName>格式问题</groupName>
      <ability>L2_HalfPunc</ability>
      <abilityName>全半角检查</abilityName>
      <candidateList>
        <item>，</item>
      </candidateList>
      <explain>文本全半角错误。</explain>
      <paraID>18602FD5</paraID>
      <start>6</start>
      <end>7</end>
      <status>unmodified</status>
      <modifiedWord/>
      <trackRevisions>false</trackRevisions>
    </reviewItem>
    <reviewItem>
      <errorID>14db9926-66be-4bbd-8a61-d0999f1ca7cc</errorID>
      <errorWord>,</errorWord>
      <group>L1_Format</group>
      <groupName>格式问题</groupName>
      <ability>L2_HalfPunc</ability>
      <abilityName>全半角检查</abilityName>
      <candidateList>
        <item>，</item>
      </candidateList>
      <explain>文本全半角错误。</explain>
      <paraID>18602FD5</paraID>
      <start>10</start>
      <end>11</end>
      <status>unmodified</status>
      <modifiedWord/>
      <trackRevisions>false</trackRevisions>
    </reviewItem>
    <reviewItem>
      <errorID>4328f69d-2e73-4cb8-8f6b-de3d6e3c29c5</errorID>
      <errorWord>,</errorWord>
      <group>L1_Format</group>
      <groupName>格式问题</groupName>
      <ability>L2_HalfPunc</ability>
      <abilityName>全半角检查</abilityName>
      <candidateList>
        <item>，</item>
      </candidateList>
      <explain>文本全半角错误。</explain>
      <paraID>18602FD5</paraID>
      <start>14</start>
      <end>15</end>
      <status>unmodified</status>
      <modifiedWord/>
      <trackRevisions>false</trackRevisions>
    </reviewItem>
    <reviewItem>
      <errorID>ff19d1ef-345f-4322-838b-4151258e68ac</errorID>
      <errorWord>.</errorWord>
      <group>L1_Format</group>
      <groupName>格式问题</groupName>
      <ability>L2_HalfPunc</ability>
      <abilityName>全半角检查</abilityName>
      <candidateList>
        <item>。</item>
      </candidateList>
      <explain>文本全半角错误。</explain>
      <paraID>18602FD5</paraID>
      <start>16</start>
      <end>17</end>
      <status>unmodified</status>
      <modifiedWord/>
      <trackRevisions>false</trackRevisions>
    </reviewItem>
    <reviewItem>
      <errorID>52c4e82e-19d0-43e0-904e-e8848b13ddc0</errorID>
      <errorWord>,</errorWord>
      <group>L1_Format</group>
      <groupName>格式问题</groupName>
      <ability>L2_HalfPunc</ability>
      <abilityName>全半角检查</abilityName>
      <candidateList>
        <item>，</item>
      </candidateList>
      <explain>文本全半角错误。</explain>
      <paraID>6BC6746A</paraID>
      <start>6</start>
      <end>7</end>
      <status>unmodified</status>
      <modifiedWord/>
      <trackRevisions>false</trackRevisions>
    </reviewItem>
    <reviewItem>
      <errorID>a831b1d1-f961-41c3-a44a-5e396bcdae05</errorID>
      <errorWord>,</errorWord>
      <group>L1_Format</group>
      <groupName>格式问题</groupName>
      <ability>L2_HalfPunc</ability>
      <abilityName>全半角检查</abilityName>
      <candidateList>
        <item>，</item>
      </candidateList>
      <explain>文本全半角错误。</explain>
      <paraID>6BC6746A</paraID>
      <start>9</start>
      <end>10</end>
      <status>unmodified</status>
      <modifiedWord/>
      <trackRevisions>false</trackRevisions>
    </reviewItem>
    <reviewItem>
      <errorID>4c0472bb-2b79-4ce2-a911-c5742315adb7</errorID>
      <errorWord>,</errorWord>
      <group>L1_Format</group>
      <groupName>格式问题</groupName>
      <ability>L2_HalfPunc</ability>
      <abilityName>全半角检查</abilityName>
      <candidateList>
        <item>，</item>
      </candidateList>
      <explain>文本全半角错误。</explain>
      <paraID>6BC6746A</paraID>
      <start>12</start>
      <end>13</end>
      <status>unmodified</status>
      <modifiedWord/>
      <trackRevisions>false</trackRevisions>
    </reviewItem>
    <reviewItem>
      <errorID>1df90769-0c05-45e3-874c-89ef135099cf</errorID>
      <errorWord>.</errorWord>
      <group>L1_Format</group>
      <groupName>格式问题</groupName>
      <ability>L2_HalfPunc</ability>
      <abilityName>全半角检查</abilityName>
      <candidateList>
        <item>。</item>
      </candidateList>
      <explain>文本全半角错误。</explain>
      <paraID>6BC6746A</paraID>
      <start>14</start>
      <end>15</end>
      <status>unmodified</status>
      <modifiedWord/>
      <trackRevisions>false</trackRevisions>
    </reviewItem>
    <reviewItem>
      <errorID>7a0ab6d0-33a7-47e0-9c5d-2bceb3de1986</errorID>
      <errorWord>"</errorWord>
      <group>L1_Format</group>
      <groupName>格式问题</groupName>
      <ability>L2_HalfPunc</ability>
      <abilityName>全半角检查</abilityName>
      <candidateList>
        <item>“</item>
      </candidateList>
      <explain>文本全半角错误。</explain>
      <paraID>6BC6746A</paraID>
      <start>28</start>
      <end>29</end>
      <status>unmodified</status>
      <modifiedWord/>
      <trackRevisions>false</trackRevisions>
    </reviewItem>
    <reviewItem>
      <errorID>ab064380-e78d-4b57-ac31-71f65f6c1d8c</errorID>
      <errorWord>"</errorWord>
      <group>L1_Format</group>
      <groupName>格式问题</groupName>
      <ability>L2_HalfPunc</ability>
      <abilityName>全半角检查</abilityName>
      <candidateList>
        <item>”</item>
      </candidateList>
      <explain>文本全半角错误。</explain>
      <paraID>6BC6746A</paraID>
      <start>37</start>
      <end>38</end>
      <status>unmodified</status>
      <modifiedWord/>
      <trackRevisions>false</trackRevisions>
    </reviewItem>
    <reviewItem>
      <errorID>e9868d7b-dff1-4662-86e2-4cfdd9c95f42</errorID>
      <errorWord>)</errorWord>
      <group>L1_Format</group>
      <groupName>格式问题</groupName>
      <ability>L2_HalfPunc</ability>
      <abilityName>全半角检查</abilityName>
      <candidateList>
        <item>）</item>
      </candidateList>
      <explain>文本全半角错误。</explain>
      <paraID>6BC6746A</paraID>
      <start>76</start>
      <end>77</end>
      <status>unmodified</status>
      <modifiedWord/>
      <trackRevisions>false</trackRevisions>
    </reviewItem>
  </reviewItems>
  <config/>
</contractReview>
</file>

<file path=customXml/item5.xml><?xml version="1.0" encoding="utf-8"?>
<cxp:PackageInfo xmlns:cxp="http://www.founder.com/2010/customXmlParts">
  <LabelTrees>
    <LabelTree customXmlPartId="{4B3307D3-B2C9-4FF8-8CBB-8B9570B3AA04}"/>
  </LabelTrees>
</cxp:PackageInfo>
</file>

<file path=customXml/item6.xml><?xml version="1.0" encoding="utf-8"?>
<app-settings mode="post">
  <meta-data>
    <meta-item type="title">
      <Params>
        <Param name="title-output-mode" value="completed-output" type="enum"/>
      </Params>
    </meta-item>
  </meta-data>
</app-settings>
</file>

<file path=customXml/item7.xml><?xml version="1.0" encoding="utf-8"?>
<dp:LabelRoot xmlns:dp="http://www.founder.com/2010/digitalPublish/labelTree" tagType="contentCtrl">
</dp:LabelRoot>
</file>

<file path=customXml/item8.xml><?xml version="1.0" encoding="utf-8"?>
<FX_SUPPLEMENTINFO>
  <alternativeDatas/>
  <ObjectBasicFmts/>
</FX_SUPPLEMENTINFO>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59B47CB7-173E-4BF8-B117-F1B83EA25AC0}">
  <ds:schemaRefs/>
</ds:datastoreItem>
</file>

<file path=customXml/itemProps4.xml><?xml version="1.0" encoding="utf-8"?>
<ds:datastoreItem xmlns:ds="http://schemas.openxmlformats.org/officeDocument/2006/customXml" ds:itemID="{bc892ca6-5d72-4e12-b2a5-97fa7f6bb6d5}">
  <ds:schemaRefs/>
</ds:datastoreItem>
</file>

<file path=customXml/itemProps5.xml><?xml version="1.0" encoding="utf-8"?>
<ds:datastoreItem xmlns:ds="http://schemas.openxmlformats.org/officeDocument/2006/customXml" ds:itemID="{A6139CF6-5931-4AE5-A712-2A5998365C5A}">
  <ds:schemaRefs/>
</ds:datastoreItem>
</file>

<file path=customXml/itemProps6.xml><?xml version="1.0" encoding="utf-8"?>
<ds:datastoreItem xmlns:ds="http://schemas.openxmlformats.org/officeDocument/2006/customXml" ds:itemID="{238109CB-7B4E-4569-A6B0-4B742E3E07F4}">
  <ds:schemaRefs/>
</ds:datastoreItem>
</file>

<file path=customXml/itemProps7.xml><?xml version="1.0" encoding="utf-8"?>
<ds:datastoreItem xmlns:ds="http://schemas.openxmlformats.org/officeDocument/2006/customXml" ds:itemID="{4B3307D3-B2C9-4FF8-8CBB-8B9570B3AA04}">
  <ds:schemaRefs/>
</ds:datastoreItem>
</file>

<file path=customXml/itemProps8.xml><?xml version="1.0" encoding="utf-8"?>
<ds:datastoreItem xmlns:ds="http://schemas.openxmlformats.org/officeDocument/2006/customXml" ds:itemID="{86D58934-7059-4DC3-BFA4-272AA66F31A6}">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17</Pages>
  <Words>5625</Words>
  <Characters>7917</Characters>
  <Lines>941</Lines>
  <Paragraphs>721</Paragraphs>
  <TotalTime>11</TotalTime>
  <ScaleCrop>false</ScaleCrop>
  <LinksUpToDate>false</LinksUpToDate>
  <CharactersWithSpaces>8246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2026-01-04T06:05:00Z</dcterms:created>
  <dc:creator>ZHXDHL</dc:creator>
  <cp:lastModifiedBy>Lily Chai</cp:lastModifiedBy>
  <dcterms:modified xsi:type="dcterms:W3CDTF">2026-01-13T13:47:11Z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eyJoZGlkIjoiMmQ2YWVmZWNhOWJhNDFhZDk3ZTVjN2JjNTQ0ZmU5ZTYiLCJ1c2VySWQiOiIzNjU4NzcyNjMifQ==</vt:lpwstr>
  </property>
  <property fmtid="{D5CDD505-2E9C-101B-9397-08002B2CF9AE}" pid="3" name="KSOProductBuildVer">
    <vt:lpwstr>2052-12.1.0.24657</vt:lpwstr>
  </property>
  <property fmtid="{D5CDD505-2E9C-101B-9397-08002B2CF9AE}" pid="4" name="ICV">
    <vt:lpwstr>28EBC31B1243406BA89CE45146FABE65_12</vt:lpwstr>
  </property>
</Properties>
</file>