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出仓遗漏与货物滞留专题会议纪要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会议文号</w:t>
      </w:r>
      <w:r>
        <w:rPr>
          <w:rFonts w:eastAsia="等线" w:ascii="Arial" w:cs="Arial" w:hAnsi="Arial"/>
          <w:sz w:val="22"/>
        </w:rPr>
        <w:t>：CEL-YT-JY-20260610</w:t>
        <w:br/>
      </w:r>
      <w:r>
        <w:rPr>
          <w:rFonts w:eastAsia="等线" w:ascii="Arial" w:cs="Arial" w:hAnsi="Arial"/>
          <w:b w:val="true"/>
          <w:sz w:val="22"/>
        </w:rPr>
        <w:t>会议时间</w:t>
      </w:r>
      <w:r>
        <w:rPr>
          <w:rFonts w:eastAsia="等线" w:ascii="Arial" w:cs="Arial" w:hAnsi="Arial"/>
          <w:sz w:val="22"/>
        </w:rPr>
        <w:t>：2026年6月10日 10:01</w:t>
        <w:br/>
      </w:r>
      <w:r>
        <w:rPr>
          <w:rFonts w:eastAsia="等线" w:ascii="Arial" w:cs="Arial" w:hAnsi="Arial"/>
          <w:b w:val="true"/>
          <w:sz w:val="22"/>
        </w:rPr>
        <w:t>会议时长</w:t>
      </w:r>
      <w:r>
        <w:rPr>
          <w:rFonts w:eastAsia="等线" w:ascii="Arial" w:cs="Arial" w:hAnsi="Arial"/>
          <w:sz w:val="22"/>
        </w:rPr>
        <w:t>：42分钟52秒</w:t>
        <w:br/>
      </w:r>
      <w:r>
        <w:rPr>
          <w:rFonts w:eastAsia="等线" w:ascii="Arial" w:cs="Arial" w:hAnsi="Arial"/>
          <w:b w:val="true"/>
          <w:sz w:val="22"/>
        </w:rPr>
        <w:t>会议主持</w:t>
      </w:r>
      <w:r>
        <w:rPr>
          <w:rFonts w:eastAsia="等线" w:ascii="Arial" w:cs="Arial" w:hAnsi="Arial"/>
          <w:sz w:val="22"/>
        </w:rPr>
        <w:t>：总经办</w:t>
        <w:br/>
      </w:r>
      <w:r>
        <w:rPr>
          <w:rFonts w:eastAsia="等线" w:ascii="Arial" w:cs="Arial" w:hAnsi="Arial"/>
          <w:b w:val="true"/>
          <w:sz w:val="22"/>
        </w:rPr>
        <w:t>参会人员</w:t>
      </w:r>
      <w:r>
        <w:rPr>
          <w:rFonts w:eastAsia="等线" w:ascii="Arial" w:cs="Arial" w:hAnsi="Arial"/>
          <w:sz w:val="22"/>
        </w:rPr>
        <w:t>：华南、华东、长春、珲春各区域仓库负责人及运营骨干</w:t>
        <w:br/>
      </w:r>
      <w:r>
        <w:rPr>
          <w:rFonts w:eastAsia="等线" w:ascii="Arial" w:cs="Arial" w:hAnsi="Arial"/>
          <w:b w:val="true"/>
          <w:sz w:val="22"/>
        </w:rPr>
        <w:t>纪要整理</w:t>
      </w:r>
      <w:r>
        <w:rPr>
          <w:rFonts w:eastAsia="等线" w:ascii="Arial" w:cs="Arial" w:hAnsi="Arial"/>
          <w:sz w:val="22"/>
        </w:rPr>
        <w:t>：CEL跨境物流专家团队</w:t>
        <w:br/>
      </w:r>
      <w:r>
        <w:rPr>
          <w:rFonts w:eastAsia="等线" w:ascii="Arial" w:cs="Arial" w:hAnsi="Arial"/>
          <w:b w:val="true"/>
          <w:sz w:val="22"/>
        </w:rPr>
        <w:t>生效日期</w:t>
      </w:r>
      <w:r>
        <w:rPr>
          <w:rFonts w:eastAsia="等线" w:ascii="Arial" w:cs="Arial" w:hAnsi="Arial"/>
          <w:sz w:val="22"/>
        </w:rPr>
        <w:t>：2026年6月10日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一、会议概况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本次会议针对2026年6月4日至6月7日各区域仓库跨境货物运营异常问题开展专项核查。经核实，各区域存在不同程度出仓遗漏、货物滞留、专线囤货问题，对中俄跨境主干线路时效及运营稳定性造成负面影响。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会议明确各区域责任主体，确立“</w:t>
      </w:r>
      <w:r>
        <w:rPr>
          <w:rFonts w:eastAsia="等线" w:ascii="Arial" w:cs="Arial" w:hAnsi="Arial"/>
          <w:b w:val="true"/>
          <w:sz w:val="22"/>
        </w:rPr>
        <w:t>总部定标准、定节点、审方案、验结果，一线自主排查、自主整改、自主落地</w:t>
      </w:r>
      <w:r>
        <w:rPr>
          <w:rFonts w:eastAsia="等线" w:ascii="Arial" w:cs="Arial" w:hAnsi="Arial"/>
          <w:sz w:val="22"/>
        </w:rPr>
        <w:t>”的管理原则。总部不介入一线具体操作流程，仅对整改方案可行性、改善时效、最终落地结果进行审核与验收。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二、各区域问题核查及责任认定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（一）华南仓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：2026年6月7日，欧洲平台莫斯科流向产生83件大件包裹出仓遗漏。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：华南仓运营团队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（二）华东仓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：2026年6月7日，欧通平台、Yandex多渠道共计63件包裹出现出仓遗漏，多渠道订单管控存在异常。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：华东仓运营团队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（三）长春仓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：2026年6月5日-6月7日，累计2228件货物滞留未出，覆盖莫斯科等主力跨境线路，为本次核查最突出运营异常问题。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：长春仓运营团队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（四）珲春仓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问题事项</w:t>
      </w:r>
      <w:r>
        <w:rPr>
          <w:rFonts w:eastAsia="等线" w:ascii="Arial" w:cs="Arial" w:hAnsi="Arial"/>
          <w:sz w:val="22"/>
        </w:rPr>
        <w:t>：2026年6月4日-6月7日，白俄罗斯、新西伯利亚专线累计750件货物囤货积压，线路周转受阻。</w:t>
        <w:br/>
      </w:r>
      <w:r>
        <w:rPr>
          <w:rFonts w:eastAsia="等线" w:ascii="Arial" w:cs="Arial" w:hAnsi="Arial"/>
          <w:b w:val="true"/>
          <w:sz w:val="22"/>
        </w:rPr>
        <w:t>责任主体</w:t>
      </w:r>
      <w:r>
        <w:rPr>
          <w:rFonts w:eastAsia="等线" w:ascii="Arial" w:cs="Arial" w:hAnsi="Arial"/>
          <w:sz w:val="22"/>
        </w:rPr>
        <w:t>：珲春仓运营团队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三、整改管控逻辑及统一时间节点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本次整改核心管控逻辑：各区域自主排查问题、分析成因、制定整改方案、落地改善动作。总部不做操作指导，</w:t>
      </w:r>
      <w:r>
        <w:rPr>
          <w:rFonts w:eastAsia="等线" w:ascii="Arial" w:cs="Arial" w:hAnsi="Arial"/>
          <w:b w:val="true"/>
          <w:sz w:val="22"/>
        </w:rPr>
        <w:t>验收核心以各部门提交的整改方案是否具备可行性、落地性为第一标准</w:t>
      </w:r>
      <w:r>
        <w:rPr>
          <w:rFonts w:eastAsia="等线" w:ascii="Arial" w:cs="Arial" w:hAnsi="Arial"/>
          <w:sz w:val="22"/>
        </w:rPr>
        <w:t>，同步核查改善完成时效与实际改善结果。各区域需明确改善目标，按期完成整改并提交对应资料。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统一时间节点要求如下：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2026年6月11日</w:t>
      </w:r>
      <w:r>
        <w:rPr>
          <w:rFonts w:eastAsia="等线" w:ascii="Arial" w:cs="Arial" w:hAnsi="Arial"/>
          <w:sz w:val="22"/>
        </w:rPr>
        <w:t>：华南、华东、长春、珲春各仓统一提交问题原因分析资料及整改解决方案。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2026年6月12日</w:t>
      </w:r>
      <w:r>
        <w:rPr>
          <w:rFonts w:eastAsia="等线" w:ascii="Arial" w:cs="Arial" w:hAnsi="Arial"/>
          <w:sz w:val="22"/>
        </w:rPr>
        <w:t>：华南仓、华东仓、珲春仓完成首轮问题整改自查；长春仓提交滞留货物阶段性清理进度资料。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2026年6月13日</w:t>
      </w:r>
      <w:r>
        <w:rPr>
          <w:rFonts w:eastAsia="等线" w:ascii="Arial" w:cs="Arial" w:hAnsi="Arial"/>
          <w:sz w:val="22"/>
        </w:rPr>
        <w:t>：长春仓提交完整整改改善资料。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2026年6月14日</w:t>
      </w:r>
      <w:r>
        <w:rPr>
          <w:rFonts w:eastAsia="等线" w:ascii="Arial" w:cs="Arial" w:hAnsi="Arial"/>
          <w:sz w:val="22"/>
        </w:rPr>
        <w:t>：长春仓完成滞留货物清零；珲春仓完成囤货问题自查核验，确认无新增异常。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四、沟通机制与考核规则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常态化沟通机制</w:t>
      </w:r>
      <w:r>
        <w:rPr>
          <w:rFonts w:eastAsia="等线" w:ascii="Arial" w:cs="Arial" w:hAnsi="Arial"/>
          <w:sz w:val="22"/>
        </w:rPr>
        <w:t>：公司固定运营沟通会议为</w:t>
      </w:r>
      <w:r>
        <w:rPr>
          <w:rFonts w:eastAsia="等线" w:ascii="Arial" w:cs="Arial" w:hAnsi="Arial"/>
          <w:b w:val="true"/>
          <w:sz w:val="22"/>
        </w:rPr>
        <w:t>每周三上午</w:t>
      </w:r>
      <w:r>
        <w:rPr>
          <w:rFonts w:eastAsia="等线" w:ascii="Arial" w:cs="Arial" w:hAnsi="Arial"/>
          <w:sz w:val="22"/>
        </w:rPr>
        <w:t>，统一集中核对各类问题改善情况；所有临时性运营问题，均通过临时沟通方式解决，不单独增设专项会议。本次问题整改无需召开专项会议，各区域按节点提交反馈资料即可。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绩效考核规则</w:t>
      </w:r>
      <w:r>
        <w:rPr>
          <w:rFonts w:eastAsia="等线" w:ascii="Arial" w:cs="Arial" w:hAnsi="Arial"/>
          <w:sz w:val="22"/>
        </w:rPr>
        <w:t>：本次各区域问题整改的资料完整性、方案可行性、改善时效及落地质量，统一纳入月度运营绩效考核，未达标区域将予以绩效追责。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长效管理要求</w:t>
      </w:r>
      <w:r>
        <w:rPr>
          <w:rFonts w:eastAsia="等线" w:ascii="Arial" w:cs="Arial" w:hAnsi="Arial"/>
          <w:sz w:val="22"/>
        </w:rPr>
        <w:t>：各区域自主梳理流程短板，建立适配本仓库的常态化管控机制，规避同类运营异常重复发生。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五、附件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附件1：《各区域仓库问题整改跟进台账》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纪要审核</w:t>
      </w:r>
      <w:r>
        <w:rPr>
          <w:rFonts w:eastAsia="等线" w:ascii="Arial" w:cs="Arial" w:hAnsi="Arial"/>
          <w:sz w:val="22"/>
        </w:rPr>
        <w:t>：总经办</w:t>
        <w:br/>
      </w:r>
      <w:r>
        <w:rPr>
          <w:rFonts w:eastAsia="等线" w:ascii="Arial" w:cs="Arial" w:hAnsi="Arial"/>
          <w:b w:val="true"/>
          <w:sz w:val="22"/>
        </w:rPr>
        <w:t>编制单位</w:t>
      </w:r>
      <w:r>
        <w:rPr>
          <w:rFonts w:eastAsia="等线" w:ascii="Arial" w:cs="Arial" w:hAnsi="Arial"/>
          <w:sz w:val="22"/>
        </w:rPr>
        <w:t>：CEL畅达总经办</w:t>
        <w:br/>
      </w:r>
      <w:r>
        <w:rPr>
          <w:rFonts w:eastAsia="等线" w:ascii="Arial" w:cs="Arial" w:hAnsi="Arial"/>
          <w:b w:val="true"/>
          <w:sz w:val="22"/>
        </w:rPr>
        <w:t>编制日期</w:t>
      </w:r>
      <w:r>
        <w:rPr>
          <w:rFonts w:eastAsia="等线" w:ascii="Arial" w:cs="Arial" w:hAnsi="Arial"/>
          <w:sz w:val="22"/>
        </w:rPr>
        <w:t>：2026年6月10日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附件：各区域仓库问题整改跟进台账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责任仓库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问题时段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问题数量(件)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责任部门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方案资料提交截止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核心改善目标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改善完成时间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大件出仓遗漏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华南仓运营团队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消除本次出仓遗漏问题</w:t>
            </w:r>
            <w:r>
              <w:rPr>
                <w:rFonts w:eastAsia="等线" w:ascii="Arial" w:cs="Arial" w:hAnsi="Arial"/>
                <w:sz w:val="22"/>
              </w:rPr>
              <w:t>，完善流程管控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6月12日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方案可行性审核+结果核验，周三例会统一核对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多渠道出仓遗漏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华东仓运营团队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</w:t>
            </w:r>
            <w:r>
              <w:rPr>
                <w:rFonts w:eastAsia="等线" w:ascii="Arial" w:cs="Arial" w:hAnsi="Arial"/>
                <w:sz w:val="22"/>
              </w:rPr>
              <w:t>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解决多渠道订单管控异常，保障出仓</w:t>
            </w:r>
            <w:r>
              <w:rPr>
                <w:rFonts w:eastAsia="等线" w:ascii="Arial" w:cs="Arial" w:hAnsi="Arial"/>
                <w:sz w:val="22"/>
              </w:rPr>
              <w:t>稳定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6月12日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方案可行性审核+结果核验，周三例会统一核对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大规模货物滞留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6月5-7日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2228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长春仓</w:t>
            </w:r>
            <w:r>
              <w:rPr>
                <w:rFonts w:eastAsia="等线" w:ascii="Arial" w:cs="Arial" w:hAnsi="Arial"/>
                <w:sz w:val="22"/>
              </w:rPr>
              <w:t>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完成滞留货物清理，规避批量积压风险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6月14日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</w:t>
            </w:r>
            <w:r>
              <w:rPr>
                <w:rFonts w:eastAsia="等线" w:ascii="Arial" w:cs="Arial" w:hAnsi="Arial"/>
                <w:sz w:val="22"/>
              </w:rPr>
              <w:t>+进度核验，周三例会统一核对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珲春仓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定点线路囤货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6月4-7日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珲春仓运营团队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6月11日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清理专线囤货，恢复线路正常周转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6月14日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方案可行性审核+结果核验，周三例会统一</w:t>
            </w:r>
            <w:r>
              <w:rPr>
                <w:rFonts w:eastAsia="等线" w:ascii="Arial" w:cs="Arial" w:hAnsi="Arial"/>
                <w:sz w:val="22"/>
              </w:rPr>
              <w:t>核对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34521">
    <w:lvl>
      <w:start w:val="1"/>
      <w:numFmt w:val="decimal"/>
      <w:suff w:val="tab"/>
      <w:lvlText w:val="%1."/>
      <w:rPr>
        <w:color w:val="3370ff"/>
      </w:rPr>
    </w:lvl>
  </w:abstractNum>
  <w:abstractNum w:abstractNumId="434522">
    <w:lvl>
      <w:start w:val="2"/>
      <w:numFmt w:val="decimal"/>
      <w:suff w:val="tab"/>
      <w:lvlText w:val="%1."/>
      <w:rPr>
        <w:color w:val="3370ff"/>
      </w:rPr>
    </w:lvl>
  </w:abstractNum>
  <w:abstractNum w:abstractNumId="434523">
    <w:lvl>
      <w:start w:val="3"/>
      <w:numFmt w:val="decimal"/>
      <w:suff w:val="tab"/>
      <w:lvlText w:val="%1."/>
      <w:rPr>
        <w:color w:val="3370ff"/>
      </w:rPr>
    </w:lvl>
  </w:abstractNum>
  <w:abstractNum w:abstractNumId="434524">
    <w:lvl>
      <w:start w:val="4"/>
      <w:numFmt w:val="decimal"/>
      <w:suff w:val="tab"/>
      <w:lvlText w:val="%1."/>
      <w:rPr>
        <w:color w:val="3370ff"/>
      </w:rPr>
    </w:lvl>
  </w:abstractNum>
  <w:abstractNum w:abstractNumId="434525">
    <w:lvl>
      <w:start w:val="1"/>
      <w:numFmt w:val="decimal"/>
      <w:suff w:val="tab"/>
      <w:lvlText w:val="%1."/>
      <w:rPr>
        <w:color w:val="3370ff"/>
      </w:rPr>
    </w:lvl>
  </w:abstractNum>
  <w:abstractNum w:abstractNumId="434526">
    <w:lvl>
      <w:start w:val="2"/>
      <w:numFmt w:val="decimal"/>
      <w:suff w:val="tab"/>
      <w:lvlText w:val="%1."/>
      <w:rPr>
        <w:color w:val="3370ff"/>
      </w:rPr>
    </w:lvl>
  </w:abstractNum>
  <w:abstractNum w:abstractNumId="434527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34521"/>
  </w:num>
  <w:num w:numId="2">
    <w:abstractNumId w:val="434522"/>
  </w:num>
  <w:num w:numId="3">
    <w:abstractNumId w:val="434523"/>
  </w:num>
  <w:num w:numId="4">
    <w:abstractNumId w:val="434524"/>
  </w:num>
  <w:num w:numId="5">
    <w:abstractNumId w:val="434525"/>
  </w:num>
  <w:num w:numId="6">
    <w:abstractNumId w:val="434526"/>
  </w:num>
  <w:num w:numId="7">
    <w:abstractNumId w:val="4345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2026-06-10T03:01:50Z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{"Label":"1","ContentProducer":"001191110102MACQD9K64010000","ProduceID":"7649596630915812590","ReservedCode1":"","ContentPropagator":"","PropagateID":"","ReservedCode2":""}</vt:lpwstr>
  </property>
</Properties>
</file>