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出仓遗漏与货物滞留专题会议纪要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会议文号</w:t>
      </w:r>
      <w:r>
        <w:rPr>
          <w:rFonts w:eastAsia="等线" w:ascii="Arial" w:cs="Arial" w:hAnsi="Arial"/>
          <w:sz w:val="22"/>
        </w:rPr>
        <w:t>：CEL-YT-JY-20260610</w:t>
        <w:br/>
      </w:r>
      <w:r>
        <w:rPr>
          <w:rFonts w:eastAsia="等线" w:ascii="Arial" w:cs="Arial" w:hAnsi="Arial"/>
          <w:b w:val="true"/>
          <w:sz w:val="22"/>
        </w:rPr>
        <w:t>会议时间</w:t>
      </w:r>
      <w:r>
        <w:rPr>
          <w:rFonts w:eastAsia="等线" w:ascii="Arial" w:cs="Arial" w:hAnsi="Arial"/>
          <w:sz w:val="22"/>
        </w:rPr>
        <w:t>：2026年6月10日 10:01</w:t>
        <w:br/>
      </w:r>
      <w:r>
        <w:rPr>
          <w:rFonts w:eastAsia="等线" w:ascii="Arial" w:cs="Arial" w:hAnsi="Arial"/>
          <w:b w:val="true"/>
          <w:sz w:val="22"/>
        </w:rPr>
        <w:t>会议时长</w:t>
      </w:r>
      <w:r>
        <w:rPr>
          <w:rFonts w:eastAsia="等线" w:ascii="Arial" w:cs="Arial" w:hAnsi="Arial"/>
          <w:sz w:val="22"/>
        </w:rPr>
        <w:t>：42分钟52秒</w:t>
        <w:br/>
      </w:r>
      <w:r>
        <w:rPr>
          <w:rFonts w:eastAsia="等线" w:ascii="Arial" w:cs="Arial" w:hAnsi="Arial"/>
          <w:b w:val="true"/>
          <w:sz w:val="22"/>
        </w:rPr>
        <w:t>会议主持</w:t>
      </w:r>
      <w:r>
        <w:rPr>
          <w:rFonts w:eastAsia="等线" w:ascii="Arial" w:cs="Arial" w:hAnsi="Arial"/>
          <w:sz w:val="22"/>
        </w:rPr>
        <w:t>：郝冠博（总经办）</w:t>
        <w:br/>
      </w:r>
      <w:r>
        <w:rPr>
          <w:rFonts w:eastAsia="等线" w:ascii="Arial" w:cs="Arial" w:hAnsi="Arial"/>
          <w:b w:val="true"/>
          <w:sz w:val="22"/>
        </w:rPr>
        <w:t>参会人员</w:t>
      </w:r>
      <w:r>
        <w:rPr>
          <w:rFonts w:eastAsia="等线" w:ascii="Arial" w:cs="Arial" w:hAnsi="Arial"/>
          <w:sz w:val="22"/>
        </w:rPr>
        <w:t>：华南、华东、长春、珲春各区域仓库负责人及运营骨干</w:t>
        <w:br/>
      </w:r>
      <w:r>
        <w:rPr>
          <w:rFonts w:eastAsia="等线" w:ascii="Arial" w:cs="Arial" w:hAnsi="Arial"/>
          <w:b w:val="true"/>
          <w:sz w:val="22"/>
        </w:rPr>
        <w:t>纪要整理</w:t>
      </w:r>
      <w:r>
        <w:rPr>
          <w:rFonts w:eastAsia="等线" w:ascii="Arial" w:cs="Arial" w:hAnsi="Arial"/>
          <w:sz w:val="22"/>
        </w:rPr>
        <w:t>：CEL跨境物流专家团队</w:t>
        <w:br/>
      </w:r>
      <w:r>
        <w:rPr>
          <w:rFonts w:eastAsia="等线" w:ascii="Arial" w:cs="Arial" w:hAnsi="Arial"/>
          <w:b w:val="true"/>
          <w:sz w:val="22"/>
        </w:rPr>
        <w:t>生效日期</w:t>
      </w:r>
      <w:r>
        <w:rPr>
          <w:rFonts w:eastAsia="等线" w:ascii="Arial" w:cs="Arial" w:hAnsi="Arial"/>
          <w:sz w:val="22"/>
        </w:rPr>
        <w:t>：2026年6月10日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一、会议概况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针对2026年6月4日至6月7日各区域仓库出现的跨境货物运营异常问题召开专项复盘会议。会议核实确认华南仓、华东仓存在包裹出仓遗漏问题，长春仓出现大规模货物滞留问题，珲春仓出现专线货物囤货积压问题。上述问题已影响多条中俄跨境核心线路时效，造成运营链路异常。会议明确各区域对应问题及责任主体，统一问题反馈、整改复盘时间节点，要求各区域自主排查问题、落地整改、闭环上报，总部仅做节点核验与结果验收，不干预一线具体操作方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二、各区域现存问题及责任认定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（一）华南仓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问题事项</w:t>
      </w:r>
      <w:r>
        <w:rPr>
          <w:rFonts w:eastAsia="等线" w:ascii="Arial" w:cs="Arial" w:hAnsi="Arial"/>
          <w:sz w:val="22"/>
        </w:rPr>
        <w:t>：2026年6月7日，欧洲平台莫斯科流向出现83件大件包裹出仓遗漏。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：华南仓运营团队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（二）华东仓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问题事项</w:t>
      </w:r>
      <w:r>
        <w:rPr>
          <w:rFonts w:eastAsia="等线" w:ascii="Arial" w:cs="Arial" w:hAnsi="Arial"/>
          <w:sz w:val="22"/>
        </w:rPr>
        <w:t>：2026年6月7日，欧通平台、Yandex多渠道合计63件包裹出现出仓遗漏，多渠道订单管控存在异常。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：华东仓运营团队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（三）长春仓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问题事项</w:t>
      </w:r>
      <w:r>
        <w:rPr>
          <w:rFonts w:eastAsia="等线" w:ascii="Arial" w:cs="Arial" w:hAnsi="Arial"/>
          <w:sz w:val="22"/>
        </w:rPr>
        <w:t>：2026年6月5日-6月7日，累计2228件货物滞留未出，覆盖莫斯科等主力跨境线路，为本次最严重运营异常问题。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：长春仓运营团队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（四）珲春仓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问题事项</w:t>
      </w:r>
      <w:r>
        <w:rPr>
          <w:rFonts w:eastAsia="等线" w:ascii="Arial" w:cs="Arial" w:hAnsi="Arial"/>
          <w:sz w:val="22"/>
        </w:rPr>
        <w:t>：2026年6月4日-6月7日，白俄罗斯、新西伯利亚专线累计750件货物囤货积压，线路周转停滞。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：珲春仓运营团队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三、统一反馈与整改时间节点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会议明确，各区域自主开展问题排查、原因分析、制定整改解决方案及落地改善工作。总部不干预一线具体执行方式，本次整改验收核心标准为</w:t>
      </w:r>
      <w:r>
        <w:rPr>
          <w:rFonts w:eastAsia="等线" w:ascii="Arial" w:cs="Arial" w:hAnsi="Arial"/>
          <w:b w:val="true"/>
          <w:sz w:val="22"/>
        </w:rPr>
        <w:t>核查各部门提交的整改解决方案是否具备可行性、落地性</w:t>
      </w:r>
      <w:r>
        <w:rPr>
          <w:rFonts w:eastAsia="等线" w:ascii="Arial" w:cs="Arial" w:hAnsi="Arial"/>
          <w:sz w:val="22"/>
        </w:rPr>
        <w:t>。各区域需明确改善目标、固化改善完成时间，部分问题可在周例会阶段完成改善闭环与复盘核验，统一时间及管控要求如下：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2026年6月11日</w:t>
      </w:r>
      <w:r>
        <w:rPr>
          <w:rFonts w:eastAsia="等线" w:ascii="Arial" w:cs="Arial" w:hAnsi="Arial"/>
          <w:sz w:val="22"/>
        </w:rPr>
        <w:t>：华南、华东、长春、珲春各仓统一提交问题原因分析报告及自主制定的整改方案。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2026年6月12日</w:t>
      </w:r>
      <w:r>
        <w:rPr>
          <w:rFonts w:eastAsia="等线" w:ascii="Arial" w:cs="Arial" w:hAnsi="Arial"/>
          <w:sz w:val="22"/>
        </w:rPr>
        <w:t>：华南仓、华东仓、珲春仓完成首轮问题整改及自查核验；长春仓上报滞留货物阶段性清理进度。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2026年6月13日</w:t>
      </w:r>
      <w:r>
        <w:rPr>
          <w:rFonts w:eastAsia="等线" w:ascii="Arial" w:cs="Arial" w:hAnsi="Arial"/>
          <w:sz w:val="22"/>
        </w:rPr>
        <w:t>：长春仓完成既定货物清理目标，提交完整整改复盘报告。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2026年6月14日</w:t>
      </w:r>
      <w:r>
        <w:rPr>
          <w:rFonts w:eastAsia="等线" w:ascii="Arial" w:cs="Arial" w:hAnsi="Arial"/>
          <w:sz w:val="22"/>
        </w:rPr>
        <w:t>：长春仓完成全部滞留货物清零；珲春仓完成囤货问题二次核验，确认无新增异常。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四、常态化上报机制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自即日起，各区域仓库工作日</w:t>
      </w:r>
      <w:r>
        <w:rPr>
          <w:rFonts w:eastAsia="等线" w:ascii="Arial" w:cs="Arial" w:hAnsi="Arial"/>
          <w:b w:val="true"/>
          <w:sz w:val="22"/>
        </w:rPr>
        <w:t>每日10:00前</w:t>
      </w:r>
      <w:r>
        <w:rPr>
          <w:rFonts w:eastAsia="等线" w:ascii="Arial" w:cs="Arial" w:hAnsi="Arial"/>
          <w:sz w:val="22"/>
        </w:rPr>
        <w:t>，自主在专项工作群上报前一日出仓数据、滞留及囤货货物变动情况，@总经办，接受总部常态化监督。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五、会议决议与考核规则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专项复盘会议</w:t>
      </w:r>
      <w:r>
        <w:rPr>
          <w:rFonts w:eastAsia="等线" w:ascii="Arial" w:cs="Arial" w:hAnsi="Arial"/>
          <w:sz w:val="22"/>
        </w:rPr>
        <w:t>：2026年6月12日10:00召开整改跟进专项会议，各区域负责人自主汇报整改落地情况、问题改善成效。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绩效考核约束</w:t>
      </w:r>
      <w:r>
        <w:rPr>
          <w:rFonts w:eastAsia="等线" w:ascii="Arial" w:cs="Arial" w:hAnsi="Arial"/>
          <w:sz w:val="22"/>
        </w:rPr>
        <w:t>：本次各区域问题整改完成时效、整改质量，统一纳入月度运营绩效考核。未按时、按要求完成整改的区域，将执行绩效追责。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长效管理要求</w:t>
      </w:r>
      <w:r>
        <w:rPr>
          <w:rFonts w:eastAsia="等线" w:ascii="Arial" w:cs="Arial" w:hAnsi="Arial"/>
          <w:sz w:val="22"/>
        </w:rPr>
        <w:t>：各区域自主复盘问题、自查流程漏洞，建立适配自身仓库的长效管控机制，杜绝同类运营异常重复发生。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六、附件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附件1：《各区域仓库问题整改跟进台账》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纪要审核</w:t>
      </w:r>
      <w:r>
        <w:rPr>
          <w:rFonts w:eastAsia="等线" w:ascii="Arial" w:cs="Arial" w:hAnsi="Arial"/>
          <w:sz w:val="22"/>
        </w:rPr>
        <w:t>：郝冠博</w:t>
        <w:br/>
      </w:r>
      <w:r>
        <w:rPr>
          <w:rFonts w:eastAsia="等线" w:ascii="Arial" w:cs="Arial" w:hAnsi="Arial"/>
          <w:b w:val="true"/>
          <w:sz w:val="22"/>
        </w:rPr>
        <w:t>编制单位</w:t>
      </w:r>
      <w:r>
        <w:rPr>
          <w:rFonts w:eastAsia="等线" w:ascii="Arial" w:cs="Arial" w:hAnsi="Arial"/>
          <w:sz w:val="22"/>
        </w:rPr>
        <w:t>：CEL畅达总经办</w:t>
        <w:br/>
      </w: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>：2026年6月10日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附件：各区域仓库问题整改跟进台账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915"/>
        <w:gridCol w:w="915"/>
        <w:gridCol w:w="735"/>
        <w:gridCol w:w="915"/>
        <w:gridCol w:w="915"/>
        <w:gridCol w:w="1110"/>
        <w:gridCol w:w="915"/>
        <w:gridCol w:w="735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责任仓库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问题类型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问题时段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问题数量(件)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责任部门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方案提交截止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核心改善目标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改善完成时间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大件出仓遗漏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6月7日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彻底杜绝莫斯科流向大件出仓遗漏问题，完善流程管控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6月12日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方案可行性审核+结果核验，周例会复盘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多渠道出仓遗漏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6月7日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修复多渠道订单管控漏洞，保障出仓准确率达标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6月12日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方案可行性审核+结果核验，周例会复盘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大规模货物滞留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6月5-7日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2228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清零滞留货物，建立长效防积压机制，保障主力线路通畅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6月14日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方案可行性审核+进度核验+周例会闭环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定点线路囤货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6月4-7日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清理专线囤货，消除线路周转异常，杜绝新增积压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6月14日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方案可行性审核+二次核验，周例会复盘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2378">
    <w:lvl>
      <w:start w:val="1"/>
      <w:numFmt w:val="decimal"/>
      <w:suff w:val="tab"/>
      <w:lvlText w:val="%1."/>
      <w:rPr>
        <w:color w:val="3370ff"/>
      </w:rPr>
    </w:lvl>
  </w:abstractNum>
  <w:abstractNum w:abstractNumId="892379">
    <w:lvl>
      <w:start w:val="2"/>
      <w:numFmt w:val="decimal"/>
      <w:suff w:val="tab"/>
      <w:lvlText w:val="%1."/>
      <w:rPr>
        <w:color w:val="3370ff"/>
      </w:rPr>
    </w:lvl>
  </w:abstractNum>
  <w:abstractNum w:abstractNumId="892380">
    <w:lvl>
      <w:start w:val="3"/>
      <w:numFmt w:val="decimal"/>
      <w:suff w:val="tab"/>
      <w:lvlText w:val="%1."/>
      <w:rPr>
        <w:color w:val="3370ff"/>
      </w:rPr>
    </w:lvl>
  </w:abstractNum>
  <w:abstractNum w:abstractNumId="892381">
    <w:lvl>
      <w:start w:val="4"/>
      <w:numFmt w:val="decimal"/>
      <w:suff w:val="tab"/>
      <w:lvlText w:val="%1."/>
      <w:rPr>
        <w:color w:val="3370ff"/>
      </w:rPr>
    </w:lvl>
  </w:abstractNum>
  <w:abstractNum w:abstractNumId="892382">
    <w:lvl>
      <w:start w:val="1"/>
      <w:numFmt w:val="decimal"/>
      <w:suff w:val="tab"/>
      <w:lvlText w:val="%1."/>
      <w:rPr>
        <w:color w:val="3370ff"/>
      </w:rPr>
    </w:lvl>
  </w:abstractNum>
  <w:abstractNum w:abstractNumId="892383">
    <w:lvl>
      <w:start w:val="2"/>
      <w:numFmt w:val="decimal"/>
      <w:suff w:val="tab"/>
      <w:lvlText w:val="%1."/>
      <w:rPr>
        <w:color w:val="3370ff"/>
      </w:rPr>
    </w:lvl>
  </w:abstractNum>
  <w:abstractNum w:abstractNumId="89238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92378"/>
  </w:num>
  <w:num w:numId="2">
    <w:abstractNumId w:val="892379"/>
  </w:num>
  <w:num w:numId="3">
    <w:abstractNumId w:val="892380"/>
  </w:num>
  <w:num w:numId="4">
    <w:abstractNumId w:val="892381"/>
  </w:num>
  <w:num w:numId="5">
    <w:abstractNumId w:val="892382"/>
  </w:num>
  <w:num w:numId="6">
    <w:abstractNumId w:val="892383"/>
  </w:num>
  <w:num w:numId="7">
    <w:abstractNumId w:val="8923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2026-06-10T02:58:31Z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{"Label":"1","ContentProducer":"001191110102MACQD9K64010000","ProduceID":"7649595776498683094","ReservedCode1":"","ContentPropagator":"","PropagateID":"","ReservedCode2":""}</vt:lpwstr>
  </property>
</Properties>
</file>