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F13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第1章 软件过程</w:t>
      </w:r>
    </w:p>
    <w:p w14:paraId="6FA858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以下关于螺旋模型的叙述中不正确的是 ( )</w:t>
      </w:r>
    </w:p>
    <w:p w14:paraId="3D6F4E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它是风险驱动,要求开发人员必须具有丰富的风险评估知识和经验</w:t>
      </w:r>
    </w:p>
    <w:p w14:paraId="52574C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它可以降低过多测试或测试不足带来的风险</w:t>
      </w:r>
    </w:p>
    <w:p w14:paraId="11AA89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它包含维护周期,因此维护和开发之间没有本质区别</w:t>
      </w:r>
    </w:p>
    <w:p w14:paraId="4DA91A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它不适用于大型软件开发</w:t>
      </w:r>
    </w:p>
    <w:p w14:paraId="2EC4E0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7ED1E9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螺旋模型正是为了解决大型软件开发中的高风险问题而设计的，因此说它“不适用于大型软件开发”是错误的。</w:t>
      </w:r>
    </w:p>
    <w:p w14:paraId="0CD4CA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在选择开发方法时,不适合使用原型法的情况是 ( )</w:t>
      </w:r>
    </w:p>
    <w:p w14:paraId="776E36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用户需求模糊不清</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系统设计方案难以确定</w:t>
      </w:r>
    </w:p>
    <w:p w14:paraId="4455DE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系统使用范围变化很大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用户数据资源缺乏组织和管理</w:t>
      </w:r>
    </w:p>
    <w:p w14:paraId="551CF1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44AE71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原型法主要用于明确需求。如果底层的数据资源缺乏组织和管理，原型法难以建立有效的数据模型和处理逻辑，因此不适合。</w:t>
      </w:r>
    </w:p>
    <w:p w14:paraId="010E68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以下关于喷泉模型的叙述中不正确的是 ( )</w:t>
      </w:r>
    </w:p>
    <w:p w14:paraId="679795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喷泉模型是以对象作为驱动的模型,适合于面向对象的开发方法</w:t>
      </w:r>
    </w:p>
    <w:p w14:paraId="16C7CE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喷泉模型克服了瀑布模型不支持软件重用和多项开发活动集成的局限性</w:t>
      </w:r>
    </w:p>
    <w:p w14:paraId="7F8C58D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模型中的开发活动常需要重复多次,在迭代过程中不断地完善软件系统</w:t>
      </w:r>
    </w:p>
    <w:p w14:paraId="731AC0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各开发活动(如分析、设计和编码等)之间存在明显的边界</w:t>
      </w:r>
    </w:p>
    <w:p w14:paraId="2B8DBD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298131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喷泉模型的主要特点是“无间隙性”和“迭代性”，各开发活动之间没有明显的边界，是相互交叉的。</w:t>
      </w:r>
    </w:p>
    <w:p w14:paraId="1F248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若采用新技术开发个大学记账系统，替换原有系统,则宜采用 ( ) 进行开发。</w:t>
      </w:r>
    </w:p>
    <w:p w14:paraId="2B801F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瀑布模型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演化模型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螺旋模型</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原型模型</w:t>
      </w:r>
    </w:p>
    <w:p w14:paraId="20D39E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0F6208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题目中提到“采用新技术”，这意味着存在技术风险。螺旋模型是风险驱动的，最适合处理具有高风险的项目。</w:t>
      </w:r>
    </w:p>
    <w:p w14:paraId="0FCC36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CMMI模型将软件过程的成熟度分为5个等级。在 ( ) 使用定量分析持续改进和管理软件过程。</w:t>
      </w:r>
    </w:p>
    <w:p w14:paraId="327631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优化级</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管理级</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初始级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量化管理级</w:t>
      </w:r>
    </w:p>
    <w:p w14:paraId="0714C2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50DF30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第5级（优化级）的重点是“持续改进”。虽然第4级是“量化管理级”，但利用定量分析进行“持续改进”是第5级的特征。</w:t>
      </w:r>
    </w:p>
    <w:p w14:paraId="5C515C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RUP(Rational Unified Process)分为4个阶段,每个阶段结束时都有重要的里程碑,其中生命周期架构是在 ( ) 结束时的里程碑。</w:t>
      </w:r>
    </w:p>
    <w:p w14:paraId="0C1A295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初启阶段</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精化阶段</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构建阶段</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交付阶段</w:t>
      </w:r>
    </w:p>
    <w:p w14:paraId="0BEC89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684BB9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RUP四个阶段的里程碑分别是：初启（生命周期目标）、精化（生命周期架构）、构建（初始运作功能）、交付（产品发布）。</w:t>
      </w:r>
    </w:p>
    <w:p w14:paraId="0B81C2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 ) 阶段是软件生命周期中花费最多,持续时间最长的阶段。</w:t>
      </w:r>
    </w:p>
    <w:p w14:paraId="4C2FC3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需求分析</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维护</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设计</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测试</w:t>
      </w:r>
    </w:p>
    <w:p w14:paraId="112DC8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45B103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软件维护阶段通常占据软件生命周期成本的60%-80%，时间也最长。</w:t>
      </w:r>
    </w:p>
    <w:p w14:paraId="6C391E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为保证软件质量,在软件生命周期的每个阶段结束前，都需要进行 ( ) 工作。</w:t>
      </w:r>
    </w:p>
    <w:p w14:paraId="5D06B4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制订计划</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测试</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审查</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交接</w:t>
      </w:r>
    </w:p>
    <w:p w14:paraId="643DEC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458F80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每个阶段结束前的技术评审（审查）是保证质量的关键步骤，防止错误传播到下一阶段。</w:t>
      </w:r>
    </w:p>
    <w:p w14:paraId="170D179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第2章 项目可行性研究</w:t>
      </w:r>
    </w:p>
    <w:p w14:paraId="67C48A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可行性研究要进行一次 ( ) 需求分析。</w:t>
      </w:r>
    </w:p>
    <w:p w14:paraId="6615951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详细的</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全面的</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简化的、压缩的</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彻底的</w:t>
      </w:r>
    </w:p>
    <w:p w14:paraId="72AF2E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3DADA9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可行性研究不是要解决所有问题，而是要确定问题是否值得解决，因此只需要进行简化的、高层次的需求分析。</w:t>
      </w:r>
    </w:p>
    <w:p w14:paraId="651DDC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可行性研究的目的是用最小的代价在尽可能短的时间内确定问题 ( )</w:t>
      </w:r>
    </w:p>
    <w:p w14:paraId="5B0918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人员配置</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具体实施过程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时间长短</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能否解决</w:t>
      </w:r>
    </w:p>
    <w:p w14:paraId="63E646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4251A1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可行性研究的核心目标是回答“做还是不做”，即问题能否被解决，以及解决它是否划算。</w:t>
      </w:r>
    </w:p>
    <w:p w14:paraId="0684AB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分层数据流图是一种比较严格又易于理解的描述方式,它的顶层(0层)数据流图描绘了系统的 ( )</w:t>
      </w:r>
    </w:p>
    <w:p w14:paraId="762994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总貌</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细节</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抽象</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软件的作者</w:t>
      </w:r>
    </w:p>
    <w:p w14:paraId="2EF206A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5BE304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顶层数据流图（Context Diagram）仅包含一个代表整个系统的加工，以及系统与外部实体的交互，描绘的是系统的总貌。</w:t>
      </w:r>
    </w:p>
    <w:p w14:paraId="7F51D7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绘制数据流图时,遵循父图与子图平衡的原则，所谓平衡，是指 ( )。</w:t>
      </w:r>
    </w:p>
    <w:p w14:paraId="76BC3E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父图和子图都不改变数据流的性质</w:t>
      </w:r>
    </w:p>
    <w:p w14:paraId="390186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子图不改变父图数据流的一致性</w:t>
      </w:r>
    </w:p>
    <w:p w14:paraId="080C5A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父图的输人输出数据流与子图的输入输出数据流一致</w:t>
      </w:r>
    </w:p>
    <w:p w14:paraId="7582D8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子图的输出数据流完全由父图的输入数据流确定</w:t>
      </w:r>
    </w:p>
    <w:p w14:paraId="5D7B36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5E2FB4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平衡原则是指父图中某个加工的输入输出数据流，必须与分解该加工的子图的输入输出数据流保持一致。</w:t>
      </w:r>
    </w:p>
    <w:p w14:paraId="6C6FCC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数据字典是软件需求分析阶段的重要工具之一,它的基本功能是 ( )。</w:t>
      </w:r>
    </w:p>
    <w:p w14:paraId="2F45A8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数据定义</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数据维护</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数据通信</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数据库设计</w:t>
      </w:r>
    </w:p>
    <w:p w14:paraId="5BC8F9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5C2FB7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数据字典（DD）是对数据流图中所有元素的精确定义。</w:t>
      </w:r>
    </w:p>
    <w:p w14:paraId="042DAF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结构化分析(SA)方法最常见的图形工具是 ( )。</w:t>
      </w:r>
    </w:p>
    <w:p w14:paraId="1293E3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数据流图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实体联系图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程序流图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结构图</w:t>
      </w:r>
    </w:p>
    <w:p w14:paraId="271D0F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243E3B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SA方法的核心模型是数据流图（DFD）。</w:t>
      </w:r>
    </w:p>
    <w:p w14:paraId="5834AA9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数据流图描述的是实际系统的 ( )。</w:t>
      </w:r>
    </w:p>
    <w:p w14:paraId="110747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逻辑模型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物理模型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程序流程</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数据结构</w:t>
      </w:r>
    </w:p>
    <w:p w14:paraId="4B808B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504790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数据流图侧重于数据如何流动和处理，不涉及具体的物理实现（如硬件、存储介质），因此是逻辑模型。</w:t>
      </w:r>
    </w:p>
    <w:p w14:paraId="55DD72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(13) 在数据流图中，( ) 说法不正确。</w:t>
      </w:r>
    </w:p>
    <w:p w14:paraId="227270E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加工必须有1个或多个输入</w:t>
      </w:r>
    </w:p>
    <w:p w14:paraId="4D55F58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加工必须有1个或多个输出</w:t>
      </w:r>
    </w:p>
    <w:p w14:paraId="13A51C5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加工的输入和输出不能相同</w:t>
      </w:r>
    </w:p>
    <w:p w14:paraId="5AFCAC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加工之间必须有1个或多个数据流</w:t>
      </w:r>
    </w:p>
    <w:p w14:paraId="27A0E3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1608B4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加工之间可以通过“数据存储”进行交互，不一定非要直接通过数据流连接。</w:t>
      </w:r>
    </w:p>
    <w:p w14:paraId="592244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(14) 关于数据流图中加工的命名规则，正确的是 ( )。</w:t>
      </w:r>
    </w:p>
    <w:p w14:paraId="7F3AEA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加工的名字要说明对数据进行的处理和算法</w:t>
      </w:r>
    </w:p>
    <w:p w14:paraId="0524FE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加工的名字要说明被加工的数据以及产生的结果</w:t>
      </w:r>
    </w:p>
    <w:p w14:paraId="5AB847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加工的名字既要说明被加工的数据,又要说明对数据的处理</w:t>
      </w:r>
    </w:p>
    <w:p w14:paraId="1C351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加工的名字应该与输出结果一致</w:t>
      </w:r>
    </w:p>
    <w:p w14:paraId="6DB077D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64DB78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加工的名字通常由一个动词和一个名词组成（动宾短语），既说明处理动作，也说明处理对象。</w:t>
      </w:r>
    </w:p>
    <w:p w14:paraId="1B8316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第3章 软件需求分析</w:t>
      </w:r>
    </w:p>
    <w:p w14:paraId="4482C6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简单地说,需求分析的目的是弄清系统要 ( )</w:t>
      </w:r>
    </w:p>
    <w:p w14:paraId="4A4493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做什么</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怎么做</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何时做</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在哪做</w:t>
      </w:r>
    </w:p>
    <w:p w14:paraId="647A8E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605823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需求分析解决“做什么”（What），设计阶段解决“怎么做”（How）。</w:t>
      </w:r>
    </w:p>
    <w:p w14:paraId="277082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需求分析规格说明书的内容不应该包括 ( ) 的描述。</w:t>
      </w:r>
    </w:p>
    <w:p w14:paraId="7C8DAD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主要功能</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算法的详细过程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用户的界面</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软件性能</w:t>
      </w:r>
    </w:p>
    <w:p w14:paraId="0BDB64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2DAFC3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算法的详细过程属于“详细设计”阶段的内容，不应出现在需求规格说明书（SRS）中。</w:t>
      </w:r>
    </w:p>
    <w:p w14:paraId="1DB63B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需求包括11个方面的内容,其中网络和操作系统的要求属于 ( )，如何隔离用户之间的数据属于 ( )，执行速度、相应时间及吞吐量属于 ( )，规定系统平均出错时间属于 ( )。</w:t>
      </w:r>
    </w:p>
    <w:p w14:paraId="182592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质量保证</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环境需求</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安全保密需求</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性能需求</w:t>
      </w:r>
    </w:p>
    <w:p w14:paraId="70C899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B、C、D、A</w:t>
      </w:r>
    </w:p>
    <w:p w14:paraId="7A1BBC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【解析】</w:t>
      </w:r>
    </w:p>
    <w:p w14:paraId="12370E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 网络和操作系统 -&gt; </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环境需求</w:t>
      </w:r>
    </w:p>
    <w:p w14:paraId="2996AE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 隔离用户数据 -&gt; </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安全保密需求</w:t>
      </w:r>
    </w:p>
    <w:p w14:paraId="195EBB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 速度、响应时间 -&gt; </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性能需求</w:t>
      </w:r>
    </w:p>
    <w:p w14:paraId="26EF59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 平均出错时间（可靠性） -&gt; </w:t>
      </w: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质量保证</w:t>
      </w:r>
    </w:p>
    <w:p w14:paraId="7840AF9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以下内容中, ( ) 应写入操作手册。</w:t>
      </w:r>
    </w:p>
    <w:p w14:paraId="2C34B6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描述系统对各种输入数据的处理方法</w:t>
      </w:r>
    </w:p>
    <w:p w14:paraId="401AE28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描述系统升级时厂商提供的服务</w:t>
      </w:r>
    </w:p>
    <w:p w14:paraId="35072B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描述系统处理过程的各个界面</w:t>
      </w:r>
    </w:p>
    <w:p w14:paraId="35BA53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说明系统各部分之间的接口关系</w:t>
      </w:r>
    </w:p>
    <w:p w14:paraId="0D9E08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4EDBCD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操作手册是给用户看的，需要说明输入什么数据、系统如何处理（从用户视角）、输出什么结果。B是合同内容，C是用户手册界面部分但A更核心，D是技术文档。注：本题通常选A，指引用户如何操作数据。</w:t>
      </w:r>
    </w:p>
    <w:p w14:paraId="6D0AC8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结构化分析方法以数据流图 ( ) 和加工说明等描述工具,即用直观的图和简洁的语言描述软件系统模型。</w:t>
      </w:r>
    </w:p>
    <w:p w14:paraId="4146F6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DFD图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PAD图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IPO 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数据字典</w:t>
      </w:r>
    </w:p>
    <w:p w14:paraId="4A06770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5C05E4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结构化分析的三大核心：数据流图（DFD）、数据字典（DD）、加工说明（PSpec）。</w:t>
      </w:r>
    </w:p>
    <w:p w14:paraId="12BBCD7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在软件工程中,高质量的文档标准是完整性、一致性和 ( )。</w:t>
      </w:r>
    </w:p>
    <w:p w14:paraId="138C6E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统一性</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安全性</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无二义性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组合性</w:t>
      </w:r>
    </w:p>
    <w:p w14:paraId="47DE926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7450D3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需求文档最关键的特性之一是无二义性（Unambiguous），即只有一种解释。</w:t>
      </w:r>
    </w:p>
    <w:p w14:paraId="3E57D94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需求分析是由系统分析师经了解用户的要求,认真细致地调研、分析，最终应建立目标系统的逻辑模型,并写出 ( )。</w:t>
      </w:r>
    </w:p>
    <w:p w14:paraId="2BAC3A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模块说明书</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软件需求规格说明书</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项目开发计划</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合同文档</w:t>
      </w:r>
    </w:p>
    <w:p w14:paraId="6D4BFA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843D7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需求分析阶段的最终产物是《软件需求规格说明书》（SRS）。</w:t>
      </w:r>
    </w:p>
    <w:p w14:paraId="79591B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结构化分析中，使用 ( ) 建立数据模型。</w:t>
      </w:r>
    </w:p>
    <w:p w14:paraId="3BFBEA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数据流图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实体关系图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用例图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系统流程图</w:t>
      </w:r>
    </w:p>
    <w:p w14:paraId="2F3C917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3720CC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结构化分析中，数据流图建立功能模型，实体关系图（ER图）建立数据模型，状态迁移图建立行为模型。</w:t>
      </w:r>
    </w:p>
    <w:p w14:paraId="6E82AA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第4章 统一建模语言 UML</w:t>
      </w:r>
    </w:p>
    <w:p w14:paraId="30FC24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UML的全称是 ( )。</w:t>
      </w:r>
    </w:p>
    <w:p w14:paraId="5316F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Unify Modeling Language</w:t>
      </w:r>
    </w:p>
    <w:p w14:paraId="6DE984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Unified Modeling Language</w:t>
      </w:r>
    </w:p>
    <w:p w14:paraId="2FA702A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Unified Model Language</w:t>
      </w:r>
    </w:p>
    <w:p w14:paraId="0613DA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Unified Making Language</w:t>
      </w:r>
    </w:p>
    <w:p w14:paraId="1B0AE5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384C45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UML即统一建模语言（Unified Modeling Language）。</w:t>
      </w:r>
    </w:p>
    <w:p w14:paraId="2D3925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参与者与用例之间的关系是 ( )。</w:t>
      </w:r>
    </w:p>
    <w:p w14:paraId="0DA531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包含关系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泛化关系</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关联关系</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扩展关系</w:t>
      </w:r>
    </w:p>
    <w:p w14:paraId="3F210B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760D4C4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参与者（Actor）与用例（Use Case）之间通常使用实线连接，表示关联关系（Association），即谁启动或参与了哪个用例。</w:t>
      </w:r>
    </w:p>
    <w:p w14:paraId="4206B6D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 ) 属于 UML的交互图。</w:t>
      </w:r>
    </w:p>
    <w:p w14:paraId="7D9A6B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活动图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实现图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状态图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顺序图</w:t>
      </w:r>
    </w:p>
    <w:p w14:paraId="7B7274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5B8CB0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交互图包括顺序图（Sequence Diagram）和通信图（Communication Diagram，也叫协作图）。活动图属于行为图，状态图属于行为图。</w:t>
      </w:r>
    </w:p>
    <w:p w14:paraId="155E1F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在UML顺序图中,通常从左到右排列各个对象,正确的顺序是 ( )。</w:t>
      </w:r>
    </w:p>
    <w:p w14:paraId="2A4BC79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执行者角色 -&gt; 控制类 -&gt; 用户接口 -&gt; 业务层 -&gt; 后台数据库</w:t>
      </w:r>
    </w:p>
    <w:p w14:paraId="727E02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执行者角色 -&gt; 用户接口 -&gt; 控制类 -&gt; 业务层 -&gt; 后台数据库</w:t>
      </w:r>
    </w:p>
    <w:p w14:paraId="1BE2FC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执行者角色 -&gt; 业务层 -&gt; 用户接口 -&gt; 控制类 -&gt; 后台数据库</w:t>
      </w:r>
    </w:p>
    <w:p w14:paraId="3815E6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执行者角色 -&gt; 用户接口 -&gt; 业务层 -&gt; 控制类 -&gt; 后台数据库</w:t>
      </w:r>
    </w:p>
    <w:p w14:paraId="1BFCC9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7EC7A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典型的交互顺序是：外部执行者 -&gt; 边界对象（用户接口） -&gt; 控制对象（逻辑处理） -&gt; 实体对象（业务数据/数据库）。</w:t>
      </w:r>
    </w:p>
    <w:p w14:paraId="65D55EB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在类图中 ( ) 关系表达总体与局部的关系。</w:t>
      </w:r>
    </w:p>
    <w:p w14:paraId="7ADB0D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泛化</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实现</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依赖</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聚合</w:t>
      </w:r>
    </w:p>
    <w:p w14:paraId="2274C6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0CBBB9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聚合（Aggregation）和组合（Composition）都表示整体与部分的关系。</w:t>
      </w:r>
    </w:p>
    <w:p w14:paraId="1A8D37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UML中的关联多重度是指 ( )</w:t>
      </w:r>
    </w:p>
    <w:p w14:paraId="260EEF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一个类有多个方法被另一个类调用</w:t>
      </w:r>
    </w:p>
    <w:p w14:paraId="4A2413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一个类的实体能够与另一个类的多个实例相关联</w:t>
      </w:r>
    </w:p>
    <w:p w14:paraId="31CEC79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一个类的某个方法被另一个类调用的次数</w:t>
      </w:r>
    </w:p>
    <w:p w14:paraId="2A46A7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两个类具有的系统的方法和属性</w:t>
      </w:r>
    </w:p>
    <w:p w14:paraId="67CA10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23BE39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多重度（Multiplicity）定义了某个类的一个实例可以与另一个类的多少个实例建立连接（如1对1，1对多）。</w:t>
      </w:r>
    </w:p>
    <w:p w14:paraId="364B44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UML提供了一系列的图用来支持面向对象的分析与设计，其中 ( ) 给出系统的静态设计视图; ( ) 对系统的行为进行组织建模是非常重要的; ( ) 和 ( ) 都是描述系统动态视图的交互图,其中 ( ) 描述了以时间顺序组织的对象之间的交互活动，( ) 强调收发消息的对象的组织结构。</w:t>
      </w:r>
    </w:p>
    <w:p w14:paraId="249C96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状态图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用例图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顺序图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部署图E. 协作图(通信图)F. 类图</w:t>
      </w:r>
    </w:p>
    <w:p w14:paraId="6DD6C0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F、B、C、E、C、E</w:t>
      </w:r>
    </w:p>
    <w:p w14:paraId="3AE40D4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静态设计视图 -&gt; F. 类图</w:t>
      </w:r>
    </w:p>
    <w:p w14:paraId="40AF4A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行为组织建模 -&gt; </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用例图</w:t>
      </w:r>
    </w:p>
    <w:p w14:paraId="6C7D9B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交互图 -&gt; </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顺序图 和 E. 协作图</w:t>
      </w:r>
    </w:p>
    <w:p w14:paraId="16F639D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时间顺序 -&gt; </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顺序图</w:t>
      </w:r>
    </w:p>
    <w:p w14:paraId="7F3F98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对象组织结构 -&gt; E. 协作图</w:t>
      </w:r>
    </w:p>
    <w:p w14:paraId="5B2204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第5章 面向对象分析与建模</w:t>
      </w:r>
    </w:p>
    <w:p w14:paraId="40967F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面向对象的主要特征除了唯一性、封装性、继承性外,还具有 ( )。</w:t>
      </w:r>
    </w:p>
    <w:p w14:paraId="32BD45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兼容性</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完整性</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移植性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多态性</w:t>
      </w:r>
    </w:p>
    <w:p w14:paraId="7722A6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35D906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面向对象四大基本特征：抽象、封装、继承、多态。</w:t>
      </w:r>
    </w:p>
    <w:p w14:paraId="02BA52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面向对象方法需要建立三种模型,分别是对象模型、动态模型和 ( )。</w:t>
      </w:r>
    </w:p>
    <w:p w14:paraId="2B889FF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信息模型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行为模型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功能模型</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控制模型</w:t>
      </w:r>
    </w:p>
    <w:p w14:paraId="7EBBD0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420A1B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基于OMT（对象建模技术）的方法，通常建立对象模型（核心）、动态模型（状态/交互）和功能模型（数据流/用例）。</w:t>
      </w:r>
    </w:p>
    <w:p w14:paraId="1F51D4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面向对象方法的要素是 ( )。</w:t>
      </w:r>
    </w:p>
    <w:p w14:paraId="53F0FEF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对象、类、数据类型和算法</w:t>
      </w:r>
    </w:p>
    <w:p w14:paraId="4B5785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对象、类、继承和消息</w:t>
      </w:r>
    </w:p>
    <w:p w14:paraId="4AE28C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对象、基类、派生类和继承</w:t>
      </w:r>
    </w:p>
    <w:p w14:paraId="4EE49B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对象、父类、子类和继承</w:t>
      </w:r>
    </w:p>
    <w:p w14:paraId="2B8266D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171EF9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这是一个经典定义题，面向对象方法学的四个基本要素是对象、类、继承和消息通信。</w:t>
      </w:r>
    </w:p>
    <w:p w14:paraId="3CC5E5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用“自底向上”方式建立继承关系是指 ( )。</w:t>
      </w:r>
    </w:p>
    <w:p w14:paraId="7E30EF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把现有类细化成更具体的子类</w:t>
      </w:r>
    </w:p>
    <w:p w14:paraId="17DEA7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从现有类泛化出更抽象的父类</w:t>
      </w:r>
    </w:p>
    <w:p w14:paraId="032382B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从较高层次推导出较低层次</w:t>
      </w:r>
    </w:p>
    <w:p w14:paraId="409FC8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从较低层次推导出较高层次</w:t>
      </w:r>
    </w:p>
    <w:p w14:paraId="154EB02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086638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自底向上是先发现具体的类，然后寻找它们的共性，抽象出父类（泛化）。自顶向下则是先定义抽象父类，再细化子类。</w:t>
      </w:r>
    </w:p>
    <w:p w14:paraId="29F81E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以下“机票预订系统”的相关类，( ) 属于控制类。</w:t>
      </w:r>
    </w:p>
    <w:p w14:paraId="7596C7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旅客类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航班类</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会员验证类</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订票操作界面</w:t>
      </w:r>
    </w:p>
    <w:p w14:paraId="5AA16F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6B2AFC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A和B是实体类（数据），D是边界类（界面），C负责逻辑判断和流程控制，属于控制类。</w:t>
      </w:r>
    </w:p>
    <w:p w14:paraId="58A807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面向对象分析的核心在于 ( )</w:t>
      </w:r>
    </w:p>
    <w:p w14:paraId="31ACD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建立正确的模型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识别问题域对象</w:t>
      </w:r>
    </w:p>
    <w:p w14:paraId="4C9583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识别对象间的关系</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确定功能</w:t>
      </w:r>
    </w:p>
    <w:p w14:paraId="0207E1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CFF97A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面向对象分析（OOA）的第一步也是最关键的一步是识别出问题域中的对象。</w:t>
      </w:r>
    </w:p>
    <w:p w14:paraId="6DEF143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UML不支持 ( ) 建模。</w:t>
      </w:r>
    </w:p>
    <w:p w14:paraId="79497B8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对象</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动态</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模块化</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功能</w:t>
      </w:r>
    </w:p>
    <w:p w14:paraId="60B3BD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519A93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注：这是一道比较老的理论题。 在传统结构化方法与面向对象方法的对比中，结构化强调“功能”建模（DFD），而UML强调对象和用例。虽然UML有用例图描述功能需求，但在“对象、动态、功能”这三个模型分类中，UML体系更侧重于前两者及架构，通常认为它不直接支持传统的“功能分解”建模方式。</w:t>
      </w:r>
    </w:p>
    <w:p w14:paraId="276503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 ) 可以用来绘制动态模型。</w:t>
      </w:r>
    </w:p>
    <w:p w14:paraId="3650C20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用例图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状态图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类图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部署图</w:t>
      </w:r>
    </w:p>
    <w:p w14:paraId="1AAF0DD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7A2083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状态图和顺序图用于描述系统的动态行为。类图和部署图是静态的。</w:t>
      </w:r>
    </w:p>
    <w:p w14:paraId="02B6C66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关于面向对象方法的优点,不正确的描述是 ( )。</w:t>
      </w:r>
    </w:p>
    <w:p w14:paraId="79DD39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与人类习惯的思维方法比较一致</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可重用性好</w:t>
      </w:r>
    </w:p>
    <w:p w14:paraId="402C57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可维护性好</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以数据为中心</w:t>
      </w:r>
    </w:p>
    <w:p w14:paraId="1D99AE0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77C8EC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面向对象是以“对象”为中心，将数据和操作封装在一起，而不是单纯的以数据为中心（那是数据库设计的视角）或以功能为中心。</w:t>
      </w:r>
    </w:p>
    <w:p w14:paraId="10ED37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在面向对象方法中,对象之间仅通过 ( ) 相联系</w:t>
      </w:r>
    </w:p>
    <w:p w14:paraId="2F441C3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抽象</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消息</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封装</w:t>
      </w:r>
    </w:p>
    <w:p w14:paraId="0D1832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0114837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对象之间通过发送消息（Message Passing）进行通信和交互。</w:t>
      </w:r>
    </w:p>
    <w:p w14:paraId="0147FBA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(11) 脚本与用例之间的关系类似于 ( ) 的关系</w:t>
      </w:r>
    </w:p>
    <w:p w14:paraId="2CA059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对象与类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参与者与用例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顺序图和抽象类</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消息和对象</w:t>
      </w:r>
    </w:p>
    <w:p w14:paraId="471779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59E2AC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用例（Use Case）是一个抽象的类（定义了一类交互），而脚本（Scenario）是用例的一个具体实例（一次具体的执行路径）。</w:t>
      </w:r>
    </w:p>
    <w:p w14:paraId="1C49A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(12) 面向对象分析阶段建立的3个模型中,核心模型是 ( )</w:t>
      </w:r>
    </w:p>
    <w:p w14:paraId="1EB30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对象模型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动态模型</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功能模型</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分析模型</w:t>
      </w:r>
    </w:p>
    <w:p w14:paraId="1EDE96E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6657B2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对象模型描述了系统的静态结构，是其他模型的基础，因此是核心。</w:t>
      </w:r>
    </w:p>
    <w:p w14:paraId="641D399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(13) ( ) 是从用户使用系统的角度描述系统功能的。</w:t>
      </w:r>
    </w:p>
    <w:p w14:paraId="50EE24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类图</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对象图</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顺序图</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用例图</w:t>
      </w:r>
    </w:p>
    <w:p w14:paraId="74AC39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27750F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用例图（Use Case Diagram）专门用于捕获用户需求，描述用户如何使用系统。</w:t>
      </w:r>
    </w:p>
    <w:p w14:paraId="419C71B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(14) ( ) 的描述是错误的。</w:t>
      </w:r>
    </w:p>
    <w:p w14:paraId="772CE4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面向对象分析和面向对象设计的定义没有明显区别</w:t>
      </w:r>
    </w:p>
    <w:p w14:paraId="7A227F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在实际的软件开发过程中,面向对象分析与面向对象设计的界限是模糊的</w:t>
      </w:r>
    </w:p>
    <w:p w14:paraId="0EFB95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面向对象分析和面向对象设计活动是一个多次反复迭代的过程</w:t>
      </w:r>
    </w:p>
    <w:p w14:paraId="4B1006A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从面向对象分析到面向对象设计,是一个逐渐扩充模型的过程</w:t>
      </w:r>
    </w:p>
    <w:p w14:paraId="24CB2E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2535509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OOA（分析）侧重于“做什么”，建立问题域模型；OOD（设计）侧重于“怎么做”，建立解空间模型。两者的定义和目标是有明显区别的，尽管在过程中界限可能模糊。</w:t>
      </w:r>
    </w:p>
    <w:p w14:paraId="59D2F9E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(15) 水果类和苹果类之间的关系是 ( )。</w:t>
      </w:r>
    </w:p>
    <w:p w14:paraId="55046B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整体和部分</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一般和具体</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共性和个性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多数和少数</w:t>
      </w:r>
    </w:p>
    <w:p w14:paraId="6AA4765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34A52B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苹果是水果的一种，属于继承关系（一般与特殊/具体）。</w:t>
      </w:r>
    </w:p>
    <w:p w14:paraId="4B143F3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综合练习题（填空、连线、判断）</w:t>
      </w:r>
    </w:p>
    <w:p w14:paraId="203043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填空题</w:t>
      </w:r>
    </w:p>
    <w:p w14:paraId="07D0ED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软件生命周期可划分为</w:t>
      </w:r>
      <w:r>
        <w:rPr>
          <w:rFonts w:hint="eastAsia" w:asciiTheme="minorEastAsia" w:hAnsiTheme="minorEastAsia" w:eastAsiaTheme="minorEastAsia" w:cstheme="minorEastAsia"/>
          <w:b w:val="0"/>
          <w:bCs w:val="0"/>
          <w:sz w:val="18"/>
          <w:szCs w:val="18"/>
          <w:u w:val="single"/>
        </w:rPr>
        <w:t xml:space="preserve"> 定义、开发 和 维护</w:t>
      </w:r>
      <w:r>
        <w:rPr>
          <w:rFonts w:hint="eastAsia" w:asciiTheme="minorEastAsia" w:hAnsiTheme="minorEastAsia" w:eastAsiaTheme="minorEastAsia" w:cstheme="minorEastAsia"/>
          <w:b w:val="0"/>
          <w:bCs w:val="0"/>
          <w:sz w:val="18"/>
          <w:szCs w:val="18"/>
        </w:rPr>
        <w:t xml:space="preserve"> 三个时期，通常把这三个时期再细分为8个阶段,它们是</w:t>
      </w:r>
      <w:r>
        <w:rPr>
          <w:rFonts w:hint="eastAsia" w:asciiTheme="minorEastAsia" w:hAnsiTheme="minorEastAsia" w:eastAsiaTheme="minorEastAsia" w:cstheme="minorEastAsia"/>
          <w:b w:val="0"/>
          <w:bCs w:val="0"/>
          <w:sz w:val="18"/>
          <w:szCs w:val="18"/>
          <w:u w:val="single"/>
        </w:rPr>
        <w:t xml:space="preserve"> 问题定义、可行性研究、需求分析、总体设计、详细设计、编码、测试、和 维护</w:t>
      </w:r>
      <w:r>
        <w:rPr>
          <w:rFonts w:hint="eastAsia" w:asciiTheme="minorEastAsia" w:hAnsiTheme="minorEastAsia" w:eastAsiaTheme="minorEastAsia" w:cstheme="minorEastAsia"/>
          <w:b w:val="0"/>
          <w:bCs w:val="0"/>
          <w:sz w:val="18"/>
          <w:szCs w:val="18"/>
        </w:rPr>
        <w:t>，其中</w:t>
      </w:r>
      <w:r>
        <w:rPr>
          <w:rFonts w:hint="eastAsia" w:asciiTheme="minorEastAsia" w:hAnsiTheme="minorEastAsia" w:eastAsiaTheme="minorEastAsia" w:cstheme="minorEastAsia"/>
          <w:b w:val="0"/>
          <w:bCs w:val="0"/>
          <w:sz w:val="18"/>
          <w:szCs w:val="18"/>
          <w:u w:val="single"/>
        </w:rPr>
        <w:t xml:space="preserve"> 维护 </w:t>
      </w:r>
      <w:r>
        <w:rPr>
          <w:rFonts w:hint="eastAsia" w:asciiTheme="minorEastAsia" w:hAnsiTheme="minorEastAsia" w:eastAsiaTheme="minorEastAsia" w:cstheme="minorEastAsia"/>
          <w:b w:val="0"/>
          <w:bCs w:val="0"/>
          <w:sz w:val="18"/>
          <w:szCs w:val="18"/>
        </w:rPr>
        <w:t>阶段的工作量是8个阶段中最大的。</w:t>
      </w:r>
    </w:p>
    <w:p w14:paraId="6BB66A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可行性研究的任务是从 技术、经济、和 操作 三个方面研究 可行性。</w:t>
      </w:r>
    </w:p>
    <w:p w14:paraId="258FB19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至少应该从</w:t>
      </w:r>
      <w:r>
        <w:rPr>
          <w:rFonts w:hint="eastAsia" w:asciiTheme="minorEastAsia" w:hAnsiTheme="minorEastAsia" w:eastAsiaTheme="minorEastAsia" w:cstheme="minorEastAsia"/>
          <w:b w:val="0"/>
          <w:bCs w:val="0"/>
          <w:sz w:val="18"/>
          <w:szCs w:val="18"/>
          <w:u w:val="single"/>
        </w:rPr>
        <w:t xml:space="preserve"> 一致性、完整性、现实性 和 有效性 </w:t>
      </w:r>
      <w:r>
        <w:rPr>
          <w:rFonts w:hint="eastAsia" w:asciiTheme="minorEastAsia" w:hAnsiTheme="minorEastAsia" w:eastAsiaTheme="minorEastAsia" w:cstheme="minorEastAsia"/>
          <w:b w:val="0"/>
          <w:bCs w:val="0"/>
          <w:sz w:val="18"/>
          <w:szCs w:val="18"/>
        </w:rPr>
        <w:t>四个方面验证软件需求的正确性,其中</w:t>
      </w:r>
      <w:r>
        <w:rPr>
          <w:rFonts w:hint="eastAsia" w:asciiTheme="minorEastAsia" w:hAnsiTheme="minorEastAsia" w:eastAsiaTheme="minorEastAsia" w:cstheme="minorEastAsia"/>
          <w:b w:val="0"/>
          <w:bCs w:val="0"/>
          <w:sz w:val="18"/>
          <w:szCs w:val="18"/>
          <w:u w:val="single"/>
        </w:rPr>
        <w:t xml:space="preserve"> 现实性 和 有效性 </w:t>
      </w:r>
      <w:r>
        <w:rPr>
          <w:rFonts w:hint="eastAsia" w:asciiTheme="minorEastAsia" w:hAnsiTheme="minorEastAsia" w:eastAsiaTheme="minorEastAsia" w:cstheme="minorEastAsia"/>
          <w:b w:val="0"/>
          <w:bCs w:val="0"/>
          <w:sz w:val="18"/>
          <w:szCs w:val="18"/>
        </w:rPr>
        <w:t>这两个方面的正确性必须有用户的积极参与才能验证,而且为了验证这两个方面的正确性往往需要开发</w:t>
      </w:r>
      <w:r>
        <w:rPr>
          <w:rFonts w:hint="eastAsia" w:asciiTheme="minorEastAsia" w:hAnsiTheme="minorEastAsia" w:eastAsiaTheme="minorEastAsia" w:cstheme="minorEastAsia"/>
          <w:b w:val="0"/>
          <w:bCs w:val="0"/>
          <w:sz w:val="18"/>
          <w:szCs w:val="18"/>
          <w:u w:val="single"/>
        </w:rPr>
        <w:t xml:space="preserve"> 原型</w:t>
      </w:r>
      <w:r>
        <w:rPr>
          <w:rFonts w:hint="eastAsia" w:asciiTheme="minorEastAsia" w:hAnsiTheme="minorEastAsia" w:eastAsiaTheme="minorEastAsia" w:cstheme="minorEastAsia"/>
          <w:b w:val="0"/>
          <w:bCs w:val="0"/>
          <w:sz w:val="18"/>
          <w:szCs w:val="18"/>
        </w:rPr>
        <w:t>。</w:t>
      </w:r>
    </w:p>
    <w:p w14:paraId="432B5E2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软件总体设计时应该遵循</w:t>
      </w:r>
      <w:r>
        <w:rPr>
          <w:rFonts w:hint="eastAsia" w:asciiTheme="minorEastAsia" w:hAnsiTheme="minorEastAsia" w:eastAsiaTheme="minorEastAsia" w:cstheme="minorEastAsia"/>
          <w:b w:val="0"/>
          <w:bCs w:val="0"/>
          <w:sz w:val="18"/>
          <w:szCs w:val="18"/>
          <w:u w:val="single"/>
        </w:rPr>
        <w:t xml:space="preserve"> 抽象、信息隐蔽、模块化、局部化、确定性、和 一致性 </w:t>
      </w:r>
      <w:r>
        <w:rPr>
          <w:rFonts w:hint="eastAsia" w:asciiTheme="minorEastAsia" w:hAnsiTheme="minorEastAsia" w:eastAsiaTheme="minorEastAsia" w:cstheme="minorEastAsia"/>
          <w:b w:val="0"/>
          <w:bCs w:val="0"/>
          <w:sz w:val="18"/>
          <w:szCs w:val="18"/>
        </w:rPr>
        <w:t>6条基本原理。详细设计通常以</w:t>
      </w:r>
      <w:r>
        <w:rPr>
          <w:rFonts w:hint="eastAsia" w:asciiTheme="minorEastAsia" w:hAnsiTheme="minorEastAsia" w:eastAsiaTheme="minorEastAsia" w:cstheme="minorEastAsia"/>
          <w:b w:val="0"/>
          <w:bCs w:val="0"/>
          <w:sz w:val="18"/>
          <w:szCs w:val="18"/>
          <w:u w:val="single"/>
        </w:rPr>
        <w:t xml:space="preserve"> 结构化程序设计 </w:t>
      </w:r>
      <w:r>
        <w:rPr>
          <w:rFonts w:hint="eastAsia" w:asciiTheme="minorEastAsia" w:hAnsiTheme="minorEastAsia" w:eastAsiaTheme="minorEastAsia" w:cstheme="minorEastAsia"/>
          <w:b w:val="0"/>
          <w:bCs w:val="0"/>
          <w:sz w:val="18"/>
          <w:szCs w:val="18"/>
        </w:rPr>
        <w:t>技术为逻辑基础,因为从软件工程观点看，</w:t>
      </w:r>
      <w:r>
        <w:rPr>
          <w:rFonts w:hint="eastAsia" w:asciiTheme="minorEastAsia" w:hAnsiTheme="minorEastAsia" w:eastAsiaTheme="minorEastAsia" w:cstheme="minorEastAsia"/>
          <w:b w:val="0"/>
          <w:bCs w:val="0"/>
          <w:sz w:val="18"/>
          <w:szCs w:val="18"/>
          <w:u w:val="single"/>
        </w:rPr>
        <w:t xml:space="preserve">可维护性 </w:t>
      </w:r>
      <w:r>
        <w:rPr>
          <w:rFonts w:hint="eastAsia" w:asciiTheme="minorEastAsia" w:hAnsiTheme="minorEastAsia" w:eastAsiaTheme="minorEastAsia" w:cstheme="minorEastAsia"/>
          <w:b w:val="0"/>
          <w:bCs w:val="0"/>
          <w:sz w:val="18"/>
          <w:szCs w:val="18"/>
        </w:rPr>
        <w:t>是软件最重要的质量标准之一。</w:t>
      </w:r>
    </w:p>
    <w:p w14:paraId="5836ADC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软件测试的目的是</w:t>
      </w:r>
      <w:r>
        <w:rPr>
          <w:rFonts w:hint="eastAsia" w:asciiTheme="minorEastAsia" w:hAnsiTheme="minorEastAsia" w:eastAsiaTheme="minorEastAsia" w:cstheme="minorEastAsia"/>
          <w:b w:val="0"/>
          <w:bCs w:val="0"/>
          <w:sz w:val="18"/>
          <w:szCs w:val="18"/>
          <w:u w:val="single"/>
        </w:rPr>
        <w:t>发现错误</w:t>
      </w:r>
      <w:r>
        <w:rPr>
          <w:rFonts w:hint="eastAsia" w:asciiTheme="minorEastAsia" w:hAnsiTheme="minorEastAsia" w:eastAsiaTheme="minorEastAsia" w:cstheme="minorEastAsia"/>
          <w:b w:val="0"/>
          <w:bCs w:val="0"/>
          <w:sz w:val="18"/>
          <w:szCs w:val="18"/>
        </w:rPr>
        <w:t>，通常把测试方法分为</w:t>
      </w:r>
      <w:r>
        <w:rPr>
          <w:rFonts w:hint="eastAsia" w:asciiTheme="minorEastAsia" w:hAnsiTheme="minorEastAsia" w:eastAsiaTheme="minorEastAsia" w:cstheme="minorEastAsia"/>
          <w:b w:val="0"/>
          <w:bCs w:val="0"/>
          <w:sz w:val="18"/>
          <w:szCs w:val="18"/>
          <w:u w:val="single"/>
        </w:rPr>
        <w:t xml:space="preserve"> 黑盒 </w:t>
      </w:r>
      <w:r>
        <w:rPr>
          <w:rFonts w:hint="eastAsia" w:asciiTheme="minorEastAsia" w:hAnsiTheme="minorEastAsia" w:eastAsiaTheme="minorEastAsia" w:cstheme="minorEastAsia"/>
          <w:b w:val="0"/>
          <w:bCs w:val="0"/>
          <w:sz w:val="18"/>
          <w:szCs w:val="18"/>
          <w:u w:val="single"/>
          <w:lang w:val="en-US" w:eastAsia="zh-CN"/>
        </w:rPr>
        <w:t>和</w:t>
      </w:r>
      <w:r>
        <w:rPr>
          <w:rFonts w:hint="eastAsia" w:asciiTheme="minorEastAsia" w:hAnsiTheme="minorEastAsia" w:eastAsiaTheme="minorEastAsia" w:cstheme="minorEastAsia"/>
          <w:b w:val="0"/>
          <w:bCs w:val="0"/>
          <w:sz w:val="18"/>
          <w:szCs w:val="18"/>
          <w:u w:val="single"/>
        </w:rPr>
        <w:t xml:space="preserve">白盒 </w:t>
      </w:r>
      <w:r>
        <w:rPr>
          <w:rFonts w:hint="eastAsia" w:asciiTheme="minorEastAsia" w:hAnsiTheme="minorEastAsia" w:eastAsiaTheme="minorEastAsia" w:cstheme="minorEastAsia"/>
          <w:b w:val="0"/>
          <w:bCs w:val="0"/>
          <w:sz w:val="18"/>
          <w:szCs w:val="18"/>
        </w:rPr>
        <w:t>两大类。因为通常不可能做到</w:t>
      </w:r>
      <w:r>
        <w:rPr>
          <w:rFonts w:hint="eastAsia" w:asciiTheme="minorEastAsia" w:hAnsiTheme="minorEastAsia" w:eastAsiaTheme="minorEastAsia" w:cstheme="minorEastAsia"/>
          <w:b w:val="0"/>
          <w:bCs w:val="0"/>
          <w:sz w:val="18"/>
          <w:szCs w:val="18"/>
          <w:u w:val="single"/>
        </w:rPr>
        <w:t xml:space="preserve"> 穷举测试</w:t>
      </w:r>
      <w:r>
        <w:rPr>
          <w:rFonts w:hint="eastAsia" w:asciiTheme="minorEastAsia" w:hAnsiTheme="minorEastAsia" w:eastAsiaTheme="minorEastAsia" w:cstheme="minorEastAsia"/>
          <w:b w:val="0"/>
          <w:bCs w:val="0"/>
          <w:sz w:val="18"/>
          <w:szCs w:val="18"/>
        </w:rPr>
        <w:t>，所以精心设计</w:t>
      </w:r>
      <w:r>
        <w:rPr>
          <w:rFonts w:hint="eastAsia" w:asciiTheme="minorEastAsia" w:hAnsiTheme="minorEastAsia" w:eastAsiaTheme="minorEastAsia" w:cstheme="minorEastAsia"/>
          <w:b w:val="0"/>
          <w:bCs w:val="0"/>
          <w:sz w:val="18"/>
          <w:szCs w:val="18"/>
          <w:u w:val="single"/>
        </w:rPr>
        <w:t xml:space="preserve"> 测试用例 </w:t>
      </w:r>
      <w:r>
        <w:rPr>
          <w:rFonts w:hint="eastAsia" w:asciiTheme="minorEastAsia" w:hAnsiTheme="minorEastAsia" w:eastAsiaTheme="minorEastAsia" w:cstheme="minorEastAsia"/>
          <w:b w:val="0"/>
          <w:bCs w:val="0"/>
          <w:sz w:val="18"/>
          <w:szCs w:val="18"/>
        </w:rPr>
        <w:t>是保证达到测试目的所必需的。</w:t>
      </w:r>
    </w:p>
    <w:p w14:paraId="066A19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面向对象方法用</w:t>
      </w:r>
      <w:r>
        <w:rPr>
          <w:rFonts w:hint="eastAsia" w:asciiTheme="minorEastAsia" w:hAnsiTheme="minorEastAsia" w:eastAsiaTheme="minorEastAsia" w:cstheme="minorEastAsia"/>
          <w:b w:val="0"/>
          <w:bCs w:val="0"/>
          <w:sz w:val="18"/>
          <w:szCs w:val="18"/>
          <w:u w:val="single"/>
        </w:rPr>
        <w:t xml:space="preserve"> 对象 </w:t>
      </w:r>
      <w:r>
        <w:rPr>
          <w:rFonts w:hint="eastAsia" w:asciiTheme="minorEastAsia" w:hAnsiTheme="minorEastAsia" w:eastAsiaTheme="minorEastAsia" w:cstheme="minorEastAsia"/>
          <w:b w:val="0"/>
          <w:bCs w:val="0"/>
          <w:sz w:val="18"/>
          <w:szCs w:val="18"/>
        </w:rPr>
        <w:t>分解取代了传统方法的</w:t>
      </w:r>
      <w:r>
        <w:rPr>
          <w:rFonts w:hint="eastAsia" w:asciiTheme="minorEastAsia" w:hAnsiTheme="minorEastAsia" w:eastAsiaTheme="minorEastAsia" w:cstheme="minorEastAsia"/>
          <w:b w:val="0"/>
          <w:bCs w:val="0"/>
          <w:sz w:val="18"/>
          <w:szCs w:val="18"/>
          <w:u w:val="single"/>
        </w:rPr>
        <w:t xml:space="preserve"> 功能 </w:t>
      </w:r>
      <w:r>
        <w:rPr>
          <w:rFonts w:hint="eastAsia" w:asciiTheme="minorEastAsia" w:hAnsiTheme="minorEastAsia" w:eastAsiaTheme="minorEastAsia" w:cstheme="minorEastAsia"/>
          <w:b w:val="0"/>
          <w:bCs w:val="0"/>
          <w:sz w:val="18"/>
          <w:szCs w:val="18"/>
        </w:rPr>
        <w:t>分解。</w:t>
      </w:r>
    </w:p>
    <w:p w14:paraId="35C4AC8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在面向对象的软件中，</w:t>
      </w:r>
      <w:r>
        <w:rPr>
          <w:rFonts w:hint="eastAsia" w:asciiTheme="minorEastAsia" w:hAnsiTheme="minorEastAsia" w:eastAsiaTheme="minorEastAsia" w:cstheme="minorEastAsia"/>
          <w:b w:val="0"/>
          <w:bCs w:val="0"/>
          <w:sz w:val="18"/>
          <w:szCs w:val="18"/>
          <w:u w:val="single"/>
        </w:rPr>
        <w:t xml:space="preserve">类 </w:t>
      </w:r>
      <w:r>
        <w:rPr>
          <w:rFonts w:hint="eastAsia" w:asciiTheme="minorEastAsia" w:hAnsiTheme="minorEastAsia" w:eastAsiaTheme="minorEastAsia" w:cstheme="minorEastAsia"/>
          <w:b w:val="0"/>
          <w:bCs w:val="0"/>
          <w:sz w:val="18"/>
          <w:szCs w:val="18"/>
        </w:rPr>
        <w:t xml:space="preserve">是对具有相同数据和相同操作的一组相似对象的定义; </w:t>
      </w:r>
      <w:r>
        <w:rPr>
          <w:rFonts w:hint="eastAsia" w:asciiTheme="minorEastAsia" w:hAnsiTheme="minorEastAsia" w:eastAsiaTheme="minorEastAsia" w:cstheme="minorEastAsia"/>
          <w:b w:val="0"/>
          <w:bCs w:val="0"/>
          <w:sz w:val="18"/>
          <w:szCs w:val="18"/>
          <w:u w:val="single"/>
        </w:rPr>
        <w:t xml:space="preserve">实例(对象) </w:t>
      </w:r>
      <w:r>
        <w:rPr>
          <w:rFonts w:hint="eastAsia" w:asciiTheme="minorEastAsia" w:hAnsiTheme="minorEastAsia" w:eastAsiaTheme="minorEastAsia" w:cstheme="minorEastAsia"/>
          <w:b w:val="0"/>
          <w:bCs w:val="0"/>
          <w:sz w:val="18"/>
          <w:szCs w:val="18"/>
        </w:rPr>
        <w:t>是由某个特定的类所描述的一个具体对象。</w:t>
      </w:r>
    </w:p>
    <w:p w14:paraId="492D8E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项目的十大管理分别为</w:t>
      </w:r>
      <w:r>
        <w:rPr>
          <w:rFonts w:hint="eastAsia" w:asciiTheme="minorEastAsia" w:hAnsiTheme="minorEastAsia" w:eastAsiaTheme="minorEastAsia" w:cstheme="minorEastAsia"/>
          <w:b w:val="0"/>
          <w:bCs w:val="0"/>
          <w:sz w:val="18"/>
          <w:szCs w:val="18"/>
          <w:u w:val="single"/>
        </w:rPr>
        <w:t xml:space="preserve"> 范围、进度、成本、质量、人力资源、沟通、风险、采购、干系人、和 整合</w:t>
      </w:r>
      <w:r>
        <w:rPr>
          <w:rFonts w:hint="eastAsia" w:asciiTheme="minorEastAsia" w:hAnsiTheme="minorEastAsia" w:eastAsiaTheme="minorEastAsia" w:cstheme="minorEastAsia"/>
          <w:b w:val="0"/>
          <w:bCs w:val="0"/>
          <w:sz w:val="18"/>
          <w:szCs w:val="18"/>
        </w:rPr>
        <w:t>。</w:t>
      </w:r>
    </w:p>
    <w:p w14:paraId="250027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质量管理的三个子过程分别为</w:t>
      </w:r>
      <w:r>
        <w:rPr>
          <w:rFonts w:hint="eastAsia" w:asciiTheme="minorEastAsia" w:hAnsiTheme="minorEastAsia" w:eastAsiaTheme="minorEastAsia" w:cstheme="minorEastAsia"/>
          <w:b w:val="0"/>
          <w:bCs w:val="0"/>
          <w:sz w:val="18"/>
          <w:szCs w:val="18"/>
          <w:u w:val="single"/>
        </w:rPr>
        <w:t xml:space="preserve"> 质量策划、质量保证、和 质量控制</w:t>
      </w:r>
      <w:r>
        <w:rPr>
          <w:rFonts w:hint="eastAsia" w:asciiTheme="minorEastAsia" w:hAnsiTheme="minorEastAsia" w:eastAsiaTheme="minorEastAsia" w:cstheme="minorEastAsia"/>
          <w:b w:val="0"/>
          <w:bCs w:val="0"/>
          <w:sz w:val="18"/>
          <w:szCs w:val="18"/>
        </w:rPr>
        <w:t>。</w:t>
      </w:r>
    </w:p>
    <w:p w14:paraId="7381C65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关系判断 (继承、聚集或一般关联)</w:t>
      </w:r>
    </w:p>
    <w:p w14:paraId="693B75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小汽车——富康牌小汽车：继承 (一般-特殊)</w:t>
      </w:r>
    </w:p>
    <w:p w14:paraId="348062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人员——雇员：继承 (一般-特殊)</w:t>
      </w:r>
    </w:p>
    <w:p w14:paraId="104AFF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图书馆——期刊阅览室：聚集 (整体-部分)</w:t>
      </w:r>
    </w:p>
    <w:p w14:paraId="47CD88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书——图书馆馆员：关联 (管理关系)</w:t>
      </w:r>
    </w:p>
    <w:p w14:paraId="3BB02E7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小汽车——司机：关联 (驾驶关系)</w:t>
      </w:r>
    </w:p>
    <w:p w14:paraId="2073E9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读者——借出的书：关联 (借阅关系)</w:t>
      </w:r>
    </w:p>
    <w:p w14:paraId="0EDB68D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班级——学生：聚集 (整体-部分)</w:t>
      </w:r>
    </w:p>
    <w:p w14:paraId="5C4569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教师——教授：继承 (一般-特殊)</w:t>
      </w:r>
    </w:p>
    <w:p w14:paraId="67BCEB4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丈夫——妻子：关联 (配偶关系)</w:t>
      </w:r>
    </w:p>
    <w:p w14:paraId="2E5F973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列车——餐车：聚集 (整体-部分)</w:t>
      </w:r>
    </w:p>
    <w:p w14:paraId="1546A7F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判断是类还是实例</w:t>
      </w:r>
    </w:p>
    <w:p w14:paraId="091F0E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我的小汽车：实例</w:t>
      </w:r>
    </w:p>
    <w:p w14:paraId="07C0773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人员：类</w:t>
      </w:r>
    </w:p>
    <w:p w14:paraId="1AC156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王晓明：实例</w:t>
      </w:r>
    </w:p>
    <w:p w14:paraId="18B178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交通工具：类</w:t>
      </w:r>
    </w:p>
    <w:p w14:paraId="38C13E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教授：类</w:t>
      </w:r>
    </w:p>
    <w:p w14:paraId="390EEB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计算机系：实例 (作为具体的行政实体)</w:t>
      </w:r>
    </w:p>
    <w:p w14:paraId="51932B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中国工人：类</w:t>
      </w:r>
    </w:p>
    <w:p w14:paraId="5B1516D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清华大学学生：类</w:t>
      </w:r>
    </w:p>
    <w:p w14:paraId="721C98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日本国：实例</w:t>
      </w:r>
    </w:p>
    <w:p w14:paraId="4020D6A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喷气式战机：类</w:t>
      </w:r>
    </w:p>
    <w:p w14:paraId="136027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模块内聚度选择</w:t>
      </w:r>
    </w:p>
    <w:p w14:paraId="09BB13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一组语句在程序的多处出现,为了节省内存空间把这些语句放在一个模块中,该模块的内聚度是 ( E ) 的。</w:t>
      </w:r>
    </w:p>
    <w:p w14:paraId="2CFEB7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将几个逻辑上相似的成分放在一个模块中,该模块的内聚度是 ( G ) 的。</w:t>
      </w:r>
    </w:p>
    <w:p w14:paraId="0B31C4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模块中所有成分都使用共同的数据,该模块的内聚度是 ( C ) 的。</w:t>
      </w:r>
    </w:p>
    <w:p w14:paraId="155895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模块内某些成分的输出是另一些成分的输入,该模块的内聚度是 ( B ) 的。</w:t>
      </w:r>
    </w:p>
    <w:p w14:paraId="6D97ED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模块中所有成分结合起来完成单独一项任务,该模块的内聚度是 ( A ) 的。</w:t>
      </w:r>
    </w:p>
    <w:p w14:paraId="633E78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xml:space="preserve"> A.功能性; B.顺序性; C.通信性; D.过程性; E.偶然性; F.瞬时性; G.逻辑性。</w:t>
      </w:r>
    </w:p>
    <w:p w14:paraId="5FC68F7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维护性措施判断 (对/错)</w:t>
      </w:r>
    </w:p>
    <w:p w14:paraId="72E5E1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在进行需求分析时同时考虑维护问题。 (对)</w:t>
      </w:r>
    </w:p>
    <w:p w14:paraId="028D3F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完成测试后,为缩短源程序长度而删去程序中的注解。 (错)</w:t>
      </w:r>
    </w:p>
    <w:p w14:paraId="4FF1A8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尽可能在软件开发过程中保证各阶段文档的正确性。 (对)</w:t>
      </w:r>
    </w:p>
    <w:p w14:paraId="209D876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编码时尽可能使用全局变量。 (错)</w:t>
      </w:r>
    </w:p>
    <w:p w14:paraId="2C55AD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选择时间效率和空间效率尽可能高的算法。 (错)</w:t>
      </w:r>
    </w:p>
    <w:p w14:paraId="0B6DC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注：应优先考虑可读性和可维护性，除非有严格性能要求。</w:t>
      </w:r>
    </w:p>
    <w:p w14:paraId="36AA1D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尽可能利用硬件的特点以提高效率。 (错) —— 注：降低了移植性。</w:t>
      </w:r>
    </w:p>
    <w:p w14:paraId="3CDEA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重视程序结构的设计,使程序具有较好的层次结构。 (对)</w:t>
      </w:r>
    </w:p>
    <w:p w14:paraId="77E1736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使用维护工具或软件工程环境。 (对)</w:t>
      </w:r>
    </w:p>
    <w:p w14:paraId="4A4642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进行概要设计时尽量加强模块间的联系。 (错) —— 注：应追求低耦合。</w:t>
      </w:r>
    </w:p>
    <w:p w14:paraId="6C767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提高程序可读性,尽量使用高级语言编程。 (对)</w:t>
      </w:r>
    </w:p>
    <w:p w14:paraId="3353427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项目管理部分（选择题）</w:t>
      </w:r>
    </w:p>
    <w:p w14:paraId="5ACAB1A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关于变更工作程序的说法，不正确的是 ( )</w:t>
      </w:r>
    </w:p>
    <w:p w14:paraId="2750480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变更提出应当及时以正式方式进行，并留下书面记录</w:t>
      </w:r>
    </w:p>
    <w:p w14:paraId="71774F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变更初审的目的是对变更请求是否可行实现进行论证</w:t>
      </w:r>
    </w:p>
    <w:p w14:paraId="5C9AFD0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对于涉及项目变更和交付成果的变更应将项目进度和质量放在核心位置</w:t>
      </w:r>
    </w:p>
    <w:p w14:paraId="2500DA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如果变更在交付期调整，应该在变更确认时发布，而非交付前公布</w:t>
      </w:r>
    </w:p>
    <w:p w14:paraId="08ED090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438BC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变更控制的核心在于综合平衡（范围、进度、成本、质量等），而不是单纯将某两项放在核心位置而忽略其他影响。变更管理要求评估对所有项目目标的影响。</w:t>
      </w:r>
    </w:p>
    <w:p w14:paraId="5CF46A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关于迭代型和增量型生命周期的描述，错误的是 ( )</w:t>
      </w:r>
    </w:p>
    <w:p w14:paraId="347A69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迭代型生命周期中，项目范围通常在项目生命周期早期确定</w:t>
      </w:r>
    </w:p>
    <w:p w14:paraId="626E98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增量型生命周期通过在预定的时间区间内渐进产品功能的一系列迭代来产出可交付成果</w:t>
      </w:r>
    </w:p>
    <w:p w14:paraId="486C725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增量型生命周期中，只有在最后一次迭代之后，可交付成果具有了必要和足够的能力，才被视为完整的</w:t>
      </w:r>
    </w:p>
    <w:p w14:paraId="11988A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迭代型通过渐进地增加产品的功能来开发产品，而增量型是通过一系列的重复的循环活动来开发产品</w:t>
      </w:r>
    </w:p>
    <w:p w14:paraId="3DA0EE3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66973A6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选项D描述反了。迭代型是通过一系列重复的循环活动来开发产品（优化细节）；增量型是通过渐进地增加产品的功能来开发产品。</w:t>
      </w:r>
    </w:p>
    <w:p w14:paraId="62EBDA5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从项目、项目集、项目组合管理的目标来看，( ) 注重于开展“正确”的工作，即“做正确的事情”</w:t>
      </w:r>
    </w:p>
    <w:p w14:paraId="570478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项目集管理</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大项目管理</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单个项目管理</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项目组合管理</w:t>
      </w:r>
    </w:p>
    <w:p w14:paraId="3C052F3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0CDC3A6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项目组合管理（Portfolio Management）关注战略一致性，即“做正确的事”；项目管理关注“把事做正确”。</w:t>
      </w:r>
    </w:p>
    <w:p w14:paraId="02BB73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下列关于项目管理原则，说法不正确的是 ( )</w:t>
      </w:r>
    </w:p>
    <w:p w14:paraId="263C04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复杂性可能会在项目的任何时间出现</w:t>
      </w:r>
    </w:p>
    <w:p w14:paraId="104BD3E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项目团队需要持续反复地识别风险并积极应对</w:t>
      </w:r>
    </w:p>
    <w:p w14:paraId="2453BAA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聚焦于某项输出而非结果，有助于增强适应性</w:t>
      </w:r>
    </w:p>
    <w:p w14:paraId="569D68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变革具有挑战性，并非所有干系人都接受变革</w:t>
      </w:r>
    </w:p>
    <w:p w14:paraId="4E950E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357074E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项目管理原则强调聚焦于价值（结果），而不仅仅是输出（文档或产物）。聚焦于结果才能真正交付价值。</w:t>
      </w:r>
    </w:p>
    <w:p w14:paraId="520D69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(5) 下列不属于项目管理计划组件的是 ( )</w:t>
      </w:r>
    </w:p>
    <w:p w14:paraId="335DD65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范围基准</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质量管理计划</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项目生命周期</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工作绩效信息</w:t>
      </w:r>
    </w:p>
    <w:p w14:paraId="7C2D969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45BA93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工作绩效信息是执行过程中的输出数据（监控结果），不是计划文件。A、B、C都是计划的一部分。</w:t>
      </w:r>
    </w:p>
    <w:p w14:paraId="07906C0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(6) 项目范围基准内容不包括 ( )</w:t>
      </w:r>
    </w:p>
    <w:p w14:paraId="581D845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工作包</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规划包</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WBS</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范围管理计划</w:t>
      </w:r>
    </w:p>
    <w:p w14:paraId="2E0128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2FC0C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范围基准包括：项目范围说明书、WBS、WBS词典（工作包和规划包在WBS中）。范围管理计划是管理计划的子计划，不属于基准本身。</w:t>
      </w:r>
    </w:p>
    <w:p w14:paraId="3962FAA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(7) 关于名义小组方法的描述，以下错误的是 ( )</w:t>
      </w:r>
    </w:p>
    <w:p w14:paraId="6BAB532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名义小组方法是促进头脑风暴的一种技术，通过投票排列最有用的创意</w:t>
      </w:r>
    </w:p>
    <w:p w14:paraId="644C52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名义小组方法引导大家进行讨论，可能最终有多个共识的决策</w:t>
      </w:r>
    </w:p>
    <w:p w14:paraId="59106E6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名义小组方法会有多轮讨论，每轮投票后，都将清掉选票，得分最高者被选出</w:t>
      </w:r>
    </w:p>
    <w:p w14:paraId="351612C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名义小组方法是一种结构化的头脑风暴形式</w:t>
      </w:r>
    </w:p>
    <w:p w14:paraId="1BCCE0B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13CD1D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名义小组技术（Nominal Group Technique）通过投票对创意进行排序，通常旨在达成一个优先级的共识或选择，而不是为了保留“多个共识”。它的核心是排序和筛选。</w:t>
      </w:r>
    </w:p>
    <w:p w14:paraId="53AF150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(8) 关于WBS结构的描述，以下说法正确的是 ( )</w:t>
      </w:r>
    </w:p>
    <w:p w14:paraId="2DAE15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WBS必须是面向可交付成果的:为了达到里程碑，任何工作都只能进行1次</w:t>
      </w:r>
    </w:p>
    <w:p w14:paraId="774B044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WBS中的元素必须有人负责，可以由多人共同负责</w:t>
      </w:r>
    </w:p>
    <w:p w14:paraId="533488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WBS应该控制在4-7层，每个级别上的WBS将上一级的一个元素分解为4-6个新的元素</w:t>
      </w:r>
    </w:p>
    <w:p w14:paraId="3DDA96D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WBS的编制需要所有项目干系人的参与</w:t>
      </w:r>
    </w:p>
    <w:p w14:paraId="1967DCF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0992EF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WBS必须面向可交付成果。B错在通常一个元素由一个人负责（责任唯一性）；C错在层数没有绝对限制，视复杂度而定；D错在不需要“所有”干系人，主要是团队和关键干系人。</w:t>
      </w:r>
    </w:p>
    <w:p w14:paraId="66D0B30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(9) 下列关于项目成本估算的描述，不正确的是 ( )</w:t>
      </w:r>
    </w:p>
    <w:p w14:paraId="2F0AD9B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估算成本是对完成项目工作所需资源成本进行的近似估算的过程</w:t>
      </w:r>
    </w:p>
    <w:p w14:paraId="3E0CADF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成本估算不需要考虑风险，因为这些风险不是威胁就是机会，它们产生的影响趋于相互抵消</w:t>
      </w:r>
    </w:p>
    <w:p w14:paraId="7551E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完成一项活动所需资源具有一定的成本，成本估算就是对这些成本进行大体估算</w:t>
      </w:r>
    </w:p>
    <w:p w14:paraId="434AB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成本估算依据应该清晰、完整地说明估算是如何编制的</w:t>
      </w:r>
    </w:p>
    <w:p w14:paraId="6C8D5E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7FB6708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成本估算必须考虑风险，通常通过“应急储备”来应对已知风险。风险不会自动抵消。</w:t>
      </w:r>
    </w:p>
    <w:p w14:paraId="765CC34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(10) 关于规划资源管理，以下说法错误的是 ( )</w:t>
      </w:r>
    </w:p>
    <w:p w14:paraId="58DF59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资源规划用以识别和确定一种方法，以确保有足够的资源能够完成项目。</w:t>
      </w:r>
    </w:p>
    <w:p w14:paraId="5ABC07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项目资源可能包括团队成员、用品、材料、设备、服务和设施</w:t>
      </w:r>
    </w:p>
    <w:p w14:paraId="1519693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这些资源只能通过组织内部资产获得</w:t>
      </w:r>
    </w:p>
    <w:p w14:paraId="3C24A54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其他项目可能会在同一时间和地点竞争项目所需的资源</w:t>
      </w:r>
    </w:p>
    <w:p w14:paraId="2D5194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2A226B8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资源可以通过内部获取，也可以通过外部采购或租赁获得。</w:t>
      </w:r>
    </w:p>
    <w:p w14:paraId="671B11B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(11) 下列对于沟通方法的描述，正确的是 ( )</w:t>
      </w:r>
    </w:p>
    <w:p w14:paraId="3C37D0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人际关系沟通指的是个人之间交换信息，通常以电话的方式进行</w:t>
      </w:r>
    </w:p>
    <w:p w14:paraId="7B3220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小组沟通指的是在4-10名人员的小组内部展开</w:t>
      </w:r>
    </w:p>
    <w:p w14:paraId="57E0DA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公众沟通指的是多个演讲者面向一群人</w:t>
      </w:r>
    </w:p>
    <w:p w14:paraId="63B9CF6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网络和社交工具沟通指的是借助社交工具开展多对多的沟通</w:t>
      </w:r>
    </w:p>
    <w:p w14:paraId="0FA4CB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6454E60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现代项目管理中，网络和社交工具是重要的多对多沟通方式。A太片面，B人数限制不绝对，C通常指单个演讲者面向群体。</w:t>
      </w:r>
    </w:p>
    <w:p w14:paraId="1494BB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(12) 风险的相对性指的是 ( )</w:t>
      </w:r>
    </w:p>
    <w:p w14:paraId="78638C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风险可能带来损失也可能带来收益</w:t>
      </w:r>
    </w:p>
    <w:p w14:paraId="5DD24A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在项目的不同阶段有不同的风险</w:t>
      </w:r>
    </w:p>
    <w:p w14:paraId="56D4F0C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不同风险，采取不同的应对措施</w:t>
      </w:r>
    </w:p>
    <w:p w14:paraId="1EBD427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面对同样的风险，人们有不同的承受能力</w:t>
      </w:r>
    </w:p>
    <w:p w14:paraId="6DD732B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15C120F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相对性是指风险对于不同的主体（人或组织）有不同的影响和承受度。</w:t>
      </w:r>
    </w:p>
    <w:p w14:paraId="227F79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(13) ( ) 指的可以预见其发生，但是不可预见其后果的风险。这类风险导致的后果有时可能非常严重</w:t>
      </w:r>
    </w:p>
    <w:p w14:paraId="569610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客观风险</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可预测风险</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不可管理风险</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不可预测风险</w:t>
      </w:r>
    </w:p>
    <w:p w14:paraId="083A1A7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7AF4667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可预测风险是指能预见其发生（如人员离职、设备故障），但具体后果程度未知的风险。</w:t>
      </w:r>
    </w:p>
    <w:p w14:paraId="005002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(14) 风险多长时间后会影响一项或多项的项目目标，指的是风险的 ( )</w:t>
      </w:r>
    </w:p>
    <w:p w14:paraId="4E5F47E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紧迫性</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潜伏性</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连通性</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邻近性</w:t>
      </w:r>
    </w:p>
    <w:p w14:paraId="433891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4E0BDF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邻近性（Proximity）是指风险发生的时间距离现在的长短。</w:t>
      </w:r>
    </w:p>
    <w:p w14:paraId="2E1055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(15) 威胁应对策略中，( ) 可能适应于发生概率较高，且具有严重负面影响的高优先级威胁</w:t>
      </w:r>
    </w:p>
    <w:p w14:paraId="3FB103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转移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减轻</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上报</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规避</w:t>
      </w:r>
    </w:p>
    <w:p w14:paraId="649F1C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038B801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对于高概率、高影响的严重威胁，最理想的策略是规避（Avoid），即彻底消除风险源或改变计划以避开风险。</w:t>
      </w:r>
    </w:p>
    <w:p w14:paraId="3E6D527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(16) 为保护目标不受影响，需要采用延长进度或减少范围的方法这属于 ( )</w:t>
      </w:r>
    </w:p>
    <w:p w14:paraId="73C8725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转移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减轻</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上报</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规避</w:t>
      </w:r>
    </w:p>
    <w:p w14:paraId="3105BC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356A931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修改项目计划（如延长进度、缩小范围）来消除威胁，属于规避策略。</w:t>
      </w:r>
    </w:p>
    <w:p w14:paraId="3AB023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(17) 以下不属于常用的评标方法的是 ( )</w:t>
      </w:r>
    </w:p>
    <w:p w14:paraId="6273FE5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加权打分法</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筛选系统</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独立估算</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最低成本法</w:t>
      </w:r>
    </w:p>
    <w:p w14:paraId="0EF684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42B6C5E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独立估算（Independent Estimates）是采购过程中用来验证卖方报价合理性的工具，不是用来选择卖方的“评标方法”。</w:t>
      </w:r>
    </w:p>
    <w:p w14:paraId="4B78E9A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(18) 显示已准备就绪并可以开始(待办)的工作、正在进行和已完成的工作的工具是 ( )</w:t>
      </w:r>
    </w:p>
    <w:p w14:paraId="1595FA1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仪表盘</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大型可见图表</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任务板</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燃烧图</w:t>
      </w:r>
    </w:p>
    <w:p w14:paraId="3F3D532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24E2B85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任务板（Task Board）或看板（Kanban Board）典型地展示 To Do, Doing, Done。</w:t>
      </w:r>
    </w:p>
    <w:p w14:paraId="5E08D11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(19) 在项目收尾过程的移交过程相关描述，不正确 ( )</w:t>
      </w:r>
    </w:p>
    <w:p w14:paraId="6E2873A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项目经理需要依据项目立项管理文件、合同或协议中交付内容的规定，识别并整理向客户方移交的工作成果</w:t>
      </w:r>
    </w:p>
    <w:p w14:paraId="6B12EDB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项目经理需要依据上线发布或运维移交的相关规定，识别并整理向运维和支持团队移交的工作成果</w:t>
      </w:r>
    </w:p>
    <w:p w14:paraId="04B2F7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在项目收尾过程中，项目团队应归纳总结项目的过程资产和技术资产，提交组织更新至过程资产库</w:t>
      </w:r>
    </w:p>
    <w:p w14:paraId="05E37B0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在项目组织移交过程资产的时候，只需移交最终成果，无须提交过程成果</w:t>
      </w:r>
    </w:p>
    <w:p w14:paraId="47BF6B2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1A79036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项目收尾不仅要移交最终产品，还必须移交过程资产（如文档、记录、经验教训等）以供归档。</w:t>
      </w:r>
    </w:p>
    <w:p w14:paraId="3BFADE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(20) ( ) 不是规划阶段监理服务的基础活动</w:t>
      </w:r>
    </w:p>
    <w:p w14:paraId="1F257B3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协助业主单位构建信息系统架构</w:t>
      </w:r>
    </w:p>
    <w:p w14:paraId="352E33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可以为业主单位提供项目规划设计的相关服务，为业主单位决策提供依据</w:t>
      </w:r>
    </w:p>
    <w:p w14:paraId="606BD5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在业主单位授权下，参与业主单位招标前的准备工作，协助业主单位编制项目的工作计划</w:t>
      </w:r>
    </w:p>
    <w:p w14:paraId="0F05CE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协助业主单位策划招标方法，适时提出咨询意见</w:t>
      </w:r>
    </w:p>
    <w:p w14:paraId="687385D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0B13BEE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构建信息系统架构通常属于更早期的IT咨询或总体规划阶段，或者是由承建方设计，监理方负责审核，而不是监理方直接去构建。</w:t>
      </w:r>
    </w:p>
    <w:p w14:paraId="42B3304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(21) 以下不属于监理服务中的流程要素的是 ( )</w:t>
      </w:r>
    </w:p>
    <w:p w14:paraId="72A8BF8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项目管理体系</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质量管理体系</w:t>
      </w:r>
    </w:p>
    <w:p w14:paraId="3E28167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客户服务体系</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监理及其相关服务的制度和流程</w:t>
      </w:r>
    </w:p>
    <w:p w14:paraId="6BDC3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26116C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质量管理体系是监理单位内部的管理基础，不属于直接面向客户的“服务流程要素”。</w:t>
      </w:r>
    </w:p>
    <w:p w14:paraId="26942A6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(22) 关于监理机构，以下说法错误的是 ( )</w:t>
      </w:r>
    </w:p>
    <w:p w14:paraId="0F1E99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监理机构在处理监理合同规定的监理及相关服务后方可撤销</w:t>
      </w:r>
    </w:p>
    <w:p w14:paraId="59A1A8E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监理机构应该配备满足要求的监理及相关服务的工具等</w:t>
      </w:r>
    </w:p>
    <w:p w14:paraId="33EA4B8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监理机构的形式和规模，根据各种因素确定</w:t>
      </w:r>
    </w:p>
    <w:p w14:paraId="01DE592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监理机构自行准备办公设施，确保办公、交通、通信等设施便利</w:t>
      </w:r>
    </w:p>
    <w:p w14:paraId="10D2A5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D</w:t>
      </w:r>
    </w:p>
    <w:p w14:paraId="65E75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通常在监理合同中，业主方（甲方）会提供现场办公的基本设施（如办公室、网络等），而不是完全由监理机构自行准备。</w:t>
      </w:r>
    </w:p>
    <w:p w14:paraId="5534F5A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(23) 编写一份正式批准项目并授权项目经理在项目活动中使用组织资源的文件指的是以下哪个活动 ( )</w:t>
      </w:r>
    </w:p>
    <w:p w14:paraId="27145D4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制定项目章程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制定项目管理计划</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规划资源管理</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规划合同管理</w:t>
      </w:r>
    </w:p>
    <w:p w14:paraId="0FA67F3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0507EF2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这是《项目章程》的标准定义。</w:t>
      </w:r>
    </w:p>
    <w:p w14:paraId="745E35D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(24) 识别干系人活动定义是以下哪一项 ( )</w:t>
      </w:r>
    </w:p>
    <w:p w14:paraId="0DCA6FA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根据干系人的需求、期望、利益和对项目的潜在影响，制定项目干系人参与项目方法的过程</w:t>
      </w:r>
    </w:p>
    <w:p w14:paraId="762B1D5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分析和记录他们的利益、参与度、相互依赖性、影响力对项目成功的潜在影响的过程</w:t>
      </w:r>
    </w:p>
    <w:p w14:paraId="0B78B5B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与干系人进行沟通和协作以满足其需求和期望，处理问题，并促进干系人合理参与的过程</w:t>
      </w:r>
    </w:p>
    <w:p w14:paraId="0D111CE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监督项目干系人关系，并通过修订参与策略和计划来引导干系人合理参与项目的过程</w:t>
      </w:r>
    </w:p>
    <w:p w14:paraId="7BC40E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E92DB0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识别干系人的核心是“识别”并“分析记录”他们的信息。A是规划干系人参与，C是管理干系人参与，D是监督干系人参与。</w:t>
      </w:r>
    </w:p>
    <w:p w14:paraId="4D045B2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(25) 制定项目章程的活动时间是 ( )</w:t>
      </w:r>
    </w:p>
    <w:p w14:paraId="3448001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仅开展一次</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仅在项目的预定义点开展</w:t>
      </w:r>
    </w:p>
    <w:p w14:paraId="1FE072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仅开展一次或仅在项目的预定义点开展</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在整个项目期间持续开展</w:t>
      </w:r>
    </w:p>
    <w:p w14:paraId="44EEBD3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C</w:t>
      </w:r>
    </w:p>
    <w:p w14:paraId="4A931DD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根据PMBOK指南（第6版），制定项目章程通常是“仅开展一次或仅在项目的预定义点开展”。</w:t>
      </w:r>
    </w:p>
    <w:p w14:paraId="555220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(26) 定义、准备和协调项目计划的所有组成部分，并把它们整合为一份综合项目管理计划的过程指的是以下哪个活动 ( )</w:t>
      </w:r>
    </w:p>
    <w:p w14:paraId="56A45D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制定项目章程</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制定项目管理计划</w:t>
      </w:r>
    </w:p>
    <w:p w14:paraId="40F138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规划资源管理</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规划合同管理</w:t>
      </w:r>
    </w:p>
    <w:p w14:paraId="224B8FF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01CAFC7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整合所有子计划形成综合计划，即“制定项目管理计划”。</w:t>
      </w:r>
    </w:p>
    <w:p w14:paraId="7FC511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(27) 规划范围管理活动作用是以下哪一项 ( )</w:t>
      </w:r>
    </w:p>
    <w:p w14:paraId="26B5B39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在整个项目期间对如何管理项目范围提供指南和方向</w:t>
      </w:r>
    </w:p>
    <w:p w14:paraId="1C2FB4B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定义产品范围和项目范围奠定基础</w:t>
      </w:r>
    </w:p>
    <w:p w14:paraId="07CB302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描述产品、服务或成果的边界和验收标准</w:t>
      </w:r>
    </w:p>
    <w:p w14:paraId="4D9A1B1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为所要交付的内容提供架构</w:t>
      </w:r>
    </w:p>
    <w:p w14:paraId="4E7D484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64DC94C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所有的“规划XX管理”过程的主要作用都是提供“指南和方向”（即如何管理该领域）。</w:t>
      </w:r>
    </w:p>
    <w:p w14:paraId="76D2DD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(28) 为实现项目目标而领导和执行项目管理计划中所确定的工作，并实施已批准变更的过程指的是以下哪个活动 ( )</w:t>
      </w:r>
    </w:p>
    <w:p w14:paraId="14BB5B6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指导与管理项目工作</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制定项目管理计划</w:t>
      </w:r>
    </w:p>
    <w:p w14:paraId="04A20C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监控项目工作</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整体项目变更控制</w:t>
      </w:r>
    </w:p>
    <w:p w14:paraId="4199FF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A</w:t>
      </w:r>
    </w:p>
    <w:p w14:paraId="7856558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执行计划、实施变更，属于“指导与管理项目工作”。</w:t>
      </w:r>
    </w:p>
    <w:p w14:paraId="79386C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(29) ( ) 为了评估绩效，确保项目输出完整，正确且满足客户期望，而监督和记录质量管理活动执行结果的过程</w:t>
      </w:r>
    </w:p>
    <w:p w14:paraId="41A8CB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确认范围</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控制质量</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监控项目工作</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整体项目变更控制</w:t>
      </w:r>
    </w:p>
    <w:p w14:paraId="7DF22F2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07099BFA">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监督和记录质量活动结果，评估绩效，属于“控制质量”（Control Quality）。注意：确认范围侧重于“验收”，控制质量侧重于“正确性/核实”。</w:t>
      </w:r>
    </w:p>
    <w:p w14:paraId="1EB1EE2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(30) 使验收过程具有客观性，同时通过确认每个可交付成果来提高最终产品、服务或成果获得验收的可能性，这是 ( ) 活动的作用</w:t>
      </w:r>
    </w:p>
    <w:p w14:paraId="4EB1DA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A.</w:t>
      </w:r>
      <w:r>
        <w:rPr>
          <w:rFonts w:hint="eastAsia" w:asciiTheme="minorEastAsia" w:hAnsiTheme="minorEastAsia" w:eastAsiaTheme="minorEastAsia" w:cstheme="minorEastAsia"/>
          <w:b w:val="0"/>
          <w:bCs w:val="0"/>
          <w:sz w:val="18"/>
          <w:szCs w:val="18"/>
        </w:rPr>
        <w:t>规划范围管理</w:t>
      </w:r>
      <w:r>
        <w:rPr>
          <w:rFonts w:hint="eastAsia" w:asciiTheme="minorEastAsia" w:hAnsiTheme="minorEastAsia" w:eastAsiaTheme="minorEastAsia" w:cstheme="minorEastAsia"/>
          <w:b w:val="0"/>
          <w:bCs w:val="0"/>
          <w:sz w:val="18"/>
          <w:szCs w:val="18"/>
          <w:lang w:eastAsia="zh-CN"/>
        </w:rPr>
        <w:t>B.</w:t>
      </w:r>
      <w:r>
        <w:rPr>
          <w:rFonts w:hint="eastAsia" w:asciiTheme="minorEastAsia" w:hAnsiTheme="minorEastAsia" w:eastAsiaTheme="minorEastAsia" w:cstheme="minorEastAsia"/>
          <w:b w:val="0"/>
          <w:bCs w:val="0"/>
          <w:sz w:val="18"/>
          <w:szCs w:val="18"/>
        </w:rPr>
        <w:t>确认范围</w:t>
      </w:r>
      <w:r>
        <w:rPr>
          <w:rFonts w:hint="eastAsia" w:asciiTheme="minorEastAsia" w:hAnsiTheme="minorEastAsia" w:eastAsiaTheme="minorEastAsia" w:cstheme="minorEastAsia"/>
          <w:b w:val="0"/>
          <w:bCs w:val="0"/>
          <w:sz w:val="18"/>
          <w:szCs w:val="18"/>
          <w:lang w:val="en-US" w:eastAsia="zh-CN"/>
        </w:rPr>
        <w:t>C</w:t>
      </w:r>
      <w:r>
        <w:rPr>
          <w:rFonts w:hint="eastAsia" w:asciiTheme="minorEastAsia" w:hAnsiTheme="minorEastAsia" w:eastAsiaTheme="minorEastAsia" w:cstheme="minorEastAsia"/>
          <w:b w:val="0"/>
          <w:bCs w:val="0"/>
          <w:sz w:val="18"/>
          <w:szCs w:val="18"/>
          <w:lang w:eastAsia="zh-CN"/>
        </w:rPr>
        <w:t>.</w:t>
      </w:r>
      <w:r>
        <w:rPr>
          <w:rFonts w:hint="eastAsia" w:asciiTheme="minorEastAsia" w:hAnsiTheme="minorEastAsia" w:eastAsiaTheme="minorEastAsia" w:cstheme="minorEastAsia"/>
          <w:b w:val="0"/>
          <w:bCs w:val="0"/>
          <w:sz w:val="18"/>
          <w:szCs w:val="18"/>
        </w:rPr>
        <w:t>控制范围</w:t>
      </w:r>
      <w:r>
        <w:rPr>
          <w:rFonts w:hint="eastAsia" w:asciiTheme="minorEastAsia" w:hAnsiTheme="minorEastAsia" w:eastAsiaTheme="minorEastAsia" w:cstheme="minorEastAsia"/>
          <w:b w:val="0"/>
          <w:bCs w:val="0"/>
          <w:sz w:val="18"/>
          <w:szCs w:val="18"/>
          <w:lang w:eastAsia="zh-CN"/>
        </w:rPr>
        <w:t>D.</w:t>
      </w:r>
      <w:r>
        <w:rPr>
          <w:rFonts w:hint="eastAsia" w:asciiTheme="minorEastAsia" w:hAnsiTheme="minorEastAsia" w:eastAsiaTheme="minorEastAsia" w:cstheme="minorEastAsia"/>
          <w:b w:val="0"/>
          <w:bCs w:val="0"/>
          <w:sz w:val="18"/>
          <w:szCs w:val="18"/>
        </w:rPr>
        <w:t>控制成本</w:t>
      </w:r>
    </w:p>
    <w:p w14:paraId="00D2E04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答案：</w:t>
      </w:r>
      <w:r>
        <w:rPr>
          <w:rFonts w:hint="eastAsia" w:asciiTheme="minorEastAsia" w:hAnsiTheme="minorEastAsia" w:eastAsiaTheme="minorEastAsia" w:cstheme="minorEastAsia"/>
          <w:b w:val="0"/>
          <w:bCs w:val="0"/>
          <w:sz w:val="18"/>
          <w:szCs w:val="18"/>
        </w:rPr>
        <w:t>B</w:t>
      </w:r>
    </w:p>
    <w:p w14:paraId="5651FA8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eastAsia="zh-CN"/>
        </w:rPr>
        <w:t>解析：</w:t>
      </w:r>
      <w:r>
        <w:rPr>
          <w:rFonts w:hint="eastAsia" w:asciiTheme="minorEastAsia" w:hAnsiTheme="minorEastAsia" w:eastAsiaTheme="minorEastAsia" w:cstheme="minorEastAsia"/>
          <w:b w:val="0"/>
          <w:bCs w:val="0"/>
          <w:sz w:val="18"/>
          <w:szCs w:val="18"/>
        </w:rPr>
        <w:t>确认范围的主要作用是让客户验收可交付成果。</w:t>
      </w:r>
    </w:p>
    <w:p w14:paraId="1470706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计算与案例分析题</w:t>
      </w:r>
    </w:p>
    <w:p w14:paraId="00D650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案例 1：进度网络图与挣值分析</w:t>
      </w:r>
    </w:p>
    <w:p w14:paraId="2CB93182">
      <w:pPr>
        <w:keepNext w:val="0"/>
        <w:keepLines w:val="0"/>
        <w:pageBreakBefore w:val="0"/>
        <w:widowControl w:val="0"/>
        <w:kinsoku/>
        <w:wordWrap/>
        <w:overflowPunct/>
        <w:topLinePunct w:val="0"/>
        <w:autoSpaceDE/>
        <w:autoSpaceDN/>
        <w:bidi w:val="0"/>
        <w:adjustRightInd/>
        <w:snapToGrid/>
        <w:spacing w:line="240" w:lineRule="auto"/>
        <w:ind w:left="0" w:leftChars="0" w:firstLine="360" w:firstLineChars="20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项目经理根据甲方要求评估了项目的工期和成本。项目进行到20天的时候，项目经理对项目开展情况进行了评估。得到了活动实际花费成本(如下图)，此时A、B、C、D、F已经完工，E仅完成了1/2, G仅完成了2/3。H尚未开工。</w:t>
      </w:r>
    </w:p>
    <w:tbl>
      <w:tblPr>
        <w:tblStyle w:val="7"/>
        <w:tblW w:w="0" w:type="auto"/>
        <w:jc w:val="center"/>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Layout w:type="autofit"/>
        <w:tblCellMar>
          <w:top w:w="0" w:type="dxa"/>
          <w:left w:w="108" w:type="dxa"/>
          <w:bottom w:w="0" w:type="dxa"/>
          <w:right w:w="108" w:type="dxa"/>
        </w:tblCellMar>
      </w:tblPr>
      <w:tblGrid>
        <w:gridCol w:w="936"/>
        <w:gridCol w:w="846"/>
        <w:gridCol w:w="576"/>
        <w:gridCol w:w="936"/>
        <w:gridCol w:w="936"/>
        <w:gridCol w:w="936"/>
      </w:tblGrid>
      <w:tr w14:paraId="3DAFD97D">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349" w:hRule="atLeast"/>
          <w:jc w:val="center"/>
        </w:trPr>
        <w:tc>
          <w:tcPr>
            <w:tcW w:w="0" w:type="auto"/>
            <w:tcBorders>
              <w:top w:val="single" w:color="4BACC6" w:sz="4" w:space="0"/>
              <w:left w:val="single" w:color="4BACC6" w:sz="4" w:space="0"/>
              <w:bottom w:val="single" w:color="4BACC6" w:sz="4" w:space="0"/>
              <w:right w:val="nil"/>
            </w:tcBorders>
            <w:shd w:val="clear" w:color="auto" w:fill="4BACC6"/>
            <w:noWrap w:val="0"/>
            <w:vAlign w:val="center"/>
          </w:tcPr>
          <w:p w14:paraId="2F30D5AA">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工作代号</w:t>
            </w:r>
          </w:p>
        </w:tc>
        <w:tc>
          <w:tcPr>
            <w:tcW w:w="0" w:type="auto"/>
            <w:tcBorders>
              <w:top w:val="single" w:color="4BACC6" w:sz="4" w:space="0"/>
              <w:bottom w:val="single" w:color="4BACC6" w:sz="4" w:space="0"/>
              <w:right w:val="nil"/>
            </w:tcBorders>
            <w:shd w:val="clear" w:color="auto" w:fill="4BACC6"/>
            <w:noWrap w:val="0"/>
            <w:vAlign w:val="center"/>
          </w:tcPr>
          <w:p w14:paraId="3777BAF1">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紧前</w:t>
            </w:r>
          </w:p>
          <w:p w14:paraId="18304CAE">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工作</w:t>
            </w:r>
          </w:p>
        </w:tc>
        <w:tc>
          <w:tcPr>
            <w:tcW w:w="0" w:type="auto"/>
            <w:tcBorders>
              <w:top w:val="single" w:color="4BACC6" w:sz="4" w:space="0"/>
              <w:bottom w:val="single" w:color="4BACC6" w:sz="4" w:space="0"/>
              <w:right w:val="nil"/>
            </w:tcBorders>
            <w:shd w:val="clear" w:color="auto" w:fill="4BACC6"/>
            <w:noWrap w:val="0"/>
            <w:vAlign w:val="center"/>
          </w:tcPr>
          <w:p w14:paraId="2A09537B">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估算</w:t>
            </w:r>
          </w:p>
          <w:p w14:paraId="009146C0">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工期</w:t>
            </w:r>
          </w:p>
        </w:tc>
        <w:tc>
          <w:tcPr>
            <w:tcW w:w="0" w:type="auto"/>
            <w:tcBorders>
              <w:top w:val="single" w:color="4BACC6" w:sz="4" w:space="0"/>
              <w:bottom w:val="single" w:color="4BACC6" w:sz="4" w:space="0"/>
              <w:right w:val="nil"/>
            </w:tcBorders>
            <w:shd w:val="clear" w:color="auto" w:fill="4BACC6"/>
            <w:noWrap w:val="0"/>
            <w:vAlign w:val="center"/>
          </w:tcPr>
          <w:p w14:paraId="398EFAF4">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赶工1天</w:t>
            </w:r>
          </w:p>
          <w:p w14:paraId="22B16E99">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增加成本</w:t>
            </w:r>
          </w:p>
        </w:tc>
        <w:tc>
          <w:tcPr>
            <w:tcW w:w="0" w:type="auto"/>
            <w:tcBorders>
              <w:top w:val="single" w:color="4BACC6" w:sz="4" w:space="0"/>
              <w:bottom w:val="single" w:color="4BACC6" w:sz="4" w:space="0"/>
              <w:right w:val="nil"/>
            </w:tcBorders>
            <w:shd w:val="clear" w:color="auto" w:fill="4BACC6"/>
            <w:noWrap w:val="0"/>
            <w:vAlign w:val="center"/>
          </w:tcPr>
          <w:p w14:paraId="68B032A8">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计划成本</w:t>
            </w:r>
          </w:p>
        </w:tc>
        <w:tc>
          <w:tcPr>
            <w:tcW w:w="0" w:type="auto"/>
            <w:tcBorders>
              <w:top w:val="single" w:color="4BACC6" w:sz="4" w:space="0"/>
              <w:bottom w:val="single" w:color="4BACC6" w:sz="4" w:space="0"/>
              <w:right w:val="single" w:color="4BACC6" w:sz="4" w:space="0"/>
            </w:tcBorders>
            <w:shd w:val="clear" w:color="auto" w:fill="4BACC6"/>
            <w:noWrap w:val="0"/>
            <w:vAlign w:val="center"/>
          </w:tcPr>
          <w:p w14:paraId="624FAC76">
            <w:pPr>
              <w:spacing w:line="240" w:lineRule="auto"/>
              <w:ind w:firstLine="0" w:firstLineChars="0"/>
              <w:jc w:val="center"/>
              <w:rPr>
                <w:rFonts w:hint="eastAsia" w:asciiTheme="minorEastAsia" w:hAnsiTheme="minorEastAsia" w:eastAsiaTheme="minorEastAsia" w:cstheme="minorEastAsia"/>
                <w:b w:val="0"/>
                <w:bCs w:val="0"/>
                <w:color w:val="FFFFFF"/>
                <w:sz w:val="18"/>
                <w:szCs w:val="18"/>
                <w14:ligatures w14:val="none"/>
              </w:rPr>
            </w:pPr>
            <w:r>
              <w:rPr>
                <w:rFonts w:hint="eastAsia" w:asciiTheme="minorEastAsia" w:hAnsiTheme="minorEastAsia" w:eastAsiaTheme="minorEastAsia" w:cstheme="minorEastAsia"/>
                <w:b w:val="0"/>
                <w:bCs w:val="0"/>
                <w:color w:val="FFFFFF"/>
                <w:sz w:val="18"/>
                <w:szCs w:val="18"/>
                <w14:ligatures w14:val="none"/>
              </w:rPr>
              <w:t>实际成本</w:t>
            </w:r>
          </w:p>
        </w:tc>
      </w:tr>
      <w:tr w14:paraId="16452BFA">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308" w:hRule="atLeast"/>
          <w:jc w:val="center"/>
        </w:trPr>
        <w:tc>
          <w:tcPr>
            <w:tcW w:w="0" w:type="auto"/>
            <w:shd w:val="clear" w:color="auto" w:fill="DAEEF3"/>
            <w:noWrap w:val="0"/>
            <w:vAlign w:val="center"/>
          </w:tcPr>
          <w:p w14:paraId="2FC453F1">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A</w:t>
            </w:r>
          </w:p>
        </w:tc>
        <w:tc>
          <w:tcPr>
            <w:tcW w:w="0" w:type="auto"/>
            <w:shd w:val="clear" w:color="auto" w:fill="DAEEF3"/>
            <w:noWrap w:val="0"/>
            <w:vAlign w:val="center"/>
          </w:tcPr>
          <w:p w14:paraId="6573FBF0">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w:t>
            </w:r>
          </w:p>
        </w:tc>
        <w:tc>
          <w:tcPr>
            <w:tcW w:w="0" w:type="auto"/>
            <w:shd w:val="clear" w:color="auto" w:fill="DAEEF3"/>
            <w:noWrap w:val="0"/>
            <w:vAlign w:val="center"/>
          </w:tcPr>
          <w:p w14:paraId="672D8F8F">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5</w:t>
            </w:r>
          </w:p>
        </w:tc>
        <w:tc>
          <w:tcPr>
            <w:tcW w:w="0" w:type="auto"/>
            <w:shd w:val="clear" w:color="auto" w:fill="DAEEF3"/>
            <w:noWrap w:val="0"/>
            <w:vAlign w:val="center"/>
          </w:tcPr>
          <w:p w14:paraId="7BB02F9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2100</w:t>
            </w:r>
          </w:p>
        </w:tc>
        <w:tc>
          <w:tcPr>
            <w:tcW w:w="0" w:type="auto"/>
            <w:shd w:val="clear" w:color="auto" w:fill="DAEEF3"/>
            <w:noWrap w:val="0"/>
            <w:vAlign w:val="center"/>
          </w:tcPr>
          <w:p w14:paraId="5D6C1736">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5</w:t>
            </w:r>
          </w:p>
        </w:tc>
        <w:tc>
          <w:tcPr>
            <w:tcW w:w="0" w:type="auto"/>
            <w:shd w:val="clear" w:color="auto" w:fill="DAEEF3"/>
            <w:noWrap w:val="0"/>
            <w:vAlign w:val="center"/>
          </w:tcPr>
          <w:p w14:paraId="41E2879A">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r>
      <w:tr w14:paraId="31B6DA22">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319" w:hRule="atLeast"/>
          <w:jc w:val="center"/>
        </w:trPr>
        <w:tc>
          <w:tcPr>
            <w:tcW w:w="0" w:type="auto"/>
            <w:noWrap w:val="0"/>
            <w:vAlign w:val="center"/>
          </w:tcPr>
          <w:p w14:paraId="03E911AD">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B</w:t>
            </w:r>
          </w:p>
        </w:tc>
        <w:tc>
          <w:tcPr>
            <w:tcW w:w="0" w:type="auto"/>
            <w:noWrap w:val="0"/>
            <w:vAlign w:val="center"/>
          </w:tcPr>
          <w:p w14:paraId="78461863">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A</w:t>
            </w:r>
          </w:p>
        </w:tc>
        <w:tc>
          <w:tcPr>
            <w:tcW w:w="0" w:type="auto"/>
            <w:noWrap w:val="0"/>
            <w:vAlign w:val="center"/>
          </w:tcPr>
          <w:p w14:paraId="457BBEEF">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6</w:t>
            </w:r>
          </w:p>
        </w:tc>
        <w:tc>
          <w:tcPr>
            <w:tcW w:w="0" w:type="auto"/>
            <w:noWrap w:val="0"/>
            <w:vAlign w:val="center"/>
          </w:tcPr>
          <w:p w14:paraId="7CAB626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1000</w:t>
            </w:r>
          </w:p>
        </w:tc>
        <w:tc>
          <w:tcPr>
            <w:tcW w:w="0" w:type="auto"/>
            <w:noWrap w:val="0"/>
            <w:vAlign w:val="center"/>
          </w:tcPr>
          <w:p w14:paraId="3207FC81">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4</w:t>
            </w:r>
          </w:p>
        </w:tc>
        <w:tc>
          <w:tcPr>
            <w:tcW w:w="0" w:type="auto"/>
            <w:noWrap w:val="0"/>
            <w:vAlign w:val="center"/>
          </w:tcPr>
          <w:p w14:paraId="2110A1EF">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7</w:t>
            </w:r>
          </w:p>
        </w:tc>
      </w:tr>
      <w:tr w14:paraId="36E37A9E">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shd w:val="clear" w:color="auto" w:fill="DAEEF3"/>
            <w:noWrap w:val="0"/>
            <w:vAlign w:val="center"/>
          </w:tcPr>
          <w:p w14:paraId="79B8CF3C">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C</w:t>
            </w:r>
          </w:p>
        </w:tc>
        <w:tc>
          <w:tcPr>
            <w:tcW w:w="0" w:type="auto"/>
            <w:shd w:val="clear" w:color="auto" w:fill="DAEEF3"/>
            <w:noWrap w:val="0"/>
            <w:vAlign w:val="center"/>
          </w:tcPr>
          <w:p w14:paraId="5FA924C6">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A</w:t>
            </w:r>
          </w:p>
        </w:tc>
        <w:tc>
          <w:tcPr>
            <w:tcW w:w="0" w:type="auto"/>
            <w:shd w:val="clear" w:color="auto" w:fill="DAEEF3"/>
            <w:noWrap w:val="0"/>
            <w:vAlign w:val="center"/>
          </w:tcPr>
          <w:p w14:paraId="785562C4">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8</w:t>
            </w:r>
          </w:p>
        </w:tc>
        <w:tc>
          <w:tcPr>
            <w:tcW w:w="0" w:type="auto"/>
            <w:shd w:val="clear" w:color="auto" w:fill="DAEEF3"/>
            <w:noWrap w:val="0"/>
            <w:vAlign w:val="center"/>
          </w:tcPr>
          <w:p w14:paraId="44F15244">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2000</w:t>
            </w:r>
          </w:p>
        </w:tc>
        <w:tc>
          <w:tcPr>
            <w:tcW w:w="0" w:type="auto"/>
            <w:shd w:val="clear" w:color="auto" w:fill="DAEEF3"/>
            <w:noWrap w:val="0"/>
            <w:vAlign w:val="center"/>
          </w:tcPr>
          <w:p w14:paraId="13C3F2F6">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7</w:t>
            </w:r>
          </w:p>
        </w:tc>
        <w:tc>
          <w:tcPr>
            <w:tcW w:w="0" w:type="auto"/>
            <w:shd w:val="clear" w:color="auto" w:fill="DAEEF3"/>
            <w:noWrap w:val="0"/>
            <w:vAlign w:val="center"/>
          </w:tcPr>
          <w:p w14:paraId="0E1FDF1E">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5</w:t>
            </w:r>
          </w:p>
        </w:tc>
      </w:tr>
      <w:tr w14:paraId="3D2BC981">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noWrap w:val="0"/>
            <w:vAlign w:val="center"/>
          </w:tcPr>
          <w:p w14:paraId="38A05C3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D</w:t>
            </w:r>
          </w:p>
        </w:tc>
        <w:tc>
          <w:tcPr>
            <w:tcW w:w="0" w:type="auto"/>
            <w:noWrap w:val="0"/>
            <w:vAlign w:val="center"/>
          </w:tcPr>
          <w:p w14:paraId="608990CC">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B、C</w:t>
            </w:r>
          </w:p>
        </w:tc>
        <w:tc>
          <w:tcPr>
            <w:tcW w:w="0" w:type="auto"/>
            <w:noWrap w:val="0"/>
            <w:vAlign w:val="center"/>
          </w:tcPr>
          <w:p w14:paraId="065EAA2F">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7</w:t>
            </w:r>
          </w:p>
        </w:tc>
        <w:tc>
          <w:tcPr>
            <w:tcW w:w="0" w:type="auto"/>
            <w:noWrap w:val="0"/>
            <w:vAlign w:val="center"/>
          </w:tcPr>
          <w:p w14:paraId="4F7CF00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1800</w:t>
            </w:r>
          </w:p>
        </w:tc>
        <w:tc>
          <w:tcPr>
            <w:tcW w:w="0" w:type="auto"/>
            <w:noWrap w:val="0"/>
            <w:vAlign w:val="center"/>
          </w:tcPr>
          <w:p w14:paraId="63E3F919">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8</w:t>
            </w:r>
          </w:p>
        </w:tc>
        <w:tc>
          <w:tcPr>
            <w:tcW w:w="0" w:type="auto"/>
            <w:noWrap w:val="0"/>
            <w:vAlign w:val="center"/>
          </w:tcPr>
          <w:p w14:paraId="636D039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r>
      <w:tr w14:paraId="66280A8A">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shd w:val="clear" w:color="auto" w:fill="DAEEF3"/>
            <w:noWrap w:val="0"/>
            <w:vAlign w:val="center"/>
          </w:tcPr>
          <w:p w14:paraId="6823B0FF">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E</w:t>
            </w:r>
          </w:p>
        </w:tc>
        <w:tc>
          <w:tcPr>
            <w:tcW w:w="0" w:type="auto"/>
            <w:shd w:val="clear" w:color="auto" w:fill="DAEEF3"/>
            <w:noWrap w:val="0"/>
            <w:vAlign w:val="center"/>
          </w:tcPr>
          <w:p w14:paraId="10ED6CFD">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C</w:t>
            </w:r>
          </w:p>
        </w:tc>
        <w:tc>
          <w:tcPr>
            <w:tcW w:w="0" w:type="auto"/>
            <w:shd w:val="clear" w:color="auto" w:fill="DAEEF3"/>
            <w:noWrap w:val="0"/>
            <w:vAlign w:val="center"/>
          </w:tcPr>
          <w:p w14:paraId="2CB9E421">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2</w:t>
            </w:r>
          </w:p>
        </w:tc>
        <w:tc>
          <w:tcPr>
            <w:tcW w:w="0" w:type="auto"/>
            <w:shd w:val="clear" w:color="auto" w:fill="DAEEF3"/>
            <w:noWrap w:val="0"/>
            <w:vAlign w:val="center"/>
          </w:tcPr>
          <w:p w14:paraId="20D8039A">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1000</w:t>
            </w:r>
          </w:p>
        </w:tc>
        <w:tc>
          <w:tcPr>
            <w:tcW w:w="0" w:type="auto"/>
            <w:shd w:val="clear" w:color="auto" w:fill="DAEEF3"/>
            <w:noWrap w:val="0"/>
            <w:vAlign w:val="center"/>
          </w:tcPr>
          <w:p w14:paraId="097F30D6">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2</w:t>
            </w:r>
          </w:p>
        </w:tc>
        <w:tc>
          <w:tcPr>
            <w:tcW w:w="0" w:type="auto"/>
            <w:shd w:val="clear" w:color="auto" w:fill="DAEEF3"/>
            <w:noWrap w:val="0"/>
            <w:vAlign w:val="center"/>
          </w:tcPr>
          <w:p w14:paraId="35146E29">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r>
      <w:tr w14:paraId="1728D5AF">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noWrap w:val="0"/>
            <w:vAlign w:val="center"/>
          </w:tcPr>
          <w:p w14:paraId="34281B1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F</w:t>
            </w:r>
          </w:p>
        </w:tc>
        <w:tc>
          <w:tcPr>
            <w:tcW w:w="0" w:type="auto"/>
            <w:noWrap w:val="0"/>
            <w:vAlign w:val="center"/>
          </w:tcPr>
          <w:p w14:paraId="59C7077B">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C</w:t>
            </w:r>
          </w:p>
        </w:tc>
        <w:tc>
          <w:tcPr>
            <w:tcW w:w="0" w:type="auto"/>
            <w:noWrap w:val="0"/>
            <w:vAlign w:val="center"/>
          </w:tcPr>
          <w:p w14:paraId="284261D3">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2</w:t>
            </w:r>
          </w:p>
        </w:tc>
        <w:tc>
          <w:tcPr>
            <w:tcW w:w="0" w:type="auto"/>
            <w:noWrap w:val="0"/>
            <w:vAlign w:val="center"/>
          </w:tcPr>
          <w:p w14:paraId="0B827EE3">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1200</w:t>
            </w:r>
          </w:p>
        </w:tc>
        <w:tc>
          <w:tcPr>
            <w:tcW w:w="0" w:type="auto"/>
            <w:noWrap w:val="0"/>
            <w:vAlign w:val="center"/>
          </w:tcPr>
          <w:p w14:paraId="51AB7A2D">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w:t>
            </w:r>
          </w:p>
        </w:tc>
        <w:tc>
          <w:tcPr>
            <w:tcW w:w="0" w:type="auto"/>
            <w:noWrap w:val="0"/>
            <w:vAlign w:val="center"/>
          </w:tcPr>
          <w:p w14:paraId="3F844E6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w:t>
            </w:r>
          </w:p>
        </w:tc>
      </w:tr>
      <w:tr w14:paraId="125FD2E6">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shd w:val="clear" w:color="auto" w:fill="DAEEF3"/>
            <w:noWrap w:val="0"/>
            <w:vAlign w:val="center"/>
          </w:tcPr>
          <w:p w14:paraId="767D13AE">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G</w:t>
            </w:r>
          </w:p>
        </w:tc>
        <w:tc>
          <w:tcPr>
            <w:tcW w:w="0" w:type="auto"/>
            <w:shd w:val="clear" w:color="auto" w:fill="DAEEF3"/>
            <w:noWrap w:val="0"/>
            <w:vAlign w:val="center"/>
          </w:tcPr>
          <w:p w14:paraId="2830B65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F</w:t>
            </w:r>
          </w:p>
        </w:tc>
        <w:tc>
          <w:tcPr>
            <w:tcW w:w="0" w:type="auto"/>
            <w:shd w:val="clear" w:color="auto" w:fill="DAEEF3"/>
            <w:noWrap w:val="0"/>
            <w:vAlign w:val="center"/>
          </w:tcPr>
          <w:p w14:paraId="2ED61EC3">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c>
          <w:tcPr>
            <w:tcW w:w="0" w:type="auto"/>
            <w:shd w:val="clear" w:color="auto" w:fill="DAEEF3"/>
            <w:noWrap w:val="0"/>
            <w:vAlign w:val="center"/>
          </w:tcPr>
          <w:p w14:paraId="237EACE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1300</w:t>
            </w:r>
          </w:p>
        </w:tc>
        <w:tc>
          <w:tcPr>
            <w:tcW w:w="0" w:type="auto"/>
            <w:shd w:val="clear" w:color="auto" w:fill="DAEEF3"/>
            <w:noWrap w:val="0"/>
            <w:vAlign w:val="center"/>
          </w:tcPr>
          <w:p w14:paraId="0ABA3F02">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c>
          <w:tcPr>
            <w:tcW w:w="0" w:type="auto"/>
            <w:shd w:val="clear" w:color="auto" w:fill="DAEEF3"/>
            <w:noWrap w:val="0"/>
            <w:vAlign w:val="center"/>
          </w:tcPr>
          <w:p w14:paraId="52D5D5B7">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w:t>
            </w:r>
          </w:p>
        </w:tc>
      </w:tr>
      <w:tr w14:paraId="355D51A8">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87" w:hRule="atLeast"/>
          <w:jc w:val="center"/>
        </w:trPr>
        <w:tc>
          <w:tcPr>
            <w:tcW w:w="0" w:type="auto"/>
            <w:noWrap w:val="0"/>
            <w:vAlign w:val="center"/>
          </w:tcPr>
          <w:p w14:paraId="43EC2AEA">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H</w:t>
            </w:r>
          </w:p>
        </w:tc>
        <w:tc>
          <w:tcPr>
            <w:tcW w:w="0" w:type="auto"/>
            <w:noWrap w:val="0"/>
            <w:vAlign w:val="center"/>
          </w:tcPr>
          <w:p w14:paraId="428CC0B9">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D、E、G</w:t>
            </w:r>
          </w:p>
        </w:tc>
        <w:tc>
          <w:tcPr>
            <w:tcW w:w="0" w:type="auto"/>
            <w:noWrap w:val="0"/>
            <w:vAlign w:val="center"/>
          </w:tcPr>
          <w:p w14:paraId="6FD92905">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3</w:t>
            </w:r>
          </w:p>
        </w:tc>
        <w:tc>
          <w:tcPr>
            <w:tcW w:w="0" w:type="auto"/>
            <w:noWrap w:val="0"/>
            <w:vAlign w:val="center"/>
          </w:tcPr>
          <w:p w14:paraId="761021C1">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1600</w:t>
            </w:r>
          </w:p>
        </w:tc>
        <w:tc>
          <w:tcPr>
            <w:tcW w:w="0" w:type="auto"/>
            <w:noWrap w:val="0"/>
            <w:vAlign w:val="center"/>
          </w:tcPr>
          <w:p w14:paraId="2AF66830">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4</w:t>
            </w:r>
          </w:p>
        </w:tc>
        <w:tc>
          <w:tcPr>
            <w:tcW w:w="0" w:type="auto"/>
            <w:noWrap w:val="0"/>
            <w:vAlign w:val="center"/>
          </w:tcPr>
          <w:p w14:paraId="61A9C11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0</w:t>
            </w:r>
          </w:p>
        </w:tc>
      </w:tr>
      <w:tr w14:paraId="6A150936">
        <w:tblPrEx>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CellMar>
            <w:top w:w="0" w:type="dxa"/>
            <w:left w:w="108" w:type="dxa"/>
            <w:bottom w:w="0" w:type="dxa"/>
            <w:right w:w="108" w:type="dxa"/>
          </w:tblCellMar>
        </w:tblPrEx>
        <w:trPr>
          <w:trHeight w:val="293" w:hRule="atLeast"/>
          <w:jc w:val="center"/>
        </w:trPr>
        <w:tc>
          <w:tcPr>
            <w:tcW w:w="0" w:type="auto"/>
            <w:shd w:val="clear" w:color="auto" w:fill="DAEEF3"/>
            <w:noWrap w:val="0"/>
            <w:vAlign w:val="center"/>
          </w:tcPr>
          <w:p w14:paraId="7F662F53">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I</w:t>
            </w:r>
          </w:p>
        </w:tc>
        <w:tc>
          <w:tcPr>
            <w:tcW w:w="0" w:type="auto"/>
            <w:shd w:val="clear" w:color="auto" w:fill="DAEEF3"/>
            <w:noWrap w:val="0"/>
            <w:vAlign w:val="center"/>
          </w:tcPr>
          <w:p w14:paraId="1069FD6D">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H</w:t>
            </w:r>
          </w:p>
        </w:tc>
        <w:tc>
          <w:tcPr>
            <w:tcW w:w="0" w:type="auto"/>
            <w:shd w:val="clear" w:color="auto" w:fill="DAEEF3"/>
            <w:noWrap w:val="0"/>
            <w:vAlign w:val="center"/>
          </w:tcPr>
          <w:p w14:paraId="6AE4E5FB">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5</w:t>
            </w:r>
          </w:p>
        </w:tc>
        <w:tc>
          <w:tcPr>
            <w:tcW w:w="0" w:type="auto"/>
            <w:shd w:val="clear" w:color="auto" w:fill="DAEEF3"/>
            <w:noWrap w:val="0"/>
            <w:vAlign w:val="center"/>
          </w:tcPr>
          <w:p w14:paraId="6F25E1FE">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1500</w:t>
            </w:r>
          </w:p>
        </w:tc>
        <w:tc>
          <w:tcPr>
            <w:tcW w:w="0" w:type="auto"/>
            <w:shd w:val="clear" w:color="auto" w:fill="DAEEF3"/>
            <w:noWrap w:val="0"/>
            <w:vAlign w:val="center"/>
          </w:tcPr>
          <w:p w14:paraId="23F9AB18">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5</w:t>
            </w:r>
          </w:p>
        </w:tc>
        <w:tc>
          <w:tcPr>
            <w:tcW w:w="0" w:type="auto"/>
            <w:shd w:val="clear" w:color="auto" w:fill="DAEEF3"/>
            <w:noWrap w:val="0"/>
            <w:vAlign w:val="center"/>
          </w:tcPr>
          <w:p w14:paraId="1B9971D6">
            <w:pPr>
              <w:spacing w:line="240" w:lineRule="auto"/>
              <w:ind w:firstLine="0" w:firstLineChars="0"/>
              <w:jc w:val="center"/>
              <w:rPr>
                <w:rFonts w:hint="eastAsia" w:asciiTheme="minorEastAsia" w:hAnsiTheme="minorEastAsia" w:eastAsiaTheme="minorEastAsia" w:cstheme="minorEastAsia"/>
                <w:b w:val="0"/>
                <w:bCs w:val="0"/>
                <w:sz w:val="18"/>
                <w:szCs w:val="18"/>
                <w14:ligatures w14:val="none"/>
              </w:rPr>
            </w:pPr>
            <w:r>
              <w:rPr>
                <w:rFonts w:hint="eastAsia" w:asciiTheme="minorEastAsia" w:hAnsiTheme="minorEastAsia" w:eastAsiaTheme="minorEastAsia" w:cstheme="minorEastAsia"/>
                <w:b w:val="0"/>
                <w:bCs w:val="0"/>
                <w:sz w:val="18"/>
                <w:szCs w:val="18"/>
                <w14:ligatures w14:val="none"/>
              </w:rPr>
              <w:t>0</w:t>
            </w:r>
          </w:p>
        </w:tc>
      </w:tr>
    </w:tbl>
    <w:p w14:paraId="6AF182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当前状态（第20天）：A,B,C,D,F完工；E完成1/2；G完成2/3。</w:t>
      </w:r>
    </w:p>
    <w:p w14:paraId="093FBBC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画出单代号网络图</w:t>
      </w:r>
    </w:p>
    <w:p w14:paraId="36C7BB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(文字描述连接关系)：</w:t>
      </w:r>
    </w:p>
    <w:p w14:paraId="1090DF3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Start -&gt; A</w:t>
      </w:r>
    </w:p>
    <w:p w14:paraId="7F4338C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A -&gt; B, A -&gt; C</w:t>
      </w:r>
    </w:p>
    <w:p w14:paraId="72778F0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B -&gt; D, C -&gt; D</w:t>
      </w:r>
    </w:p>
    <w:p w14:paraId="739577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C -&gt; E, C -&gt; F</w:t>
      </w:r>
    </w:p>
    <w:p w14:paraId="3F452C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F -&gt; G</w:t>
      </w:r>
    </w:p>
    <w:p w14:paraId="69AD9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D -&gt; H, E -&gt; H, G -&gt; H</w:t>
      </w:r>
    </w:p>
    <w:p w14:paraId="75E2E9C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H -&gt; I</w:t>
      </w:r>
    </w:p>
    <w:p w14:paraId="1273BE0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I -&gt; End</w:t>
      </w:r>
    </w:p>
    <w:p w14:paraId="242BBAE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(1) 项目工期和关键路径</w:t>
      </w:r>
    </w:p>
    <w:p w14:paraId="4BCF6B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路径计算：</w:t>
      </w:r>
    </w:p>
    <w:p w14:paraId="710E378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A-B-D-H-I = 5+6+7+3+5 = 26天</w:t>
      </w:r>
    </w:p>
    <w:p w14:paraId="3F226C1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A-C-D-H-I = 5+8+7+3+5 = 28天 (最长)</w:t>
      </w:r>
    </w:p>
    <w:p w14:paraId="4AD6A7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A-C-E-H-I = 5+8+2+3+5 = 23天</w:t>
      </w:r>
    </w:p>
    <w:p w14:paraId="5114EB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4. A-C-F-G-H-I = 5+8+2+3+3+5 = 26天</w:t>
      </w:r>
    </w:p>
    <w:p w14:paraId="2D7B788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结论：</w:t>
      </w:r>
    </w:p>
    <w:p w14:paraId="0CB44B8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工期： 28天</w:t>
      </w:r>
    </w:p>
    <w:p w14:paraId="57F4F5F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关键路径： A -&gt; C -&gt; D -&gt; H -&gt; I</w:t>
      </w:r>
    </w:p>
    <w:p w14:paraId="56FDCA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(2) 赶工决策（提前1天）</w:t>
      </w:r>
    </w:p>
    <w:p w14:paraId="0CBE51B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分析： 必须压缩关键路径 (A, C, D, H, I) 上的活动。</w:t>
      </w:r>
    </w:p>
    <w:p w14:paraId="78ACA5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赶工费率对比：</w:t>
      </w:r>
    </w:p>
    <w:p w14:paraId="265694C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A: 2100 (假设值较高)</w:t>
      </w:r>
    </w:p>
    <w:p w14:paraId="5227C3BE">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C: 2000</w:t>
      </w:r>
    </w:p>
    <w:p w14:paraId="1649B1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D: 1800</w:t>
      </w:r>
    </w:p>
    <w:p w14:paraId="5325A32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H: 1600</w:t>
      </w:r>
    </w:p>
    <w:p w14:paraId="7EEFD5D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I: 1500</w:t>
      </w:r>
    </w:p>
    <w:p w14:paraId="7793CA50">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决策： 选择 活动 I。</w:t>
      </w:r>
    </w:p>
    <w:p w14:paraId="4F9A701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原因： 活动I在关键路径上，且赶工费率 (1500) 最低，压缩成本最小。</w:t>
      </w:r>
    </w:p>
    <w:p w14:paraId="532E159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3. 挣值计算与绩效评价</w:t>
      </w:r>
    </w:p>
    <w:p w14:paraId="31C1451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PV (计划值)： 第20天时，按计划所有活动(A~G)应已完工（最晚的G在第18天结束）。</w:t>
      </w:r>
    </w:p>
    <w:p w14:paraId="37727CE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PV = PV(A)+PV(B)+PV(C)+PV(D)+PV(E)+PV(F)+PV(G)</w:t>
      </w:r>
    </w:p>
    <w:p w14:paraId="7952A0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PV = 5 + 4 + 7 + 8 + 2 + 1 + 3 = 30万元</w:t>
      </w:r>
    </w:p>
    <w:p w14:paraId="74CD8CD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EV (挣值)： 实际完成工作量 × 预算单价</w:t>
      </w:r>
    </w:p>
    <w:p w14:paraId="03BFE57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EV = A(100%)+B(100%)+C(100%)+D(100%)+F(100%) + E(50%) + G(66.7%)</w:t>
      </w:r>
    </w:p>
    <w:p w14:paraId="5F1C9BB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EV = 5 + 4 + 7 + 8 + 1 + (2×0.5) + (3×2/3)</w:t>
      </w:r>
    </w:p>
    <w:p w14:paraId="0151443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EV = 25 + 1 + 2 = 28万元</w:t>
      </w:r>
    </w:p>
    <w:p w14:paraId="18CF25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AC (实际成本)： 实际花费之和</w:t>
      </w:r>
    </w:p>
    <w:p w14:paraId="3019B6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AC = 3 + 7 + 5 + 3 + 3 + 1 + 1 = 23万元</w:t>
      </w:r>
    </w:p>
    <w:p w14:paraId="4F4605F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偏差计算：</w:t>
      </w:r>
    </w:p>
    <w:p w14:paraId="4553B8C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CV (成本偏差) = EV - AC = 28 - 23 = 5万元</w:t>
      </w:r>
    </w:p>
    <w:p w14:paraId="263630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SV (进度偏差) = EV - PV = 28 - 30 = -2万元</w:t>
      </w:r>
    </w:p>
    <w:p w14:paraId="2F45728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评价：</w:t>
      </w:r>
    </w:p>
    <w:p w14:paraId="74906DF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CV &gt; 0，说明 成本节约。</w:t>
      </w:r>
    </w:p>
    <w:p w14:paraId="70A11CF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SV &lt; 0，说明 进度滞后。</w:t>
      </w:r>
    </w:p>
    <w:p w14:paraId="428A2768">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p>
    <w:p w14:paraId="6D605BC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p>
    <w:p w14:paraId="1BEAC7E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bookmarkStart w:id="0" w:name="_GoBack"/>
      <w:bookmarkEnd w:id="0"/>
    </w:p>
    <w:p w14:paraId="456C41C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案例 2：成本估算与预测</w:t>
      </w:r>
    </w:p>
    <w:p w14:paraId="750028DB">
      <w:pPr>
        <w:keepNext w:val="0"/>
        <w:keepLines w:val="0"/>
        <w:pageBreakBefore w:val="0"/>
        <w:widowControl w:val="0"/>
        <w:kinsoku/>
        <w:wordWrap/>
        <w:overflowPunct/>
        <w:topLinePunct w:val="0"/>
        <w:autoSpaceDE/>
        <w:autoSpaceDN/>
        <w:bidi w:val="0"/>
        <w:adjustRightInd/>
        <w:snapToGrid/>
        <w:spacing w:line="240" w:lineRule="auto"/>
        <w:ind w:left="0" w:leftChars="0" w:firstLine="360" w:firstLineChars="20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某系统集成项目包含了3个软件模块，现在估算项目成本时，项目经理考虑到其中的模块A技术成熟，已在以前类似项目中多次使用并成功支付，所以项目经理张工忽略A的开发成本，只给A预留了5万元，以防意外发生。然后估算了B的成本为50万元，C成本为30万元，应急储备为10万元，三者集成成本为5万元，并预留了项目的10万管理储备。则该项目的成本基准是多少万元？完工预算（BAC）是多少万元？项目总预算是多少万元？项目开始执行后，当项目的进度绩效指数SPI为0.6时，项目实际花费为70万元，超出预算10万元，如果不加以纠偏看，请根据当前项目进展，估算该项目的完工尚需估算（ETC）是多少万元？完工估算（EAC）是多少万元？</w:t>
      </w:r>
    </w:p>
    <w:p w14:paraId="6155DCC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模块A: 预留5万</w:t>
      </w:r>
    </w:p>
    <w:p w14:paraId="1CC19BF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模块B: 估算50万</w:t>
      </w:r>
    </w:p>
    <w:p w14:paraId="5A645B8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模块C: 估算30万</w:t>
      </w:r>
    </w:p>
    <w:p w14:paraId="7BE425F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集成: 5万</w:t>
      </w:r>
    </w:p>
    <w:p w14:paraId="625887D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应急储备: 10万</w:t>
      </w:r>
    </w:p>
    <w:p w14:paraId="3F60D59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管理储备: 10万</w:t>
      </w:r>
    </w:p>
    <w:p w14:paraId="424DE30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当前状态: SPI=0.6, AC=70万, 超出预算10万。</w:t>
      </w:r>
    </w:p>
    <w:p w14:paraId="642799C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1. 预算计算</w:t>
      </w:r>
    </w:p>
    <w:p w14:paraId="5EA48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成本基准 (BAC) = A + B + C + 集成 + 应急储备</w:t>
      </w:r>
    </w:p>
    <w:p w14:paraId="4284C31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BAC = 5 + 50 + 30 + 5 + 10 = 100万元</w:t>
      </w:r>
    </w:p>
    <w:p w14:paraId="1A4E013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完工预算 (BAC) = 100万元</w:t>
      </w:r>
    </w:p>
    <w:p w14:paraId="76A81D4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项目总预算 = 成本基准 + 管理储备</w:t>
      </w:r>
    </w:p>
    <w:p w14:paraId="770C3B1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总预算 = 100 + 10 = 110万元</w:t>
      </w:r>
    </w:p>
    <w:p w14:paraId="1F718FE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2. 预测计算 (ETC 和 EAC)</w:t>
      </w:r>
    </w:p>
    <w:p w14:paraId="227A81AF">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当前挣值 (EV)：</w:t>
      </w:r>
    </w:p>
    <w:p w14:paraId="622D5F5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已知 AC = 70万，超出预算10万 (即 CV = -10万)。</w:t>
      </w:r>
    </w:p>
    <w:p w14:paraId="09D2AD1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EV = AC + CV = 70 + (-10) = 60万元</w:t>
      </w:r>
    </w:p>
    <w:p w14:paraId="257CD31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当前 CPI：</w:t>
      </w:r>
    </w:p>
    <w:p w14:paraId="26C62E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CPI = EV / AC = 60 / 70 ≈ 0.857</w:t>
      </w:r>
    </w:p>
    <w:p w14:paraId="38A907D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完工尚需估算 (ETC)： (假设按当前CPI趋势)</w:t>
      </w:r>
    </w:p>
    <w:p w14:paraId="25717347">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ETC = (BAC - EV) / CPI</w:t>
      </w:r>
    </w:p>
    <w:p w14:paraId="2A31F8B4">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ETC = (100 - 60) / (60/70) = 40 × (70/60) ≈ 46.67万元</w:t>
      </w:r>
    </w:p>
    <w:p w14:paraId="7FD555E9">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完工估算 (EAC)：</w:t>
      </w:r>
    </w:p>
    <w:p w14:paraId="6292EC9D">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EAC = AC + ETC</w:t>
      </w:r>
    </w:p>
    <w:p w14:paraId="2080110C">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 EAC = 70 + 46.67 = 116.67万元</w:t>
      </w:r>
    </w:p>
    <w:sectPr>
      <w:pgSz w:w="11906" w:h="16838"/>
      <w:pgMar w:top="283" w:right="283" w:bottom="283" w:left="283" w:header="851" w:footer="992" w:gutter="0"/>
      <w:cols w:equalWidth="0" w:num="2">
        <w:col w:w="5457" w:space="425"/>
        <w:col w:w="5457"/>
      </w:cols>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4E69E0"/>
    <w:rsid w:val="006A22A1"/>
    <w:rsid w:val="16B07844"/>
    <w:rsid w:val="2D2C6EED"/>
    <w:rsid w:val="31D367ED"/>
    <w:rsid w:val="3DE47D54"/>
    <w:rsid w:val="403E265D"/>
    <w:rsid w:val="42416ECC"/>
    <w:rsid w:val="51915256"/>
    <w:rsid w:val="636F2CBC"/>
    <w:rsid w:val="651E6BDA"/>
    <w:rsid w:val="654E69E0"/>
    <w:rsid w:val="6C8B5F76"/>
    <w:rsid w:val="787D6974"/>
    <w:rsid w:val="78FC3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10"/>
    <w:qFormat/>
    <w:uiPriority w:val="0"/>
    <w:pPr>
      <w:widowControl w:val="0"/>
      <w:spacing w:line="360" w:lineRule="auto"/>
      <w:ind w:firstLine="883"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3"/>
    <w:next w:val="1"/>
    <w:qFormat/>
    <w:uiPriority w:val="0"/>
    <w:pPr>
      <w:keepNext/>
      <w:keepLines/>
      <w:spacing w:beforeLines="0" w:beforeAutospacing="0" w:afterLines="0" w:afterAutospacing="0" w:line="360" w:lineRule="auto"/>
      <w:outlineLvl w:val="0"/>
    </w:pPr>
    <w:rPr>
      <w:rFonts w:ascii="Arial" w:hAnsi="Arial" w:eastAsia="黑体" w:cs="Times New Roman"/>
      <w:kern w:val="44"/>
      <w:sz w:val="44"/>
    </w:rPr>
  </w:style>
  <w:style w:type="paragraph" w:styleId="4">
    <w:name w:val="heading 2"/>
    <w:basedOn w:val="2"/>
    <w:next w:val="1"/>
    <w:semiHidden/>
    <w:unhideWhenUsed/>
    <w:qFormat/>
    <w:uiPriority w:val="0"/>
    <w:pPr>
      <w:keepNext/>
      <w:keepLines/>
      <w:adjustRightInd/>
      <w:snapToGrid/>
      <w:spacing w:beforeLines="0" w:beforeAutospacing="0" w:afterLines="0" w:afterAutospacing="0" w:line="360" w:lineRule="auto"/>
      <w:ind w:firstLine="2160" w:firstLineChars="200"/>
      <w:jc w:val="left"/>
      <w:outlineLvl w:val="1"/>
    </w:pPr>
    <w:rPr>
      <w:sz w:val="30"/>
    </w:rPr>
  </w:style>
  <w:style w:type="paragraph" w:styleId="5">
    <w:name w:val="heading 3"/>
    <w:basedOn w:val="1"/>
    <w:next w:val="1"/>
    <w:semiHidden/>
    <w:unhideWhenUsed/>
    <w:qFormat/>
    <w:uiPriority w:val="0"/>
    <w:pPr>
      <w:keepNext/>
      <w:keepLines/>
      <w:spacing w:beforeLines="0" w:beforeAutospacing="0" w:afterLines="0" w:afterAutospacing="0" w:line="360" w:lineRule="auto"/>
      <w:ind w:firstLine="2160" w:firstLineChars="200"/>
      <w:jc w:val="left"/>
      <w:outlineLvl w:val="2"/>
    </w:pPr>
    <w:rPr>
      <w:rFonts w:eastAsia="黑体"/>
      <w:b/>
      <w:sz w:val="28"/>
    </w:rPr>
  </w:style>
  <w:style w:type="paragraph" w:styleId="6">
    <w:name w:val="heading 4"/>
    <w:basedOn w:val="1"/>
    <w:next w:val="1"/>
    <w:semiHidden/>
    <w:unhideWhenUsed/>
    <w:qFormat/>
    <w:uiPriority w:val="0"/>
    <w:pPr>
      <w:keepNext/>
      <w:keepLines/>
      <w:spacing w:beforeLines="0" w:beforeAutospacing="0" w:afterLines="0" w:afterAutospacing="0" w:line="360" w:lineRule="auto"/>
      <w:ind w:firstLine="2160" w:firstLineChars="200"/>
      <w:jc w:val="left"/>
      <w:outlineLvl w:val="3"/>
    </w:pPr>
    <w:rPr>
      <w:rFonts w:ascii="Arial" w:hAnsi="Arial" w:eastAsia="黑体"/>
      <w:b/>
      <w:sz w:val="24"/>
    </w:rPr>
  </w:style>
  <w:style w:type="character" w:default="1" w:styleId="8">
    <w:name w:val="Default Paragraph Font"/>
    <w:semiHidden/>
    <w:qFormat/>
    <w:uiPriority w:val="0"/>
    <w:rPr>
      <w:rFonts w:ascii="Times New Roman" w:hAnsi="Times New Roman" w:eastAsia="宋体"/>
      <w:sz w:val="24"/>
    </w:rPr>
  </w:style>
  <w:style w:type="table" w:default="1" w:styleId="7">
    <w:name w:val="Normal Table"/>
    <w:semiHidden/>
    <w:qFormat/>
    <w:uiPriority w:val="0"/>
    <w:tblPr>
      <w:tblCellMar>
        <w:top w:w="0" w:type="dxa"/>
        <w:left w:w="108" w:type="dxa"/>
        <w:bottom w:w="0" w:type="dxa"/>
        <w:right w:w="108" w:type="dxa"/>
      </w:tblCellMar>
    </w:tblPr>
  </w:style>
  <w:style w:type="paragraph" w:styleId="3">
    <w:name w:val="Title"/>
    <w:basedOn w:val="1"/>
    <w:qFormat/>
    <w:uiPriority w:val="0"/>
    <w:pPr>
      <w:spacing w:before="240" w:beforeLines="0" w:beforeAutospacing="0" w:after="60" w:afterLines="0" w:afterAutospacing="0"/>
      <w:jc w:val="center"/>
      <w:outlineLvl w:val="0"/>
    </w:pPr>
    <w:rPr>
      <w:rFonts w:ascii="Arial" w:hAnsi="Arial"/>
      <w:b/>
      <w:sz w:val="32"/>
    </w:rPr>
  </w:style>
  <w:style w:type="character" w:customStyle="1" w:styleId="9">
    <w:name w:val="尾注引用1"/>
    <w:basedOn w:val="10"/>
    <w:link w:val="1"/>
    <w:qFormat/>
    <w:uiPriority w:val="0"/>
    <w:rPr>
      <w:rFonts w:eastAsia="宋体"/>
      <w:sz w:val="24"/>
      <w:vertAlign w:val="superscript"/>
    </w:rPr>
  </w:style>
  <w:style w:type="character" w:customStyle="1" w:styleId="10">
    <w:name w:val="默认段落字体1"/>
    <w:link w:val="1"/>
    <w:semiHidden/>
    <w:qFormat/>
    <w:uiPriority w:val="0"/>
    <w:rPr>
      <w:rFonts w:ascii="Times New Roman" w:hAnsi="Times New Roman" w:eastAsia="宋体" w:cs="Times New Roman"/>
      <w:kern w:val="2"/>
      <w:sz w:val="24"/>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51</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2025-12-23T11:18:00Z</dcterms:created>
  <dc:creator>从不内卷的好孩子</dc:creator>
  <cp:lastModifiedBy>从不内卷的好孩子</cp:lastModifiedBy>
  <dcterms:modified xsi:type="dcterms:W3CDTF">2025-12-23T12:32:13Z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A809EC3BB62849FF9429E1FC1F848908_11</vt:lpwstr>
  </property>
  <property fmtid="{D5CDD505-2E9C-101B-9397-08002B2CF9AE}" pid="4" name="KSOTemplateDocerSaveRecord">
    <vt:lpwstr>eyJoZGlkIjoiOTMyOGQ3ZDBmN2UyMGQzYzA5MmYwMWQzMmE4MTNhMDMiLCJ1c2VySWQiOiI4NDMzOTQ1MTQifQ==</vt:lpwstr>
  </property>
</Properties>
</file>