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  <w:jc w:val="left"/>
        <w:rPr>
          <w:rFonts w:hint="eastAsia" w:ascii="Source Han Sans CN Normal" w:hAnsi="Source Han Sans CN Normal" w:eastAsia="Source Han Sans CN Normal" w:cs="Source Han Sans CN Normal"/>
          <w:color w:val="547DFF"/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547DFF"/>
          <w:sz w:val="44"/>
        </w:rPr>
        <w:t>GOAI 2026 决赛答辩 PPT 内容结构建议</w:t>
      </w:r>
    </w:p>
    <w:p>
      <w:pPr>
        <w:spacing w:after="200"/>
        <w:rPr>
          <w:rFonts w:hint="eastAsia" w:ascii="Source Han Sans CN Normal" w:hAnsi="Source Han Sans CN Normal" w:eastAsia="Source Han Sans CN Normal" w:cs="Source Han Sans CN Normal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color w:val="808080" w:themeColor="text1" w:themeTint="80"/>
          <w:sz w:val="21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四大赛道通用｜适用于决赛路演材料准备</w:t>
      </w:r>
    </w:p>
    <w:p>
      <w:pPr>
        <w:snapToGrid w:val="0"/>
        <w:spacing w:after="40"/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</w:pPr>
    </w:p>
    <w:p>
      <w:pPr>
        <w:snapToGrid w:val="0"/>
        <w:spacing w:after="40"/>
        <w:rPr>
          <w:rFonts w:hint="default" w:ascii="Source Han Sans CN Normal" w:hAnsi="Source Han Sans CN Normal" w:eastAsia="Source Han Sans CN Normal" w:cs="Source Han Sans CN Normal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建议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保留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大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核心内容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版块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+ 附录（可选）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ppt</w:t>
      </w:r>
      <w:r>
        <w:rPr>
          <w:rFonts w:hint="default" w:ascii="Source Han Sans CN Normal" w:hAnsi="Source Han Sans CN Normal" w:eastAsia="Source Han Sans CN Normal" w:cs="Source Han Sans CN Normal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+Demo</w:t>
      </w: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演示总时长控制在8分钟。</w:t>
      </w:r>
    </w:p>
    <w:p>
      <w:pPr>
        <w:spacing w:before="240" w:after="120"/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:sz w:val="20"/>
          <w14:textFill>
            <w14:solidFill>
              <w14:schemeClr w14:val="tx1"/>
            </w14:solidFill>
          </w14:textFill>
        </w:rPr>
        <w:t>PPT 应完整覆盖决赛核心评审内容，不要求机械逐页对应评分项。选手可根据项目特点调整页面组合与篇幅，但应确保问题价值、创新性、技术/研究深度、完成度与可验证性、开源价值与复用等关键信息均有充分呈现。</w:t>
      </w:r>
    </w:p>
    <w:p>
      <w:pPr>
        <w:spacing w:before="240" w:after="120"/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</w:pPr>
    </w:p>
    <w:p>
      <w:pPr>
        <w:spacing w:before="240" w:after="120"/>
        <w:rPr>
          <w:rFonts w:hint="eastAsia" w:ascii="Source Han Sans CN Normal" w:hAnsi="Source Han Sans CN Normal" w:eastAsia="Source Han Sans CN Normal" w:cs="Source Han Sans CN Normal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 w:val="0"/>
          <w:bCs/>
          <w:color w:val="000000" w:themeColor="text1"/>
          <w:sz w:val="30"/>
          <w14:textFill>
            <w14:solidFill>
              <w14:schemeClr w14:val="tx1"/>
            </w14:solidFill>
          </w14:textFill>
        </w:rPr>
        <w:t>一、推荐内容结构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17"/>
        <w:gridCol w:w="3402"/>
        <w:gridCol w:w="4025"/>
      </w:tblGrid>
      <w:tr>
        <w:trPr>
          <w:jc w:val="center"/>
        </w:trPr>
        <w:tc>
          <w:tcPr>
            <w:tcW w:w="680" w:type="dxa"/>
            <w:shd w:val="clear" w:color="auto" w:fill="547D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sz w:val="19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板块</w:t>
            </w:r>
          </w:p>
        </w:tc>
        <w:tc>
          <w:tcPr>
            <w:tcW w:w="1417" w:type="dxa"/>
            <w:shd w:val="clear" w:color="auto" w:fill="547D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页面内容</w:t>
            </w:r>
          </w:p>
        </w:tc>
        <w:tc>
          <w:tcPr>
            <w:tcW w:w="3402" w:type="dxa"/>
            <w:shd w:val="clear" w:color="auto" w:fill="547D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建议呈现</w:t>
            </w:r>
          </w:p>
        </w:tc>
        <w:tc>
          <w:tcPr>
            <w:tcW w:w="4025" w:type="dxa"/>
            <w:shd w:val="clear" w:color="auto" w:fill="547D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核心说明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项目概览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项目名称 + 一句话介绍 + 核心成果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用一句话讲清楚“做了什么、解决什么问题”。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问题与价值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目标问题 / 应用或研究场景 / 实际价值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说明问题是否真实、重要，以及为什么值得解决。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整体方案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产品 / 系统 / 研究方案整体架构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建议通过架构图或流程图呈现核心链路及关键模块。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核心创新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相比现有论文、产品、开源方案或常见工程实践的主要创新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聚焦 2–3 个真正有区分度的创新点，避免只罗列功能。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关键技术实现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核心技术、算法、模型、Agent、软硬件系统等实现方式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说明“难在哪里、怎么解决、核心技术壁垒是什么”。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Demo 与验证结果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Demo、实验结果、实机表现、Benchmark、关键数据等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用可验证证据证明项目真正完成且有效。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开源与复用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已开放内容、代码 / 模型 / 数据 / 工具、复现方式及第三方复用价值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说明“开放了什么、别人如何使用和继续开发”。</w:t>
            </w:r>
          </w:p>
        </w:tc>
      </w:tr>
      <w:tr>
        <w:trPr>
          <w:jc w:val="center"/>
        </w:trPr>
        <w:tc>
          <w:tcPr>
            <w:tcW w:w="680" w:type="dxa"/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left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真实世界与下一步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当前完成阶段、已落地情况、下一阶段计划及实际应用空间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说明项目如何从当前成果进一步进入真实场景。</w:t>
            </w:r>
          </w:p>
        </w:tc>
      </w:tr>
    </w:tbl>
    <w:p>
      <w:pPr>
        <w:pageBreakBefore/>
        <w:spacing w:before="240" w:after="120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二、与决赛一级评分维度的对应关系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5443"/>
      </w:tblGrid>
      <w:tr>
        <w:trPr>
          <w:jc w:val="center"/>
        </w:trPr>
        <w:tc>
          <w:tcPr>
            <w:tcW w:w="4082" w:type="dxa"/>
            <w:shd w:val="clear" w:color="auto" w:fill="547D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PPT重点内容</w:t>
            </w:r>
          </w:p>
        </w:tc>
        <w:tc>
          <w:tcPr>
            <w:tcW w:w="5443" w:type="dxa"/>
            <w:shd w:val="clear" w:color="auto" w:fill="547D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bCs w:val="0"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对应一级评分维度</w:t>
            </w:r>
          </w:p>
        </w:tc>
      </w:tr>
      <w:tr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问题与价值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问题价值与实际影响</w:t>
            </w:r>
          </w:p>
        </w:tc>
      </w:tr>
      <w:tr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核心创新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创新性</w:t>
            </w:r>
          </w:p>
        </w:tc>
      </w:tr>
      <w:tr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整体方案 + 关键技术实现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技术 / 研究深度</w:t>
            </w:r>
          </w:p>
        </w:tc>
      </w:tr>
      <w:tr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Demo 与验证结果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完成度与可验证性</w:t>
            </w:r>
          </w:p>
        </w:tc>
      </w:tr>
      <w:tr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开源与复用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76" w:lineRule="auto"/>
              <w:rPr>
                <w:rFonts w:hint="eastAsia" w:ascii="Source Han Sans CN Normal" w:hAnsi="Source Han Sans CN Normal" w:eastAsia="Source Han Sans CN Normal" w:cs="Source Han Sans CN Norm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Normal" w:hAnsi="Source Han Sans CN Normal" w:eastAsia="Source Han Sans CN Normal" w:cs="Source Han Sans CN Normal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开源价值与复用</w:t>
            </w:r>
          </w:p>
        </w:tc>
      </w:tr>
    </w:tbl>
    <w:p>
      <w:pPr>
        <w:spacing w:before="240" w:after="120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三、Demo 与展示材料建议</w:t>
      </w:r>
    </w:p>
    <w:p>
      <w:pPr>
        <w:spacing w:after="100"/>
        <w:ind w:left="57" w:firstLine="0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14:textFill>
            <w14:solidFill>
              <w14:schemeClr w14:val="tx1"/>
            </w14:solidFill>
          </w14:textFill>
        </w:rPr>
        <w:t>赛道一 / 二 / 三：</w:t>
      </w: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  <w:t>优先采用现场 Demo；如受网络、环境、系统条件或实验条件限制，可使用录屏、视频或实验材料辅助展示，关键结果应有数据、材料或其他可核验证据支撑。</w:t>
      </w:r>
    </w:p>
    <w:p>
      <w:pPr>
        <w:spacing w:after="100"/>
        <w:ind w:left="57" w:firstLine="0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14:textFill>
            <w14:solidFill>
              <w14:schemeClr w14:val="tx1"/>
            </w14:solidFill>
          </w14:textFill>
        </w:rPr>
        <w:t>赛道四：</w:t>
      </w: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  <w:t>决赛以实机比赛、客观成绩及技术核验为主要验证依据；PPT重点说明技术方案、核心创新与关键实现。晋级全场大奖后，可使用官方决赛实机录像 / Demo 视频作为展示材料，并结合 PPT 进行技术阐释。</w:t>
      </w:r>
    </w:p>
    <w:p>
      <w:pPr>
        <w:spacing w:before="200" w:after="120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四、材料准备说明</w:t>
      </w:r>
      <w:bookmarkStart w:id="0" w:name="_GoBack"/>
      <w:bookmarkEnd w:id="0"/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  <w:t>各赛道可根据已公布的二级考核点，对相应页面内容进行针对性展开；一级框架保持一致，技术证据可按赛道特点差异化呈现。</w:t>
      </w:r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  <w:t>建议优先使用架构图、流程图、对比图、实验数据、实机画面等可视化方式呈现，避免大段文字堆叠。</w:t>
      </w:r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  <w:t>路演材料中的技术、数据、开源状态、落地情况等信息应与实际提交材料及现场展示保持一致。</w:t>
      </w:r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urce Han Sans CN Normal" w:hAnsi="Source Han Sans CN Normal" w:eastAsia="Source Han Sans CN Normal" w:cs="Source Han Sans CN Norm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  <w:t>附录可用于补充技术细节、实验数据、代码结构、参考资料等内容，正文不建议因追求完整而过度扩展。</w:t>
      </w:r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after="80"/>
        <w:ind w:left="340" w:hanging="198"/>
        <w:rPr>
          <w:rFonts w:hint="eastAsia" w:ascii="Source Han Sans CN Normal" w:hAnsi="Source Han Sans CN Normal" w:eastAsia="Source Han Sans CN Normal" w:cs="Source Han Sans CN Normal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after="80"/>
        <w:rPr>
          <w:rFonts w:hint="eastAsia" w:ascii="Source Han Sans CN Normal" w:hAnsi="Source Han Sans CN Normal" w:eastAsia="Source Han Sans CN Normal" w:cs="Source Han Sans CN Normal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2240" w:h="15840"/>
      <w:pgMar w:top="1020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Source Han Sans CN Normal">
    <w:panose1 w:val="020B0300000000000000"/>
    <w:charset w:val="86"/>
    <w:family w:val="auto"/>
    <w:pitch w:val="default"/>
    <w:sig w:usb0="20000003" w:usb1="2ADF3C10" w:usb2="00000016" w:usb3="00000000" w:csb0="60060107" w:csb1="00000000"/>
  </w:font>
  <w:font w:name="Source Han Sans CN Bold">
    <w:panose1 w:val="020B0300000000000000"/>
    <w:charset w:val="86"/>
    <w:family w:val="auto"/>
    <w:pitch w:val="default"/>
    <w:sig w:usb0="20000003" w:usb1="2ADF3C10" w:usb2="00000016" w:usb3="00000000" w:csb0="6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969BA5"/>
        <w:sz w:val="16"/>
      </w:rPr>
      <w:t>GOAI 2026｜决赛答辩材料指引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BC43F"/>
    <w:rsid w:val="5AB64D1E"/>
    <w:rsid w:val="9F7B6DE4"/>
    <w:rsid w:val="FDF3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GOAI 2026</dc:creator>
  <dc:description>generated by python-docx</dc:description>
  <cp:lastModifiedBy>zhengruyue</cp:lastModifiedBy>
  <dcterms:modified xsi:type="dcterms:W3CDTF">2026-09-15T21:12:27Z</dcterms:modified>
  <dc:subject>四大赛道通用决赛路演材料指引</dc:subject>
  <dc:title>GOAI 2026 决赛答辩PPT内容结构建议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910194CA6BC790EF1822A96AF505C3F6_43</vt:lpwstr>
  </property>
</Properties>
</file>