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Cambria" w:hAnsi="Cambria" w:eastAsia="Cambria"/>
          <w:b/>
          <w:color w:val="16232B"/>
          <w:sz w:val="32"/>
        </w:rPr>
        <w:t>Readiness and cutover plan: order to cash, procure to pay and accounting</w:t>
      </w:r>
    </w:p>
    <w:p>
      <w:pPr>
        <w:pBdr>
          <w:bottom w:val="single" w:sz="8" w:space="2" w:color="1D5C6B"/>
        </w:pBdr>
      </w:pPr>
      <w:r>
        <w:rPr>
          <w:rFonts w:ascii="Calibri" w:hAnsi="Calibri" w:eastAsia="Calibri"/>
          <w:b w:val="0"/>
          <w:color w:val="5B6B73"/>
          <w:sz w:val="17"/>
        </w:rPr>
        <w:t>Tanmark Industries (fictional) . Product owner . Version 3</w:t>
      </w:r>
    </w:p>
    <w:p>
      <w:r>
        <w:rPr>
          <w:rFonts w:ascii="Calibri" w:hAnsi="Calibri" w:eastAsia="Calibri"/>
          <w:b/>
          <w:color w:val="16232B"/>
        </w:rPr>
        <w:t>Tanmark Industries is a fictional company. Dates are weeks from pilot go-live; people and thresholds are illustrative.</w:t>
      </w:r>
      <w:r>
        <w:rPr>
          <w:rFonts w:ascii="Calibri" w:hAnsi="Calibri" w:eastAsia="Calibri"/>
          <w:b w:val="0"/>
          <w:color w:val="16232B"/>
        </w:rPr>
        <w:t xml:space="preserve"> The plan moves 10 departments from paper to one system in three phases; each starts only when its go / no-go criteria are met.</w:t>
      </w:r>
    </w:p>
    <w:p>
      <w:pPr>
        <w:keepNext/>
        <w:spacing w:before="100" w:after="20"/>
      </w:pPr>
      <w:r>
        <w:rPr>
          <w:rFonts w:ascii="Cambria" w:hAnsi="Cambria" w:eastAsia="Cambria"/>
          <w:b/>
          <w:color w:val="1D5C6B"/>
          <w:sz w:val="23"/>
        </w:rPr>
        <w:t>Phases</w:t>
      </w:r>
    </w:p>
    <w:tbl>
      <w:tblPr>
        <w:tblW w:type="auto" w:w="0"/>
        <w:jc w:val="left"/>
        <w:tblLayout w:type="fixed"/>
        <w:tblLook w:firstColumn="1" w:firstRow="1" w:lastColumn="0" w:lastRow="0" w:noHBand="0" w:noVBand="1" w:val="04A0"/>
        <w:tblBorders>
          <w:top w:val="single" w:sz="4" w:color="D5DDE0"/>
          <w:bottom w:val="single" w:sz="4" w:color="D5DDE0"/>
          <w:insideH w:val="single" w:sz="4" w:color="D5DDE0"/>
          <w:left w:val="nil"/>
          <w:right w:val="nil"/>
          <w:insideV w:val="nil"/>
        </w:tblBorders>
      </w:tblPr>
      <w:tblGrid>
        <w:gridCol w:w="2628"/>
        <w:gridCol w:w="2628"/>
        <w:gridCol w:w="2628"/>
        <w:gridCol w:w="2628"/>
      </w:tblGrid>
      <w:tr>
        <w:tc>
          <w:tcPr>
            <w:tcW w:type="dxa" w:w="2253"/>
            <w:shd w:val="clear" w:color="auto" w:fill="F1F5F6"/>
          </w:tcPr>
          <w:p>
            <w:pPr>
              <w:spacing w:after="0"/>
            </w:pPr>
            <w:r>
              <w:rPr>
                <w:rFonts w:ascii="Calibri" w:hAnsi="Calibri" w:eastAsia="Calibri"/>
                <w:b/>
                <w:color w:val="16232B"/>
                <w:sz w:val="16"/>
              </w:rPr>
              <w:t>Phase</w:t>
            </w:r>
          </w:p>
        </w:tc>
        <w:tc>
          <w:tcPr>
            <w:tcW w:type="dxa" w:w="751"/>
            <w:shd w:val="clear" w:color="auto" w:fill="F1F5F6"/>
          </w:tcPr>
          <w:p>
            <w:pPr>
              <w:spacing w:after="0"/>
            </w:pPr>
            <w:r>
              <w:rPr>
                <w:rFonts w:ascii="Calibri" w:hAnsi="Calibri" w:eastAsia="Calibri"/>
                <w:b/>
                <w:color w:val="16232B"/>
                <w:sz w:val="16"/>
              </w:rPr>
              <w:t>Week</w:t>
            </w:r>
          </w:p>
        </w:tc>
        <w:tc>
          <w:tcPr>
            <w:tcW w:type="dxa" w:w="3754"/>
            <w:shd w:val="clear" w:color="auto" w:fill="F1F5F6"/>
          </w:tcPr>
          <w:p>
            <w:pPr>
              <w:spacing w:after="0"/>
            </w:pPr>
            <w:r>
              <w:rPr>
                <w:rFonts w:ascii="Calibri" w:hAnsi="Calibri" w:eastAsia="Calibri"/>
                <w:b/>
                <w:color w:val="16232B"/>
                <w:sz w:val="16"/>
              </w:rPr>
              <w:t>Who</w:t>
            </w:r>
          </w:p>
        </w:tc>
        <w:tc>
          <w:tcPr>
            <w:tcW w:type="dxa" w:w="3754"/>
            <w:shd w:val="clear" w:color="auto" w:fill="F1F5F6"/>
          </w:tcPr>
          <w:p>
            <w:pPr>
              <w:spacing w:after="0"/>
            </w:pPr>
            <w:r>
              <w:rPr>
                <w:rFonts w:ascii="Calibri" w:hAnsi="Calibri" w:eastAsia="Calibri"/>
                <w:b/>
                <w:color w:val="16232B"/>
                <w:sz w:val="16"/>
              </w:rPr>
              <w:t>What runs</w:t>
            </w:r>
          </w:p>
        </w:tc>
      </w:tr>
      <w:tr>
        <w:tc>
          <w:tcPr>
            <w:tcW w:type="dxa" w:w="2253"/>
          </w:tcPr>
          <w:p>
            <w:pPr>
              <w:spacing w:after="0"/>
            </w:pPr>
            <w:r>
              <w:rPr>
                <w:rFonts w:ascii="Calibri" w:hAnsi="Calibri" w:eastAsia="Calibri"/>
                <w:b w:val="0"/>
                <w:color w:val="16232B"/>
                <w:sz w:val="16"/>
              </w:rPr>
              <w:t>1, pilot</w:t>
            </w:r>
          </w:p>
        </w:tc>
        <w:tc>
          <w:tcPr>
            <w:tcW w:type="dxa" w:w="751"/>
          </w:tcPr>
          <w:p>
            <w:pPr>
              <w:spacing w:after="0"/>
            </w:pPr>
            <w:r>
              <w:rPr>
                <w:rFonts w:ascii="Calibri" w:hAnsi="Calibri" w:eastAsia="Calibri"/>
                <w:b w:val="0"/>
                <w:color w:val="16232B"/>
                <w:sz w:val="16"/>
              </w:rPr>
              <w:t>1 to 8</w:t>
            </w:r>
          </w:p>
        </w:tc>
        <w:tc>
          <w:tcPr>
            <w:tcW w:type="dxa" w:w="3754"/>
          </w:tcPr>
          <w:p>
            <w:pPr>
              <w:spacing w:after="0"/>
            </w:pPr>
            <w:r>
              <w:rPr>
                <w:rFonts w:ascii="Calibri" w:hAnsi="Calibri" w:eastAsia="Calibri"/>
                <w:b w:val="0"/>
                <w:color w:val="16232B"/>
                <w:sz w:val="16"/>
              </w:rPr>
              <w:t>24 people: product sales (one team), logistics and purchasing, the warehouse, the drum workshop</w:t>
            </w:r>
          </w:p>
        </w:tc>
        <w:tc>
          <w:tcPr>
            <w:tcW w:type="dxa" w:w="3754"/>
          </w:tcPr>
          <w:p>
            <w:pPr>
              <w:spacing w:after="0"/>
            </w:pPr>
            <w:r>
              <w:rPr>
                <w:rFonts w:ascii="Calibri" w:hAnsi="Calibri" w:eastAsia="Calibri"/>
                <w:b w:val="0"/>
                <w:color w:val="16232B"/>
                <w:sz w:val="16"/>
              </w:rPr>
              <w:t>the system for the pilot's orders; open records migrate batch by batch, each in its real state</w:t>
            </w:r>
          </w:p>
        </w:tc>
      </w:tr>
      <w:tr>
        <w:tc>
          <w:tcPr>
            <w:tcW w:type="dxa" w:w="2253"/>
          </w:tcPr>
          <w:p>
            <w:pPr>
              <w:spacing w:after="0"/>
            </w:pPr>
            <w:r>
              <w:rPr>
                <w:rFonts w:ascii="Calibri" w:hAnsi="Calibri" w:eastAsia="Calibri"/>
                <w:b w:val="0"/>
                <w:color w:val="16232B"/>
                <w:sz w:val="16"/>
              </w:rPr>
              <w:t>2, parallel run</w:t>
            </w:r>
          </w:p>
        </w:tc>
        <w:tc>
          <w:tcPr>
            <w:tcW w:type="dxa" w:w="751"/>
          </w:tcPr>
          <w:p>
            <w:pPr>
              <w:spacing w:after="0"/>
            </w:pPr>
            <w:r>
              <w:rPr>
                <w:rFonts w:ascii="Calibri" w:hAnsi="Calibri" w:eastAsia="Calibri"/>
                <w:b w:val="0"/>
                <w:color w:val="16232B"/>
                <w:sz w:val="16"/>
              </w:rPr>
              <w:t>9 to 12</w:t>
            </w:r>
          </w:p>
        </w:tc>
        <w:tc>
          <w:tcPr>
            <w:tcW w:type="dxa" w:w="3754"/>
          </w:tcPr>
          <w:p>
            <w:pPr>
              <w:spacing w:after="0"/>
            </w:pPr>
            <w:r>
              <w:rPr>
                <w:rFonts w:ascii="Calibri" w:hAnsi="Calibri" w:eastAsia="Calibri"/>
                <w:b w:val="0"/>
                <w:color w:val="16232B"/>
                <w:sz w:val="16"/>
              </w:rPr>
              <w:t>all ten departments</w:t>
            </w:r>
          </w:p>
        </w:tc>
        <w:tc>
          <w:tcPr>
            <w:tcW w:type="dxa" w:w="3754"/>
          </w:tcPr>
          <w:p>
            <w:pPr>
              <w:spacing w:after="0"/>
            </w:pPr>
            <w:r>
              <w:rPr>
                <w:rFonts w:ascii="Calibri" w:hAnsi="Calibri" w:eastAsia="Calibri"/>
                <w:b w:val="0"/>
                <w:color w:val="16232B"/>
                <w:sz w:val="16"/>
              </w:rPr>
              <w:t>system and paper side by side; migration finishes; receivables move into the system</w:t>
            </w:r>
          </w:p>
        </w:tc>
      </w:tr>
      <w:tr>
        <w:tc>
          <w:tcPr>
            <w:tcW w:type="dxa" w:w="2253"/>
          </w:tcPr>
          <w:p>
            <w:pPr>
              <w:spacing w:after="0"/>
            </w:pPr>
            <w:r>
              <w:rPr>
                <w:rFonts w:ascii="Calibri" w:hAnsi="Calibri" w:eastAsia="Calibri"/>
                <w:b w:val="0"/>
                <w:color w:val="16232B"/>
                <w:sz w:val="16"/>
              </w:rPr>
              <w:t>3, the system is the record</w:t>
            </w:r>
          </w:p>
        </w:tc>
        <w:tc>
          <w:tcPr>
            <w:tcW w:type="dxa" w:w="751"/>
          </w:tcPr>
          <w:p>
            <w:pPr>
              <w:spacing w:after="0"/>
            </w:pPr>
            <w:r>
              <w:rPr>
                <w:rFonts w:ascii="Calibri" w:hAnsi="Calibri" w:eastAsia="Calibri"/>
                <w:b w:val="0"/>
                <w:color w:val="16232B"/>
                <w:sz w:val="16"/>
              </w:rPr>
              <w:t>from 13</w:t>
            </w:r>
          </w:p>
        </w:tc>
        <w:tc>
          <w:tcPr>
            <w:tcW w:type="dxa" w:w="3754"/>
          </w:tcPr>
          <w:p>
            <w:pPr>
              <w:spacing w:after="0"/>
            </w:pPr>
            <w:r>
              <w:rPr>
                <w:rFonts w:ascii="Calibri" w:hAnsi="Calibri" w:eastAsia="Calibri"/>
                <w:b w:val="0"/>
                <w:color w:val="16232B"/>
                <w:sz w:val="16"/>
              </w:rPr>
              <w:t>all ten departments</w:t>
            </w:r>
          </w:p>
        </w:tc>
        <w:tc>
          <w:tcPr>
            <w:tcW w:type="dxa" w:w="3754"/>
          </w:tcPr>
          <w:p>
            <w:pPr>
              <w:spacing w:after="0"/>
            </w:pPr>
            <w:r>
              <w:rPr>
                <w:rFonts w:ascii="Calibri" w:hAnsi="Calibri" w:eastAsia="Calibri"/>
                <w:b w:val="0"/>
                <w:color w:val="16232B"/>
                <w:sz w:val="16"/>
              </w:rPr>
              <w:t>paper only where a decision keeps it: the signed purchase order (D9) and the customer-signed quarterly statement (D17)</w:t>
            </w:r>
          </w:p>
        </w:tc>
      </w:tr>
    </w:tbl>
    <w:p>
      <w:pPr>
        <w:spacing w:after="0" w:line="144" w:lineRule="auto"/>
      </w:pPr>
    </w:p>
    <w:p>
      <w:pPr>
        <w:keepNext/>
        <w:spacing w:before="100" w:after="20"/>
      </w:pPr>
      <w:r>
        <w:rPr>
          <w:rFonts w:ascii="Cambria" w:hAnsi="Cambria" w:eastAsia="Cambria"/>
          <w:b/>
          <w:color w:val="1D5C6B"/>
          <w:sz w:val="23"/>
        </w:rPr>
        <w:t>Data migration, by state (decision D3)</w:t>
      </w:r>
    </w:p>
    <w:p>
      <w:pPr>
        <w:pStyle w:val="ListBullet"/>
        <w:spacing w:after="0"/>
      </w:pPr>
      <w:r>
        <w:rPr>
          <w:rFonts w:ascii="Calibri" w:hAnsi="Calibri" w:eastAsia="Calibri"/>
          <w:b/>
          <w:color w:val="16232B"/>
        </w:rPr>
        <w:t>Open orders</w:t>
      </w:r>
      <w:r>
        <w:rPr>
          <w:rFonts w:ascii="Calibri" w:hAnsi="Calibri" w:eastAsia="Calibri"/>
          <w:b w:val="0"/>
          <w:color w:val="16232B"/>
        </w:rPr>
        <w:t xml:space="preserve"> load in the state they are really in, agreed with their department one by one. An order already in production loads as In production, never as Open.</w:t>
      </w:r>
    </w:p>
    <w:p>
      <w:pPr>
        <w:pStyle w:val="ListBullet"/>
        <w:spacing w:after="0"/>
      </w:pPr>
      <w:r>
        <w:rPr>
          <w:rFonts w:ascii="Calibri" w:hAnsi="Calibri" w:eastAsia="Calibri"/>
          <w:b/>
          <w:color w:val="16232B"/>
        </w:rPr>
        <w:t>Open purchase orders</w:t>
      </w:r>
      <w:r>
        <w:rPr>
          <w:rFonts w:ascii="Calibri" w:hAnsi="Calibri" w:eastAsia="Calibri"/>
          <w:b w:val="0"/>
          <w:color w:val="16232B"/>
        </w:rPr>
        <w:t xml:space="preserve"> load as Open or Received, against a count of what has arrived.</w:t>
      </w:r>
    </w:p>
    <w:p>
      <w:pPr>
        <w:pStyle w:val="ListBullet"/>
        <w:spacing w:after="0"/>
      </w:pPr>
      <w:r>
        <w:rPr>
          <w:rFonts w:ascii="Calibri" w:hAnsi="Calibri" w:eastAsia="Calibri"/>
          <w:b/>
          <w:color w:val="16232B"/>
        </w:rPr>
        <w:t>Stock:</w:t>
      </w:r>
      <w:r>
        <w:rPr>
          <w:rFonts w:ascii="Calibri" w:hAnsi="Calibri" w:eastAsia="Calibri"/>
          <w:b w:val="0"/>
          <w:color w:val="16232B"/>
        </w:rPr>
        <w:t xml:space="preserve"> a full physical count on the weekend before the pilot, and again before the parallel run. The loaded count must equal the count on every line, or the difference is signed by the warehouse lead.</w:t>
      </w:r>
    </w:p>
    <w:p>
      <w:pPr>
        <w:pStyle w:val="ListBullet"/>
        <w:spacing w:after="0"/>
      </w:pPr>
      <w:r>
        <w:rPr>
          <w:rFonts w:ascii="Calibri" w:hAnsi="Calibri" w:eastAsia="Calibri"/>
          <w:b/>
          <w:color w:val="16232B"/>
        </w:rPr>
        <w:t>Receivables:</w:t>
      </w:r>
      <w:r>
        <w:rPr>
          <w:rFonts w:ascii="Calibri" w:hAnsi="Calibri" w:eastAsia="Calibri"/>
          <w:b w:val="0"/>
          <w:color w:val="16232B"/>
        </w:rPr>
        <w:t xml:space="preserve"> each contract loads with its terms and credit limit; each open invoice with its due date and what is paid. A customer's opening balance must equal its last signed quarterly statement.</w:t>
      </w:r>
    </w:p>
    <w:p>
      <w:pPr>
        <w:pStyle w:val="ListBullet"/>
        <w:spacing w:after="0"/>
      </w:pPr>
      <w:r>
        <w:rPr>
          <w:rFonts w:ascii="Calibri" w:hAnsi="Calibri" w:eastAsia="Calibri"/>
          <w:b/>
          <w:color w:val="16232B"/>
        </w:rPr>
        <w:t>Posted accounting history</w:t>
      </w:r>
      <w:r>
        <w:rPr>
          <w:rFonts w:ascii="Calibri" w:hAnsi="Calibri" w:eastAsia="Calibri"/>
          <w:b w:val="0"/>
          <w:color w:val="16232B"/>
        </w:rPr>
        <w:t xml:space="preserve"> loads as posted and is never reopened. Closed records are scanned to a searchable archive.</w:t>
      </w:r>
    </w:p>
    <w:p>
      <w:pPr>
        <w:keepNext/>
        <w:spacing w:before="100" w:after="20"/>
      </w:pPr>
      <w:r>
        <w:rPr>
          <w:rFonts w:ascii="Cambria" w:hAnsi="Cambria" w:eastAsia="Cambria"/>
          <w:b/>
          <w:color w:val="1D5C6B"/>
          <w:sz w:val="23"/>
        </w:rPr>
        <w:t>Training</w:t>
      </w:r>
    </w:p>
    <w:p>
      <w:pPr>
        <w:pStyle w:val="ListBullet"/>
        <w:spacing w:after="0"/>
      </w:pPr>
      <w:r>
        <w:rPr>
          <w:rFonts w:ascii="Calibri" w:hAnsi="Calibri" w:eastAsia="Calibri"/>
          <w:b w:val="0"/>
          <w:color w:val="16232B"/>
        </w:rPr>
        <w:t xml:space="preserve">One </w:t>
      </w:r>
      <w:r>
        <w:rPr>
          <w:rFonts w:ascii="Calibri" w:hAnsi="Calibri" w:eastAsia="Calibri"/>
          <w:b/>
          <w:color w:val="16232B"/>
        </w:rPr>
        <w:t>superuser per department</w:t>
      </w:r>
      <w:r>
        <w:rPr>
          <w:rFonts w:ascii="Calibri" w:hAnsi="Calibri" w:eastAsia="Calibri"/>
          <w:b w:val="0"/>
          <w:color w:val="16232B"/>
        </w:rPr>
        <w:t xml:space="preserve">, trained two weeks before it joins. </w:t>
      </w:r>
      <w:r>
        <w:rPr>
          <w:rFonts w:ascii="Calibri" w:hAnsi="Calibri" w:eastAsia="Calibri"/>
          <w:b/>
          <w:color w:val="16232B"/>
        </w:rPr>
        <w:t>One-hour role sessions</w:t>
      </w:r>
      <w:r>
        <w:rPr>
          <w:rFonts w:ascii="Calibri" w:hAnsi="Calibri" w:eastAsia="Calibri"/>
          <w:b w:val="0"/>
          <w:color w:val="16232B"/>
        </w:rPr>
        <w:t xml:space="preserve"> on every shift, in a practice copy loaded with the UAT scenarios.</w:t>
      </w:r>
    </w:p>
    <w:p>
      <w:pPr>
        <w:pStyle w:val="ListBullet"/>
        <w:spacing w:after="0"/>
      </w:pPr>
      <w:r>
        <w:rPr>
          <w:rFonts w:ascii="Calibri" w:hAnsi="Calibri" w:eastAsia="Calibri"/>
          <w:b w:val="0"/>
          <w:color w:val="16232B"/>
        </w:rPr>
        <w:t xml:space="preserve">A </w:t>
      </w:r>
      <w:r>
        <w:rPr>
          <w:rFonts w:ascii="Calibri" w:hAnsi="Calibri" w:eastAsia="Calibri"/>
          <w:b/>
          <w:color w:val="16232B"/>
        </w:rPr>
        <w:t>one-page card per role</w:t>
      </w:r>
      <w:r>
        <w:rPr>
          <w:rFonts w:ascii="Calibri" w:hAnsi="Calibri" w:eastAsia="Calibri"/>
          <w:b w:val="0"/>
          <w:color w:val="16232B"/>
        </w:rPr>
        <w:t>: what each locked state means and what to do instead.</w:t>
      </w:r>
    </w:p>
    <w:p>
      <w:pPr>
        <w:keepNext/>
        <w:spacing w:before="100" w:after="20"/>
      </w:pPr>
      <w:r>
        <w:rPr>
          <w:rFonts w:ascii="Cambria" w:hAnsi="Cambria" w:eastAsia="Cambria"/>
          <w:b/>
          <w:color w:val="1D5C6B"/>
          <w:sz w:val="23"/>
        </w:rPr>
        <w:t>Parallel run (decision D12)</w:t>
      </w:r>
    </w:p>
    <w:p>
      <w:r>
        <w:rPr>
          <w:rFonts w:ascii="Calibri" w:hAnsi="Calibri" w:eastAsia="Calibri"/>
          <w:b w:val="0"/>
          <w:color w:val="16232B"/>
        </w:rPr>
        <w:t>Paper stops for a process when two weeks pass with no open discrepancy.</w:t>
      </w:r>
    </w:p>
    <w:p>
      <w:pPr>
        <w:keepNext/>
        <w:spacing w:before="100" w:after="20"/>
      </w:pPr>
      <w:r>
        <w:rPr>
          <w:rFonts w:ascii="Cambria" w:hAnsi="Cambria" w:eastAsia="Cambria"/>
          <w:b/>
          <w:color w:val="1D5C6B"/>
          <w:sz w:val="23"/>
        </w:rPr>
        <w:t>Go / no-go criteria, checked before each phase</w:t>
      </w:r>
    </w:p>
    <w:tbl>
      <w:tblPr>
        <w:tblW w:type="auto" w:w="0"/>
        <w:jc w:val="left"/>
        <w:tblLayout w:type="fixed"/>
        <w:tblLook w:firstColumn="1" w:firstRow="1" w:lastColumn="0" w:lastRow="0" w:noHBand="0" w:noVBand="1" w:val="04A0"/>
        <w:tblBorders>
          <w:top w:val="single" w:sz="4" w:color="D5DDE0"/>
          <w:bottom w:val="single" w:sz="4" w:color="D5DDE0"/>
          <w:insideH w:val="single" w:sz="4" w:color="D5DDE0"/>
          <w:left w:val="nil"/>
          <w:right w:val="nil"/>
          <w:insideV w:val="nil"/>
        </w:tblBorders>
      </w:tblPr>
      <w:tblGrid>
        <w:gridCol w:w="2628"/>
        <w:gridCol w:w="2628"/>
        <w:gridCol w:w="2628"/>
        <w:gridCol w:w="2628"/>
      </w:tblGrid>
      <w:tr>
        <w:tc>
          <w:tcPr>
            <w:tcW w:type="dxa" w:w="946"/>
            <w:shd w:val="clear" w:color="auto" w:fill="F1F5F6"/>
          </w:tcPr>
          <w:p>
            <w:pPr>
              <w:spacing w:after="0"/>
            </w:pPr>
            <w:r>
              <w:rPr>
                <w:rFonts w:ascii="Calibri" w:hAnsi="Calibri" w:eastAsia="Calibri"/>
                <w:b/>
                <w:color w:val="16232B"/>
                <w:sz w:val="16"/>
              </w:rPr>
              <w:t>#</w:t>
            </w:r>
          </w:p>
        </w:tc>
        <w:tc>
          <w:tcPr>
            <w:tcW w:type="dxa" w:w="4730"/>
            <w:shd w:val="clear" w:color="auto" w:fill="F1F5F6"/>
          </w:tcPr>
          <w:p>
            <w:pPr>
              <w:spacing w:after="0"/>
            </w:pPr>
            <w:r>
              <w:rPr>
                <w:rFonts w:ascii="Calibri" w:hAnsi="Calibri" w:eastAsia="Calibri"/>
                <w:b/>
                <w:color w:val="16232B"/>
                <w:sz w:val="16"/>
              </w:rPr>
              <w:t>Criterion</w:t>
            </w:r>
          </w:p>
        </w:tc>
        <w:tc>
          <w:tcPr>
            <w:tcW w:type="dxa" w:w="3048"/>
            <w:shd w:val="clear" w:color="auto" w:fill="F1F5F6"/>
          </w:tcPr>
          <w:p>
            <w:pPr>
              <w:spacing w:after="0"/>
            </w:pPr>
            <w:r>
              <w:rPr>
                <w:rFonts w:ascii="Calibri" w:hAnsi="Calibri" w:eastAsia="Calibri"/>
                <w:b/>
                <w:color w:val="16232B"/>
                <w:sz w:val="16"/>
              </w:rPr>
              <w:t>Evidence</w:t>
            </w:r>
          </w:p>
        </w:tc>
        <w:tc>
          <w:tcPr>
            <w:tcW w:type="dxa" w:w="1787"/>
            <w:shd w:val="clear" w:color="auto" w:fill="F1F5F6"/>
          </w:tcPr>
          <w:p>
            <w:pPr>
              <w:spacing w:after="0"/>
            </w:pPr>
            <w:r>
              <w:rPr>
                <w:rFonts w:ascii="Calibri" w:hAnsi="Calibri" w:eastAsia="Calibri"/>
                <w:b/>
                <w:color w:val="16232B"/>
                <w:sz w:val="16"/>
              </w:rPr>
              <w:t>Owner</w:t>
            </w:r>
          </w:p>
        </w:tc>
      </w:tr>
      <w:tr>
        <w:tc>
          <w:tcPr>
            <w:tcW w:type="dxa" w:w="946"/>
          </w:tcPr>
          <w:p>
            <w:pPr>
              <w:spacing w:after="0"/>
            </w:pPr>
            <w:r>
              <w:rPr>
                <w:rFonts w:ascii="Calibri" w:hAnsi="Calibri" w:eastAsia="Calibri"/>
                <w:b w:val="0"/>
                <w:color w:val="16232B"/>
                <w:sz w:val="16"/>
              </w:rPr>
              <w:t>1</w:t>
            </w:r>
          </w:p>
        </w:tc>
        <w:tc>
          <w:tcPr>
            <w:tcW w:type="dxa" w:w="4730"/>
          </w:tcPr>
          <w:p>
            <w:pPr>
              <w:spacing w:after="0"/>
            </w:pPr>
            <w:r>
              <w:rPr>
                <w:rFonts w:ascii="Calibri" w:hAnsi="Calibri" w:eastAsia="Calibri"/>
                <w:b w:val="0"/>
                <w:color w:val="16232B"/>
                <w:sz w:val="16"/>
              </w:rPr>
              <w:t>Every UAT scenario for the phase's stories passes, error paths included</w:t>
            </w:r>
          </w:p>
        </w:tc>
        <w:tc>
          <w:tcPr>
            <w:tcW w:type="dxa" w:w="3048"/>
          </w:tcPr>
          <w:p>
            <w:pPr>
              <w:spacing w:after="0"/>
            </w:pPr>
            <w:r>
              <w:rPr>
                <w:rFonts w:ascii="Calibri" w:hAnsi="Calibri" w:eastAsia="Calibri"/>
                <w:b w:val="0"/>
                <w:color w:val="16232B"/>
                <w:sz w:val="16"/>
              </w:rPr>
              <w:t>UAT workbook, sign-off sheet</w:t>
            </w:r>
          </w:p>
        </w:tc>
        <w:tc>
          <w:tcPr>
            <w:tcW w:type="dxa" w:w="1787"/>
          </w:tcPr>
          <w:p>
            <w:pPr>
              <w:spacing w:after="0"/>
            </w:pPr>
            <w:r>
              <w:rPr>
                <w:rFonts w:ascii="Calibri" w:hAnsi="Calibri" w:eastAsia="Calibri"/>
                <w:b w:val="0"/>
                <w:color w:val="16232B"/>
                <w:sz w:val="16"/>
              </w:rPr>
              <w:t>Owning department</w:t>
            </w:r>
          </w:p>
        </w:tc>
      </w:tr>
      <w:tr>
        <w:tc>
          <w:tcPr>
            <w:tcW w:type="dxa" w:w="946"/>
          </w:tcPr>
          <w:p>
            <w:pPr>
              <w:spacing w:after="0"/>
            </w:pPr>
            <w:r>
              <w:rPr>
                <w:rFonts w:ascii="Calibri" w:hAnsi="Calibri" w:eastAsia="Calibri"/>
                <w:b w:val="0"/>
                <w:color w:val="16232B"/>
                <w:sz w:val="16"/>
              </w:rPr>
              <w:t>2</w:t>
            </w:r>
          </w:p>
        </w:tc>
        <w:tc>
          <w:tcPr>
            <w:tcW w:type="dxa" w:w="4730"/>
          </w:tcPr>
          <w:p>
            <w:pPr>
              <w:spacing w:after="0"/>
            </w:pPr>
            <w:r>
              <w:rPr>
                <w:rFonts w:ascii="Calibri" w:hAnsi="Calibri" w:eastAsia="Calibri"/>
                <w:b w:val="0"/>
                <w:color w:val="16232B"/>
                <w:sz w:val="16"/>
              </w:rPr>
              <w:t>No open severity 1 defect; each severity 2 has a workaround</w:t>
            </w:r>
          </w:p>
        </w:tc>
        <w:tc>
          <w:tcPr>
            <w:tcW w:type="dxa" w:w="3048"/>
          </w:tcPr>
          <w:p>
            <w:pPr>
              <w:spacing w:after="0"/>
            </w:pPr>
            <w:r>
              <w:rPr>
                <w:rFonts w:ascii="Calibri" w:hAnsi="Calibri" w:eastAsia="Calibri"/>
                <w:b w:val="0"/>
                <w:color w:val="16232B"/>
                <w:sz w:val="16"/>
              </w:rPr>
              <w:t>UAT Defects sheet</w:t>
            </w:r>
          </w:p>
        </w:tc>
        <w:tc>
          <w:tcPr>
            <w:tcW w:type="dxa" w:w="1787"/>
          </w:tcPr>
          <w:p>
            <w:pPr>
              <w:spacing w:after="0"/>
            </w:pPr>
            <w:r>
              <w:rPr>
                <w:rFonts w:ascii="Calibri" w:hAnsi="Calibri" w:eastAsia="Calibri"/>
                <w:b w:val="0"/>
                <w:color w:val="16232B"/>
                <w:sz w:val="16"/>
              </w:rPr>
              <w:t>Tech lead</w:t>
            </w:r>
          </w:p>
        </w:tc>
      </w:tr>
      <w:tr>
        <w:tc>
          <w:tcPr>
            <w:tcW w:type="dxa" w:w="946"/>
          </w:tcPr>
          <w:p>
            <w:pPr>
              <w:spacing w:after="0"/>
            </w:pPr>
            <w:r>
              <w:rPr>
                <w:rFonts w:ascii="Calibri" w:hAnsi="Calibri" w:eastAsia="Calibri"/>
                <w:b w:val="0"/>
                <w:color w:val="16232B"/>
                <w:sz w:val="16"/>
              </w:rPr>
              <w:t>3</w:t>
            </w:r>
          </w:p>
        </w:tc>
        <w:tc>
          <w:tcPr>
            <w:tcW w:type="dxa" w:w="4730"/>
          </w:tcPr>
          <w:p>
            <w:pPr>
              <w:spacing w:after="0"/>
            </w:pPr>
            <w:r>
              <w:rPr>
                <w:rFonts w:ascii="Calibri" w:hAnsi="Calibri" w:eastAsia="Calibri"/>
                <w:b w:val="0"/>
                <w:color w:val="16232B"/>
                <w:sz w:val="16"/>
              </w:rPr>
              <w:t>Every migrated record is in its agreed state; stock equals the count; each opening receivable equals its signed statement</w:t>
            </w:r>
          </w:p>
        </w:tc>
        <w:tc>
          <w:tcPr>
            <w:tcW w:type="dxa" w:w="3048"/>
          </w:tcPr>
          <w:p>
            <w:pPr>
              <w:spacing w:after="0"/>
            </w:pPr>
            <w:r>
              <w:rPr>
                <w:rFonts w:ascii="Calibri" w:hAnsi="Calibri" w:eastAsia="Calibri"/>
                <w:b w:val="0"/>
                <w:color w:val="16232B"/>
                <w:sz w:val="16"/>
              </w:rPr>
              <w:t>Reconciliation sheet</w:t>
            </w:r>
          </w:p>
        </w:tc>
        <w:tc>
          <w:tcPr>
            <w:tcW w:type="dxa" w:w="1787"/>
          </w:tcPr>
          <w:p>
            <w:pPr>
              <w:spacing w:after="0"/>
            </w:pPr>
            <w:r>
              <w:rPr>
                <w:rFonts w:ascii="Calibri" w:hAnsi="Calibri" w:eastAsia="Calibri"/>
                <w:b w:val="0"/>
                <w:color w:val="16232B"/>
                <w:sz w:val="16"/>
              </w:rPr>
              <w:t>Department lead</w:t>
            </w:r>
          </w:p>
        </w:tc>
      </w:tr>
      <w:tr>
        <w:tc>
          <w:tcPr>
            <w:tcW w:type="dxa" w:w="946"/>
          </w:tcPr>
          <w:p>
            <w:pPr>
              <w:spacing w:after="0"/>
            </w:pPr>
            <w:r>
              <w:rPr>
                <w:rFonts w:ascii="Calibri" w:hAnsi="Calibri" w:eastAsia="Calibri"/>
                <w:b w:val="0"/>
                <w:color w:val="16232B"/>
                <w:sz w:val="16"/>
              </w:rPr>
              <w:t>4</w:t>
            </w:r>
          </w:p>
        </w:tc>
        <w:tc>
          <w:tcPr>
            <w:tcW w:type="dxa" w:w="4730"/>
          </w:tcPr>
          <w:p>
            <w:pPr>
              <w:spacing w:after="0"/>
            </w:pPr>
            <w:r>
              <w:rPr>
                <w:rFonts w:ascii="Calibri" w:hAnsi="Calibri" w:eastAsia="Calibri"/>
                <w:b w:val="0"/>
                <w:color w:val="16232B"/>
                <w:sz w:val="16"/>
              </w:rPr>
              <w:t>The transition table and roles are set for the phase's documents</w:t>
            </w:r>
          </w:p>
        </w:tc>
        <w:tc>
          <w:tcPr>
            <w:tcW w:type="dxa" w:w="3048"/>
          </w:tcPr>
          <w:p>
            <w:pPr>
              <w:spacing w:after="0"/>
            </w:pPr>
            <w:r>
              <w:rPr>
                <w:rFonts w:ascii="Calibri" w:hAnsi="Calibri" w:eastAsia="Calibri"/>
                <w:b w:val="0"/>
                <w:color w:val="16232B"/>
                <w:sz w:val="16"/>
              </w:rPr>
              <w:t>Transition table, access list</w:t>
            </w:r>
          </w:p>
        </w:tc>
        <w:tc>
          <w:tcPr>
            <w:tcW w:type="dxa" w:w="1787"/>
          </w:tcPr>
          <w:p>
            <w:pPr>
              <w:spacing w:after="0"/>
            </w:pPr>
            <w:r>
              <w:rPr>
                <w:rFonts w:ascii="Calibri" w:hAnsi="Calibri" w:eastAsia="Calibri"/>
                <w:b w:val="0"/>
                <w:color w:val="16232B"/>
                <w:sz w:val="16"/>
              </w:rPr>
              <w:t>Product owner</w:t>
            </w:r>
          </w:p>
        </w:tc>
      </w:tr>
      <w:tr>
        <w:tc>
          <w:tcPr>
            <w:tcW w:type="dxa" w:w="946"/>
          </w:tcPr>
          <w:p>
            <w:pPr>
              <w:spacing w:after="0"/>
            </w:pPr>
            <w:r>
              <w:rPr>
                <w:rFonts w:ascii="Calibri" w:hAnsi="Calibri" w:eastAsia="Calibri"/>
                <w:b w:val="0"/>
                <w:color w:val="16232B"/>
                <w:sz w:val="16"/>
              </w:rPr>
              <w:t>5</w:t>
            </w:r>
          </w:p>
        </w:tc>
        <w:tc>
          <w:tcPr>
            <w:tcW w:type="dxa" w:w="4730"/>
          </w:tcPr>
          <w:p>
            <w:pPr>
              <w:spacing w:after="0"/>
            </w:pPr>
            <w:r>
              <w:rPr>
                <w:rFonts w:ascii="Calibri" w:hAnsi="Calibri" w:eastAsia="Calibri"/>
                <w:b w:val="0"/>
                <w:color w:val="16232B"/>
                <w:sz w:val="16"/>
              </w:rPr>
              <w:t>No open gap in the decided-versus-built register for the phase</w:t>
            </w:r>
          </w:p>
        </w:tc>
        <w:tc>
          <w:tcPr>
            <w:tcW w:type="dxa" w:w="3048"/>
          </w:tcPr>
          <w:p>
            <w:pPr>
              <w:spacing w:after="0"/>
            </w:pPr>
            <w:r>
              <w:rPr>
                <w:rFonts w:ascii="Calibri" w:hAnsi="Calibri" w:eastAsia="Calibri"/>
                <w:b w:val="0"/>
                <w:color w:val="16232B"/>
                <w:sz w:val="16"/>
              </w:rPr>
              <w:t>The register (D13)</w:t>
            </w:r>
          </w:p>
        </w:tc>
        <w:tc>
          <w:tcPr>
            <w:tcW w:type="dxa" w:w="1787"/>
          </w:tcPr>
          <w:p>
            <w:pPr>
              <w:spacing w:after="0"/>
            </w:pPr>
            <w:r>
              <w:rPr>
                <w:rFonts w:ascii="Calibri" w:hAnsi="Calibri" w:eastAsia="Calibri"/>
                <w:b w:val="0"/>
                <w:color w:val="16232B"/>
                <w:sz w:val="16"/>
              </w:rPr>
              <w:t>Product owner</w:t>
            </w:r>
          </w:p>
        </w:tc>
      </w:tr>
      <w:tr>
        <w:tc>
          <w:tcPr>
            <w:tcW w:type="dxa" w:w="946"/>
          </w:tcPr>
          <w:p>
            <w:pPr>
              <w:spacing w:after="0"/>
            </w:pPr>
            <w:r>
              <w:rPr>
                <w:rFonts w:ascii="Calibri" w:hAnsi="Calibri" w:eastAsia="Calibri"/>
                <w:b w:val="0"/>
                <w:color w:val="16232B"/>
                <w:sz w:val="16"/>
              </w:rPr>
              <w:t>6</w:t>
            </w:r>
          </w:p>
        </w:tc>
        <w:tc>
          <w:tcPr>
            <w:tcW w:type="dxa" w:w="4730"/>
          </w:tcPr>
          <w:p>
            <w:pPr>
              <w:spacing w:after="0"/>
            </w:pPr>
            <w:r>
              <w:rPr>
                <w:rFonts w:ascii="Calibri" w:hAnsi="Calibri" w:eastAsia="Calibri"/>
                <w:b w:val="0"/>
                <w:color w:val="16232B"/>
                <w:sz w:val="16"/>
              </w:rPr>
              <w:t>Every user has a login with the right role and has been trained</w:t>
            </w:r>
          </w:p>
        </w:tc>
        <w:tc>
          <w:tcPr>
            <w:tcW w:type="dxa" w:w="3048"/>
          </w:tcPr>
          <w:p>
            <w:pPr>
              <w:spacing w:after="0"/>
            </w:pPr>
            <w:r>
              <w:rPr>
                <w:rFonts w:ascii="Calibri" w:hAnsi="Calibri" w:eastAsia="Calibri"/>
                <w:b w:val="0"/>
                <w:color w:val="16232B"/>
                <w:sz w:val="16"/>
              </w:rPr>
              <w:t>Access list, attendance</w:t>
            </w:r>
          </w:p>
        </w:tc>
        <w:tc>
          <w:tcPr>
            <w:tcW w:type="dxa" w:w="1787"/>
          </w:tcPr>
          <w:p>
            <w:pPr>
              <w:spacing w:after="0"/>
            </w:pPr>
            <w:r>
              <w:rPr>
                <w:rFonts w:ascii="Calibri" w:hAnsi="Calibri" w:eastAsia="Calibri"/>
                <w:b w:val="0"/>
                <w:color w:val="16232B"/>
                <w:sz w:val="16"/>
              </w:rPr>
              <w:t>Department head</w:t>
            </w:r>
          </w:p>
        </w:tc>
      </w:tr>
    </w:tbl>
    <w:p>
      <w:pPr>
        <w:spacing w:after="0" w:line="144" w:lineRule="auto"/>
      </w:pPr>
    </w:p>
    <w:p>
      <w:pPr>
        <w:keepNext/>
        <w:spacing w:before="100" w:after="20"/>
      </w:pPr>
      <w:r>
        <w:rPr>
          <w:rFonts w:ascii="Cambria" w:hAnsi="Cambria" w:eastAsia="Cambria"/>
          <w:b/>
          <w:color w:val="1D5C6B"/>
          <w:sz w:val="23"/>
        </w:rPr>
        <w:t>Risks watched during each phase</w:t>
      </w:r>
    </w:p>
    <w:tbl>
      <w:tblPr>
        <w:tblW w:type="auto" w:w="0"/>
        <w:jc w:val="left"/>
        <w:tblLayout w:type="fixed"/>
        <w:tblLook w:firstColumn="1" w:firstRow="1" w:lastColumn="0" w:lastRow="0" w:noHBand="0" w:noVBand="1" w:val="04A0"/>
        <w:tblBorders>
          <w:top w:val="single" w:sz="4" w:color="D5DDE0"/>
          <w:bottom w:val="single" w:sz="4" w:color="D5DDE0"/>
          <w:insideH w:val="single" w:sz="4" w:color="D5DDE0"/>
          <w:left w:val="nil"/>
          <w:right w:val="nil"/>
          <w:insideV w:val="nil"/>
        </w:tblBorders>
      </w:tblPr>
      <w:tblGrid>
        <w:gridCol w:w="3504"/>
        <w:gridCol w:w="3504"/>
        <w:gridCol w:w="3504"/>
      </w:tblGrid>
      <w:tr>
        <w:tc>
          <w:tcPr>
            <w:tcW w:type="dxa" w:w="3504"/>
            <w:shd w:val="clear" w:color="auto" w:fill="F1F5F6"/>
          </w:tcPr>
          <w:p>
            <w:pPr>
              <w:spacing w:after="0"/>
            </w:pPr>
            <w:r>
              <w:rPr>
                <w:rFonts w:ascii="Calibri" w:hAnsi="Calibri" w:eastAsia="Calibri"/>
                <w:b/>
                <w:color w:val="16232B"/>
                <w:sz w:val="16"/>
              </w:rPr>
              <w:t>Risk</w:t>
            </w:r>
          </w:p>
        </w:tc>
        <w:tc>
          <w:tcPr>
            <w:tcW w:type="dxa" w:w="3504"/>
            <w:shd w:val="clear" w:color="auto" w:fill="F1F5F6"/>
          </w:tcPr>
          <w:p>
            <w:pPr>
              <w:spacing w:after="0"/>
            </w:pPr>
            <w:r>
              <w:rPr>
                <w:rFonts w:ascii="Calibri" w:hAnsi="Calibri" w:eastAsia="Calibri"/>
                <w:b/>
                <w:color w:val="16232B"/>
                <w:sz w:val="16"/>
              </w:rPr>
              <w:t>Early sign</w:t>
            </w:r>
          </w:p>
        </w:tc>
        <w:tc>
          <w:tcPr>
            <w:tcW w:type="dxa" w:w="3504"/>
            <w:shd w:val="clear" w:color="auto" w:fill="F1F5F6"/>
          </w:tcPr>
          <w:p>
            <w:pPr>
              <w:spacing w:after="0"/>
            </w:pPr>
            <w:r>
              <w:rPr>
                <w:rFonts w:ascii="Calibri" w:hAnsi="Calibri" w:eastAsia="Calibri"/>
                <w:b/>
                <w:color w:val="16232B"/>
                <w:sz w:val="16"/>
              </w:rPr>
              <w:t>Response</w:t>
            </w:r>
          </w:p>
        </w:tc>
      </w:tr>
      <w:tr>
        <w:tc>
          <w:tcPr>
            <w:tcW w:type="dxa" w:w="3504"/>
          </w:tcPr>
          <w:p>
            <w:pPr>
              <w:spacing w:after="0"/>
            </w:pPr>
            <w:r>
              <w:rPr>
                <w:rFonts w:ascii="Calibri" w:hAnsi="Calibri" w:eastAsia="Calibri"/>
                <w:b w:val="0"/>
                <w:color w:val="16232B"/>
                <w:sz w:val="16"/>
              </w:rPr>
              <w:t>Staff keep working on paper after the parallel run</w:t>
            </w:r>
          </w:p>
        </w:tc>
        <w:tc>
          <w:tcPr>
            <w:tcW w:type="dxa" w:w="3504"/>
          </w:tcPr>
          <w:p>
            <w:pPr>
              <w:spacing w:after="0"/>
            </w:pPr>
            <w:r>
              <w:rPr>
                <w:rFonts w:ascii="Calibri" w:hAnsi="Calibri" w:eastAsia="Calibri"/>
                <w:b w:val="0"/>
                <w:color w:val="16232B"/>
                <w:sz w:val="16"/>
              </w:rPr>
              <w:t>Orders arrive by email once paper has stopped</w:t>
            </w:r>
          </w:p>
        </w:tc>
        <w:tc>
          <w:tcPr>
            <w:tcW w:type="dxa" w:w="3504"/>
          </w:tcPr>
          <w:p>
            <w:pPr>
              <w:spacing w:after="0"/>
            </w:pPr>
            <w:r>
              <w:rPr>
                <w:rFonts w:ascii="Calibri" w:hAnsi="Calibri" w:eastAsia="Calibri"/>
                <w:b w:val="0"/>
                <w:color w:val="16232B"/>
                <w:sz w:val="16"/>
              </w:rPr>
              <w:t>Superuser follows up the same day</w:t>
            </w:r>
          </w:p>
        </w:tc>
      </w:tr>
      <w:tr>
        <w:tc>
          <w:tcPr>
            <w:tcW w:type="dxa" w:w="3504"/>
          </w:tcPr>
          <w:p>
            <w:pPr>
              <w:spacing w:after="0"/>
            </w:pPr>
            <w:r>
              <w:rPr>
                <w:rFonts w:ascii="Calibri" w:hAnsi="Calibri" w:eastAsia="Calibri"/>
                <w:b w:val="0"/>
                <w:color w:val="16232B"/>
                <w:sz w:val="16"/>
              </w:rPr>
              <w:t>A migrated order is in the wrong state</w:t>
            </w:r>
          </w:p>
        </w:tc>
        <w:tc>
          <w:tcPr>
            <w:tcW w:type="dxa" w:w="3504"/>
          </w:tcPr>
          <w:p>
            <w:pPr>
              <w:spacing w:after="0"/>
            </w:pPr>
            <w:r>
              <w:rPr>
                <w:rFonts w:ascii="Calibri" w:hAnsi="Calibri" w:eastAsia="Calibri"/>
                <w:b w:val="0"/>
                <w:color w:val="16232B"/>
                <w:sz w:val="16"/>
              </w:rPr>
              <w:t>Sales can edit an order the workshop has started</w:t>
            </w:r>
          </w:p>
        </w:tc>
        <w:tc>
          <w:tcPr>
            <w:tcW w:type="dxa" w:w="3504"/>
          </w:tcPr>
          <w:p>
            <w:pPr>
              <w:spacing w:after="0"/>
            </w:pPr>
            <w:r>
              <w:rPr>
                <w:rFonts w:ascii="Calibri" w:hAnsi="Calibri" w:eastAsia="Calibri"/>
                <w:b w:val="0"/>
                <w:color w:val="16232B"/>
                <w:sz w:val="16"/>
              </w:rPr>
              <w:t>Correct its state with its department; recheck the batch it came in</w:t>
            </w:r>
          </w:p>
        </w:tc>
      </w:tr>
      <w:tr>
        <w:tc>
          <w:tcPr>
            <w:tcW w:type="dxa" w:w="3504"/>
          </w:tcPr>
          <w:p>
            <w:pPr>
              <w:spacing w:after="0"/>
            </w:pPr>
            <w:r>
              <w:rPr>
                <w:rFonts w:ascii="Calibri" w:hAnsi="Calibri" w:eastAsia="Calibri"/>
                <w:b w:val="0"/>
                <w:color w:val="16232B"/>
                <w:sz w:val="16"/>
              </w:rPr>
              <w:t>Stock drifts from the system count</w:t>
            </w:r>
          </w:p>
        </w:tc>
        <w:tc>
          <w:tcPr>
            <w:tcW w:type="dxa" w:w="3504"/>
          </w:tcPr>
          <w:p>
            <w:pPr>
              <w:spacing w:after="0"/>
            </w:pPr>
            <w:r>
              <w:rPr>
                <w:rFonts w:ascii="Calibri" w:hAnsi="Calibri" w:eastAsia="Calibri"/>
                <w:b w:val="0"/>
                <w:color w:val="16232B"/>
                <w:sz w:val="16"/>
              </w:rPr>
              <w:t>Cycle-count differences on the weekly sample</w:t>
            </w:r>
          </w:p>
        </w:tc>
        <w:tc>
          <w:tcPr>
            <w:tcW w:type="dxa" w:w="3504"/>
          </w:tcPr>
          <w:p>
            <w:pPr>
              <w:spacing w:after="0"/>
            </w:pPr>
            <w:r>
              <w:rPr>
                <w:rFonts w:ascii="Calibri" w:hAnsi="Calibri" w:eastAsia="Calibri"/>
                <w:b w:val="0"/>
                <w:color w:val="16232B"/>
                <w:sz w:val="16"/>
              </w:rPr>
              <w:t>Recount the bay; find the step that skipped the system</w:t>
            </w:r>
          </w:p>
        </w:tc>
      </w:tr>
      <w:tr>
        <w:tc>
          <w:tcPr>
            <w:tcW w:type="dxa" w:w="3504"/>
          </w:tcPr>
          <w:p>
            <w:pPr>
              <w:spacing w:after="0"/>
            </w:pPr>
            <w:r>
              <w:rPr>
                <w:rFonts w:ascii="Calibri" w:hAnsi="Calibri" w:eastAsia="Calibri"/>
                <w:b w:val="0"/>
                <w:color w:val="16232B"/>
                <w:sz w:val="16"/>
              </w:rPr>
              <w:t>Finance is not ready to post by the parallel run</w:t>
            </w:r>
          </w:p>
        </w:tc>
        <w:tc>
          <w:tcPr>
            <w:tcW w:type="dxa" w:w="3504"/>
          </w:tcPr>
          <w:p>
            <w:pPr>
              <w:spacing w:after="0"/>
            </w:pPr>
            <w:r>
              <w:rPr>
                <w:rFonts w:ascii="Calibri" w:hAnsi="Calibri" w:eastAsia="Calibri"/>
                <w:b w:val="0"/>
                <w:color w:val="16232B"/>
                <w:sz w:val="16"/>
              </w:rPr>
              <w:t>Vouchers saved but not posted at month end</w:t>
            </w:r>
          </w:p>
        </w:tc>
        <w:tc>
          <w:tcPr>
            <w:tcW w:type="dxa" w:w="3504"/>
          </w:tcPr>
          <w:p>
            <w:pPr>
              <w:spacing w:after="0"/>
            </w:pPr>
            <w:r>
              <w:rPr>
                <w:rFonts w:ascii="Calibri" w:hAnsi="Calibri" w:eastAsia="Calibri"/>
                <w:b w:val="0"/>
                <w:color w:val="16232B"/>
                <w:sz w:val="16"/>
              </w:rPr>
              <w:t>Finance practises posting in the copy during the pilot's last two weeks</w:t>
            </w:r>
          </w:p>
        </w:tc>
      </w:tr>
      <w:tr>
        <w:tc>
          <w:tcPr>
            <w:tcW w:type="dxa" w:w="3504"/>
          </w:tcPr>
          <w:p>
            <w:pPr>
              <w:spacing w:after="0"/>
            </w:pPr>
            <w:r>
              <w:rPr>
                <w:rFonts w:ascii="Calibri" w:hAnsi="Calibri" w:eastAsia="Calibri"/>
                <w:b w:val="0"/>
                <w:color w:val="16232B"/>
                <w:sz w:val="16"/>
              </w:rPr>
              <w:t>Adoption stalls below the whole group</w:t>
            </w:r>
          </w:p>
        </w:tc>
        <w:tc>
          <w:tcPr>
            <w:tcW w:type="dxa" w:w="3504"/>
          </w:tcPr>
          <w:p>
            <w:pPr>
              <w:spacing w:after="0"/>
            </w:pPr>
            <w:r>
              <w:rPr>
                <w:rFonts w:ascii="Calibri" w:hAnsi="Calibri" w:eastAsia="Calibri"/>
                <w:b w:val="0"/>
                <w:color w:val="16232B"/>
                <w:sz w:val="16"/>
              </w:rPr>
              <w:t>Weekly active users flat for two weeks</w:t>
            </w:r>
          </w:p>
        </w:tc>
        <w:tc>
          <w:tcPr>
            <w:tcW w:type="dxa" w:w="3504"/>
          </w:tcPr>
          <w:p>
            <w:pPr>
              <w:spacing w:after="0"/>
            </w:pPr>
            <w:r>
              <w:rPr>
                <w:rFonts w:ascii="Calibri" w:hAnsi="Calibri" w:eastAsia="Calibri"/>
                <w:b w:val="0"/>
                <w:color w:val="16232B"/>
                <w:sz w:val="16"/>
              </w:rPr>
              <w:t>Ask the people who are not using it why; often a shift or a missing role</w:t>
            </w:r>
          </w:p>
        </w:tc>
      </w:tr>
      <w:tr>
        <w:tc>
          <w:tcPr>
            <w:tcW w:type="dxa" w:w="3504"/>
          </w:tcPr>
          <w:p>
            <w:pPr>
              <w:spacing w:after="0"/>
            </w:pPr>
            <w:r>
              <w:rPr>
                <w:rFonts w:ascii="Calibri" w:hAnsi="Calibri" w:eastAsia="Calibri"/>
                <w:b w:val="0"/>
                <w:color w:val="16232B"/>
                <w:sz w:val="16"/>
              </w:rPr>
              <w:t>Migrated overdue invoices put key customers on credit hold on day one</w:t>
            </w:r>
          </w:p>
        </w:tc>
        <w:tc>
          <w:tcPr>
            <w:tcW w:type="dxa" w:w="3504"/>
          </w:tcPr>
          <w:p>
            <w:pPr>
              <w:spacing w:after="0"/>
            </w:pPr>
            <w:r>
              <w:rPr>
                <w:rFonts w:ascii="Calibri" w:hAnsi="Calibri" w:eastAsia="Calibri"/>
                <w:b w:val="0"/>
                <w:color w:val="16232B"/>
                <w:sz w:val="16"/>
              </w:rPr>
              <w:t>The hold list, run the week before receivables go live</w:t>
            </w:r>
          </w:p>
        </w:tc>
        <w:tc>
          <w:tcPr>
            <w:tcW w:type="dxa" w:w="3504"/>
          </w:tcPr>
          <w:p>
            <w:pPr>
              <w:spacing w:after="0"/>
            </w:pPr>
            <w:r>
              <w:rPr>
                <w:rFonts w:ascii="Calibri" w:hAnsi="Calibri" w:eastAsia="Calibri"/>
                <w:b w:val="0"/>
                <w:color w:val="16232B"/>
                <w:sz w:val="16"/>
              </w:rPr>
              <w:t>The chief accountant releases, or agrees a payment plan, before go-live</w:t>
            </w:r>
          </w:p>
        </w:tc>
      </w:tr>
      <w:tr>
        <w:tc>
          <w:tcPr>
            <w:tcW w:type="dxa" w:w="3504"/>
          </w:tcPr>
          <w:p>
            <w:pPr>
              <w:spacing w:after="0"/>
            </w:pPr>
            <w:r>
              <w:rPr>
                <w:rFonts w:ascii="Calibri" w:hAnsi="Calibri" w:eastAsia="Calibri"/>
                <w:b w:val="0"/>
                <w:color w:val="16232B"/>
                <w:sz w:val="16"/>
              </w:rPr>
              <w:t>Trucks wait for invoices</w:t>
            </w:r>
          </w:p>
        </w:tc>
        <w:tc>
          <w:tcPr>
            <w:tcW w:type="dxa" w:w="3504"/>
          </w:tcPr>
          <w:p>
            <w:pPr>
              <w:spacing w:after="0"/>
            </w:pPr>
            <w:r>
              <w:rPr>
                <w:rFonts w:ascii="Calibri" w:hAnsi="Calibri" w:eastAsia="Calibri"/>
                <w:b w:val="0"/>
                <w:color w:val="16232B"/>
                <w:sz w:val="16"/>
              </w:rPr>
              <w:t>An issued trip waits over an hour for its invoice</w:t>
            </w:r>
          </w:p>
        </w:tc>
        <w:tc>
          <w:tcPr>
            <w:tcW w:type="dxa" w:w="3504"/>
          </w:tcPr>
          <w:p>
            <w:pPr>
              <w:spacing w:after="0"/>
            </w:pPr>
            <w:r>
              <w:rPr>
                <w:rFonts w:ascii="Calibri" w:hAnsi="Calibri" w:eastAsia="Calibri"/>
                <w:b w:val="0"/>
                <w:color w:val="16232B"/>
                <w:sz w:val="16"/>
              </w:rPr>
              <w:t>Accounting covers every dispatch hour (N13)</w:t>
            </w:r>
          </w:p>
        </w:tc>
      </w:tr>
    </w:tbl>
    <w:p>
      <w:pPr>
        <w:spacing w:after="0" w:line="144" w:lineRule="auto"/>
      </w:pPr>
    </w:p>
    <w:p>
      <w:r>
        <w:rPr>
          <w:rFonts w:ascii="Calibri" w:hAnsi="Calibri" w:eastAsia="Calibri"/>
          <w:b/>
          <w:color w:val="16232B"/>
        </w:rPr>
        <w:t>Who decides.</w:t>
      </w:r>
      <w:r>
        <w:rPr>
          <w:rFonts w:ascii="Calibri" w:hAnsi="Calibri" w:eastAsia="Calibri"/>
          <w:b w:val="0"/>
          <w:color w:val="16232B"/>
        </w:rPr>
        <w:t xml:space="preserve"> The product owner recommends; the executive sponsor decides. A no-go names the failed criterion and its re-check date.</w:t>
      </w:r>
    </w:p>
    <w:p>
      <w:r>
        <w:rPr>
          <w:rFonts w:ascii="Calibri" w:hAnsi="Calibri" w:eastAsia="Calibri"/>
          <w:b/>
          <w:color w:val="16232B"/>
        </w:rPr>
        <w:t>Rollback.</w:t>
      </w:r>
      <w:r>
        <w:rPr>
          <w:rFonts w:ascii="Calibri" w:hAnsi="Calibri" w:eastAsia="Calibri"/>
          <w:b w:val="0"/>
          <w:color w:val="16232B"/>
        </w:rPr>
        <w:t xml:space="preserve"> In the parallel run, stop system entry and reconcile back to paper. After it, fix forward: a correction document, never an edit.</w:t>
      </w:r>
    </w:p>
    <w:sectPr w:rsidR="00FC693F" w:rsidRPr="0006063C" w:rsidSect="00034616">
      <w:footerReference w:type="default" r:id="rId9"/>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eastAsia="Calibri"/>
        <w:b w:val="0"/>
        <w:color w:val="5B6B73"/>
        <w:sz w:val="16"/>
      </w:rPr>
      <w:t xml:space="preserve">Tanmark Industries: an ERP case study . fictional company, illustrative numbers . page </w:t>
    </w:r>
    <w:r>
      <w:rPr>
        <w:color w:val="5B6B73"/>
        <w:sz w:val="16"/>
      </w:rPr>
      <w:fldChar w:fldCharType="begin"/>
    </w:r>
    <w:r>
      <w:rPr>
        <w:color w:val="5B6B73"/>
        <w:sz w:val="16"/>
      </w:rPr>
      <w:instrText xml:space="preserve">PAGE</w:instrText>
    </w:r>
    <w:r>
      <w:rPr>
        <w:color w:val="5B6B73"/>
        <w:sz w:val="16"/>
      </w:rPr>
      <w:fldChar w:fldCharType="end"/>
    </w:r>
    <w:r>
      <w:rPr>
        <w:rFonts w:ascii="Calibri" w:hAnsi="Calibri" w:eastAsia="Calibri"/>
        <w:b w:val="0"/>
        <w:color w:val="5B6B73"/>
        <w:sz w:val="16"/>
      </w:rPr>
      <w:t xml:space="preserve"> of </w:t>
    </w:r>
    <w:r>
      <w:rPr>
        <w:color w:val="5B6B73"/>
        <w:sz w:val="16"/>
      </w:rPr>
      <w:fldChar w:fldCharType="begin"/>
    </w:r>
    <w:r>
      <w:rPr>
        <w:color w:val="5B6B73"/>
        <w:sz w:val="16"/>
      </w:rPr>
      <w:instrText xml:space="preserve">NUMPAGES</w:instrText>
    </w:r>
    <w:r>
      <w:rPr>
        <w:color w:val="5B6B73"/>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Calibri" w:hAnsi="Calibri" w:eastAsia="Calibri"/>
      <w:color w:val="16232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