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4EAFD" w14:textId="77777777" w:rsidR="00B74C5D" w:rsidRDefault="00B74C5D">
      <w:pPr>
        <w:rPr>
          <w:rFonts w:ascii="黑体" w:eastAsia="黑体" w:hAnsi="宋体" w:hint="eastAsia"/>
          <w:sz w:val="32"/>
          <w:szCs w:val="32"/>
        </w:rPr>
      </w:pPr>
    </w:p>
    <w:p w14:paraId="2C04EAFE" w14:textId="77777777" w:rsidR="00B74C5D" w:rsidRDefault="00B74C5D">
      <w:pPr>
        <w:rPr>
          <w:rFonts w:ascii="黑体" w:eastAsia="黑体" w:hAnsi="宋体" w:hint="eastAsia"/>
          <w:sz w:val="32"/>
          <w:szCs w:val="32"/>
        </w:rPr>
      </w:pPr>
    </w:p>
    <w:p w14:paraId="2C04EAFF" w14:textId="77777777" w:rsidR="00B74C5D" w:rsidRDefault="00B74C5D">
      <w:pPr>
        <w:rPr>
          <w:rFonts w:ascii="黑体" w:eastAsia="黑体" w:hAnsi="宋体" w:hint="eastAsia"/>
          <w:sz w:val="32"/>
          <w:szCs w:val="32"/>
        </w:rPr>
      </w:pPr>
    </w:p>
    <w:p w14:paraId="2C04EB00" w14:textId="66F8F697" w:rsidR="00B74C5D" w:rsidRDefault="00F72284" w:rsidP="000B295B">
      <w:pPr>
        <w:jc w:val="center"/>
        <w:rPr>
          <w:rFonts w:ascii="黑体" w:eastAsia="黑体" w:hAnsi="宋体" w:hint="eastAsia"/>
          <w:b/>
          <w:sz w:val="52"/>
          <w:szCs w:val="52"/>
        </w:rPr>
      </w:pPr>
      <w:r>
        <w:rPr>
          <w:rFonts w:eastAsia="黑体"/>
          <w:b/>
          <w:sz w:val="52"/>
          <w:szCs w:val="52"/>
        </w:rPr>
        <w:t>202</w:t>
      </w:r>
      <w:r w:rsidR="001B67F9">
        <w:rPr>
          <w:rFonts w:eastAsia="黑体" w:hint="eastAsia"/>
          <w:b/>
          <w:sz w:val="52"/>
          <w:szCs w:val="52"/>
        </w:rPr>
        <w:t>5</w:t>
      </w:r>
      <w:r>
        <w:rPr>
          <w:rFonts w:ascii="黑体" w:eastAsia="黑体" w:hAnsi="宋体" w:hint="eastAsia"/>
          <w:b/>
          <w:sz w:val="52"/>
          <w:szCs w:val="52"/>
        </w:rPr>
        <w:t>年全国大学生信息安全竞赛</w:t>
      </w:r>
    </w:p>
    <w:p w14:paraId="2C04EB01" w14:textId="77777777" w:rsidR="00B74C5D" w:rsidRDefault="00F72284">
      <w:pPr>
        <w:jc w:val="center"/>
        <w:rPr>
          <w:b/>
          <w:sz w:val="52"/>
          <w:szCs w:val="52"/>
        </w:rPr>
      </w:pPr>
      <w:r>
        <w:rPr>
          <w:rFonts w:ascii="黑体" w:eastAsia="黑体" w:hAnsi="宋体" w:hint="eastAsia"/>
          <w:b/>
          <w:sz w:val="52"/>
          <w:szCs w:val="52"/>
        </w:rPr>
        <w:t>作品报告</w:t>
      </w:r>
    </w:p>
    <w:p w14:paraId="2C04EB02" w14:textId="77777777" w:rsidR="00B74C5D" w:rsidRDefault="00B74C5D">
      <w:pPr>
        <w:spacing w:line="360" w:lineRule="auto"/>
        <w:rPr>
          <w:rFonts w:ascii="宋体" w:hAnsi="宋体" w:hint="eastAsia"/>
          <w:sz w:val="24"/>
        </w:rPr>
      </w:pPr>
    </w:p>
    <w:p w14:paraId="2C04EB03" w14:textId="77777777" w:rsidR="00B74C5D" w:rsidRDefault="00B74C5D">
      <w:pPr>
        <w:spacing w:line="360" w:lineRule="auto"/>
        <w:rPr>
          <w:rFonts w:ascii="宋体" w:hAnsi="宋体" w:hint="eastAsia"/>
          <w:sz w:val="24"/>
        </w:rPr>
      </w:pPr>
    </w:p>
    <w:p w14:paraId="2C04EB04" w14:textId="77777777" w:rsidR="00B74C5D" w:rsidRDefault="00B74C5D">
      <w:pPr>
        <w:spacing w:line="360" w:lineRule="auto"/>
        <w:rPr>
          <w:rFonts w:ascii="宋体" w:hAnsi="宋体" w:hint="eastAsia"/>
          <w:sz w:val="24"/>
        </w:rPr>
      </w:pPr>
    </w:p>
    <w:p w14:paraId="2C04EB05" w14:textId="77777777" w:rsidR="00B74C5D" w:rsidRDefault="00B74C5D">
      <w:pPr>
        <w:spacing w:line="360" w:lineRule="auto"/>
        <w:rPr>
          <w:rFonts w:ascii="宋体" w:hAnsi="宋体" w:hint="eastAsia"/>
          <w:sz w:val="24"/>
        </w:rPr>
      </w:pPr>
    </w:p>
    <w:p w14:paraId="2C04EB06" w14:textId="77777777" w:rsidR="00B74C5D" w:rsidRDefault="00B74C5D">
      <w:pPr>
        <w:spacing w:line="360" w:lineRule="auto"/>
        <w:rPr>
          <w:rFonts w:ascii="宋体" w:hAnsi="宋体" w:hint="eastAsia"/>
          <w:sz w:val="24"/>
        </w:rPr>
      </w:pPr>
    </w:p>
    <w:p w14:paraId="2C04EB07" w14:textId="77777777" w:rsidR="00B74C5D" w:rsidRDefault="00B74C5D">
      <w:pPr>
        <w:spacing w:line="360" w:lineRule="auto"/>
        <w:rPr>
          <w:rFonts w:ascii="宋体" w:hAnsi="宋体" w:hint="eastAsia"/>
          <w:sz w:val="24"/>
        </w:rPr>
      </w:pPr>
    </w:p>
    <w:p w14:paraId="2C04EB08" w14:textId="77777777" w:rsidR="00B74C5D" w:rsidRDefault="00B74C5D">
      <w:pPr>
        <w:spacing w:line="360" w:lineRule="auto"/>
        <w:rPr>
          <w:rFonts w:ascii="宋体" w:hAnsi="宋体" w:hint="eastAsia"/>
          <w:sz w:val="24"/>
        </w:rPr>
      </w:pPr>
    </w:p>
    <w:p w14:paraId="2C04EB09" w14:textId="77777777" w:rsidR="00B74C5D" w:rsidRDefault="00F72284">
      <w:pPr>
        <w:spacing w:line="360" w:lineRule="auto"/>
        <w:rPr>
          <w:rFonts w:ascii="黑体" w:eastAsia="黑体" w:hAnsi="宋体" w:hint="eastAsia"/>
          <w:b/>
          <w:sz w:val="32"/>
          <w:szCs w:val="32"/>
          <w:u w:val="single"/>
        </w:rPr>
      </w:pPr>
      <w:r>
        <w:rPr>
          <w:rFonts w:ascii="黑体" w:eastAsia="黑体" w:hAnsi="宋体" w:hint="eastAsia"/>
          <w:b/>
          <w:sz w:val="32"/>
          <w:szCs w:val="32"/>
        </w:rPr>
        <w:t>作品名称：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                               </w:t>
      </w:r>
    </w:p>
    <w:p w14:paraId="2C04EB0A" w14:textId="77777777" w:rsidR="00B74C5D" w:rsidRDefault="00F72284">
      <w:pPr>
        <w:spacing w:line="360" w:lineRule="auto"/>
        <w:rPr>
          <w:rFonts w:ascii="黑体" w:eastAsia="黑体" w:hAnsi="宋体" w:hint="eastAsia"/>
          <w:b/>
          <w:sz w:val="32"/>
          <w:szCs w:val="32"/>
        </w:rPr>
      </w:pPr>
      <w:r>
        <w:rPr>
          <w:rFonts w:ascii="黑体" w:eastAsia="黑体" w:hAnsi="宋体" w:hint="eastAsia"/>
          <w:b/>
          <w:sz w:val="32"/>
          <w:szCs w:val="32"/>
        </w:rPr>
        <w:t>电子邮箱：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                               </w:t>
      </w:r>
    </w:p>
    <w:p w14:paraId="2C04EB0B" w14:textId="77777777" w:rsidR="00B74C5D" w:rsidRDefault="00F72284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黑体" w:eastAsia="黑体" w:hAnsi="宋体" w:hint="eastAsia"/>
          <w:b/>
          <w:sz w:val="32"/>
          <w:szCs w:val="32"/>
        </w:rPr>
        <w:t>提交日期：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                               </w:t>
      </w:r>
    </w:p>
    <w:p w14:paraId="2C04EB0C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  <w:sectPr w:rsidR="00B74C5D">
          <w:footerReference w:type="even" r:id="rId7"/>
          <w:pgSz w:w="11906" w:h="16838"/>
          <w:pgMar w:top="1440" w:right="1466" w:bottom="1440" w:left="1620" w:header="851" w:footer="992" w:gutter="0"/>
          <w:pgNumType w:fmt="decimalEnclosedCircle"/>
          <w:cols w:space="425"/>
          <w:docGrid w:type="lines" w:linePitch="312"/>
        </w:sectPr>
      </w:pPr>
    </w:p>
    <w:p w14:paraId="2C04EB0D" w14:textId="77777777" w:rsidR="00B74C5D" w:rsidRDefault="00F72284">
      <w:pPr>
        <w:adjustRightInd w:val="0"/>
        <w:snapToGrid w:val="0"/>
        <w:spacing w:line="360" w:lineRule="auto"/>
        <w:jc w:val="center"/>
        <w:rPr>
          <w:rFonts w:ascii="黑体" w:eastAsia="黑体"/>
          <w:bCs/>
          <w:sz w:val="32"/>
          <w:szCs w:val="32"/>
        </w:rPr>
      </w:pPr>
      <w:r>
        <w:rPr>
          <w:rFonts w:ascii="黑体" w:eastAsia="黑体" w:hint="eastAsia"/>
          <w:bCs/>
          <w:sz w:val="32"/>
          <w:szCs w:val="32"/>
        </w:rPr>
        <w:lastRenderedPageBreak/>
        <w:t>填写说明</w:t>
      </w:r>
    </w:p>
    <w:p w14:paraId="2C04EB0E" w14:textId="77777777" w:rsidR="00B74C5D" w:rsidRDefault="00F7228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 xml:space="preserve">1. </w:t>
      </w:r>
      <w:r>
        <w:rPr>
          <w:rFonts w:ascii="宋体" w:hAnsi="宋体" w:cs="DFKai-SB"/>
          <w:bCs/>
          <w:sz w:val="24"/>
        </w:rPr>
        <w:t>所有参赛</w:t>
      </w:r>
      <w:r>
        <w:rPr>
          <w:rFonts w:ascii="宋体" w:hAnsi="宋体" w:cs="DFKai-SB" w:hint="eastAsia"/>
          <w:bCs/>
          <w:sz w:val="24"/>
        </w:rPr>
        <w:t>项目</w:t>
      </w:r>
      <w:r>
        <w:rPr>
          <w:rFonts w:ascii="宋体" w:hAnsi="宋体" w:cs="DFKai-SB"/>
          <w:bCs/>
          <w:sz w:val="24"/>
        </w:rPr>
        <w:t>必须为一个基本完整的设计。</w:t>
      </w:r>
      <w:r>
        <w:rPr>
          <w:rFonts w:ascii="宋体" w:hAnsi="宋体" w:cs="DFKai-SB" w:hint="eastAsia"/>
          <w:bCs/>
          <w:sz w:val="24"/>
        </w:rPr>
        <w:t>作品报告书旨在能够清晰准确地阐述（或图示）该参赛队的参赛项目（或</w:t>
      </w:r>
      <w:r>
        <w:rPr>
          <w:rFonts w:ascii="宋体" w:hAnsi="宋体" w:cs="DFKai-SB"/>
          <w:bCs/>
          <w:sz w:val="24"/>
        </w:rPr>
        <w:t>方案</w:t>
      </w:r>
      <w:r>
        <w:rPr>
          <w:rFonts w:ascii="宋体" w:hAnsi="宋体" w:cs="DFKai-SB" w:hint="eastAsia"/>
          <w:bCs/>
          <w:sz w:val="24"/>
        </w:rPr>
        <w:t>）。</w:t>
      </w:r>
    </w:p>
    <w:p w14:paraId="2C04EB0F" w14:textId="77777777" w:rsidR="00B74C5D" w:rsidRDefault="00F7228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2. 作品报告采用A4纸撰写。除标题外，所有内容必需为宋体、小四号字、1.5倍行距。</w:t>
      </w:r>
    </w:p>
    <w:p w14:paraId="2C04EB10" w14:textId="77777777" w:rsidR="00B74C5D" w:rsidRDefault="00F7228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3. 作品报告中各项</w:t>
      </w:r>
      <w:proofErr w:type="gramStart"/>
      <w:r>
        <w:rPr>
          <w:rFonts w:ascii="宋体" w:hAnsi="宋体" w:cs="DFKai-SB" w:hint="eastAsia"/>
          <w:bCs/>
          <w:sz w:val="24"/>
        </w:rPr>
        <w:t>目说明</w:t>
      </w:r>
      <w:proofErr w:type="gramEnd"/>
      <w:r>
        <w:rPr>
          <w:rFonts w:ascii="宋体" w:hAnsi="宋体" w:cs="DFKai-SB" w:hint="eastAsia"/>
          <w:bCs/>
          <w:sz w:val="24"/>
        </w:rPr>
        <w:t>文字部分仅供参考，作品报告书撰写完毕后，请删除所有说明文字。(本页不删除)</w:t>
      </w:r>
    </w:p>
    <w:p w14:paraId="2C04EB11" w14:textId="77777777" w:rsidR="00B74C5D" w:rsidRDefault="00F7228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4. 作品报告模板里已经列的内容仅供参考，作者可以在此基础上增加内容或对文档结构进行微调。</w:t>
      </w:r>
    </w:p>
    <w:p w14:paraId="2C04EB12" w14:textId="77777777" w:rsidR="00B74C5D" w:rsidRDefault="00F7228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5. 为保证网评的公平、公正，作品报告中应避免出现作者所在学校、院系和指导教师等泄露身份的信息。</w:t>
      </w:r>
    </w:p>
    <w:p w14:paraId="2C04EB13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2C04EB14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2C04EB15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2C04EB16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2C04EB17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  <w:sectPr w:rsidR="00B74C5D">
          <w:pgSz w:w="11906" w:h="16838"/>
          <w:pgMar w:top="1440" w:right="1466" w:bottom="1440" w:left="1620" w:header="851" w:footer="992" w:gutter="0"/>
          <w:pgNumType w:fmt="decimalEnclosedCircle"/>
          <w:cols w:space="425"/>
          <w:docGrid w:type="lines" w:linePitch="312"/>
        </w:sectPr>
      </w:pPr>
    </w:p>
    <w:p w14:paraId="2C04EB18" w14:textId="77777777" w:rsidR="00B74C5D" w:rsidRDefault="00F72284">
      <w:pPr>
        <w:autoSpaceDE w:val="0"/>
        <w:autoSpaceDN w:val="0"/>
        <w:adjustRightInd w:val="0"/>
        <w:spacing w:line="360" w:lineRule="auto"/>
        <w:jc w:val="center"/>
        <w:rPr>
          <w:rFonts w:ascii="黑体" w:eastAsia="黑体" w:hAnsi="宋体" w:cs="DFKai-SB" w:hint="eastAsia"/>
          <w:b/>
          <w:bCs/>
          <w:sz w:val="32"/>
          <w:szCs w:val="32"/>
        </w:rPr>
      </w:pPr>
      <w:r>
        <w:rPr>
          <w:rFonts w:ascii="黑体" w:eastAsia="黑体" w:hAnsi="宋体" w:cs="DFKai-SB" w:hint="eastAsia"/>
          <w:b/>
          <w:bCs/>
          <w:sz w:val="32"/>
          <w:szCs w:val="32"/>
        </w:rPr>
        <w:lastRenderedPageBreak/>
        <w:t>目     录</w:t>
      </w:r>
    </w:p>
    <w:p w14:paraId="2C04EB19" w14:textId="77777777" w:rsidR="00B74C5D" w:rsidRDefault="00F72284">
      <w:pPr>
        <w:pStyle w:val="TOC1"/>
        <w:tabs>
          <w:tab w:val="right" w:leader="dot" w:pos="8810"/>
        </w:tabs>
        <w:rPr>
          <w:rFonts w:ascii="等线" w:eastAsia="等线" w:hAnsi="等线" w:hint="eastAsia"/>
          <w:sz w:val="21"/>
          <w:szCs w:val="22"/>
        </w:rPr>
      </w:pPr>
      <w:r>
        <w:rPr>
          <w:rFonts w:ascii="宋体" w:hAnsi="宋体"/>
          <w:bCs/>
          <w:sz w:val="32"/>
          <w:szCs w:val="21"/>
        </w:rPr>
        <w:fldChar w:fldCharType="begin"/>
      </w:r>
      <w:r>
        <w:rPr>
          <w:rFonts w:ascii="宋体" w:hAnsi="宋体"/>
          <w:bCs/>
          <w:sz w:val="32"/>
          <w:szCs w:val="21"/>
        </w:rPr>
        <w:instrText xml:space="preserve"> TOC \o "1-3" \h \z \u </w:instrText>
      </w:r>
      <w:r>
        <w:rPr>
          <w:rFonts w:ascii="宋体" w:hAnsi="宋体"/>
          <w:bCs/>
          <w:sz w:val="32"/>
          <w:szCs w:val="21"/>
        </w:rPr>
        <w:fldChar w:fldCharType="separate"/>
      </w:r>
      <w:hyperlink w:anchor="_Toc33965493" w:history="1">
        <w:r>
          <w:rPr>
            <w:rStyle w:val="a8"/>
            <w:rFonts w:ascii="黑体" w:eastAsia="黑体"/>
          </w:rPr>
          <w:t>摘要</w:t>
        </w:r>
        <w:r>
          <w:tab/>
        </w:r>
        <w:r>
          <w:fldChar w:fldCharType="begin"/>
        </w:r>
        <w:r>
          <w:instrText xml:space="preserve"> PAGEREF _Toc33965493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C04EB1A" w14:textId="77777777" w:rsidR="00B74C5D" w:rsidRDefault="00F72284">
      <w:pPr>
        <w:pStyle w:val="TOC1"/>
        <w:tabs>
          <w:tab w:val="right" w:leader="dot" w:pos="8810"/>
        </w:tabs>
        <w:rPr>
          <w:rFonts w:ascii="等线" w:eastAsia="等线" w:hAnsi="等线" w:hint="eastAsia"/>
          <w:sz w:val="21"/>
          <w:szCs w:val="22"/>
        </w:rPr>
      </w:pPr>
      <w:hyperlink w:anchor="_Toc33965494" w:history="1">
        <w:r>
          <w:rPr>
            <w:rStyle w:val="a8"/>
            <w:rFonts w:ascii="黑体" w:eastAsia="黑体"/>
          </w:rPr>
          <w:t>第一章 作品概述</w:t>
        </w:r>
        <w:r>
          <w:tab/>
        </w:r>
        <w:r>
          <w:fldChar w:fldCharType="begin"/>
        </w:r>
        <w:r>
          <w:instrText xml:space="preserve"> PAGEREF _Toc33965494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C04EB1B" w14:textId="77777777" w:rsidR="00B74C5D" w:rsidRDefault="00F72284">
      <w:pPr>
        <w:pStyle w:val="TOC1"/>
        <w:tabs>
          <w:tab w:val="right" w:leader="dot" w:pos="8810"/>
        </w:tabs>
        <w:rPr>
          <w:rFonts w:ascii="等线" w:eastAsia="等线" w:hAnsi="等线" w:hint="eastAsia"/>
          <w:sz w:val="21"/>
          <w:szCs w:val="22"/>
        </w:rPr>
      </w:pPr>
      <w:hyperlink w:anchor="_Toc33965495" w:history="1">
        <w:r>
          <w:rPr>
            <w:rStyle w:val="a8"/>
            <w:rFonts w:ascii="黑体" w:eastAsia="黑体"/>
          </w:rPr>
          <w:t>第二章 作品设计与实现</w:t>
        </w:r>
        <w:r>
          <w:tab/>
        </w:r>
        <w:r>
          <w:fldChar w:fldCharType="begin"/>
        </w:r>
        <w:r>
          <w:instrText xml:space="preserve"> PAGEREF _Toc33965495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2C04EB1C" w14:textId="77777777" w:rsidR="00B74C5D" w:rsidRDefault="00F72284">
      <w:pPr>
        <w:pStyle w:val="TOC1"/>
        <w:tabs>
          <w:tab w:val="right" w:leader="dot" w:pos="8810"/>
        </w:tabs>
        <w:rPr>
          <w:rFonts w:ascii="等线" w:eastAsia="等线" w:hAnsi="等线" w:hint="eastAsia"/>
          <w:sz w:val="21"/>
          <w:szCs w:val="22"/>
        </w:rPr>
      </w:pPr>
      <w:hyperlink w:anchor="_Toc33965496" w:history="1">
        <w:r>
          <w:rPr>
            <w:rStyle w:val="a8"/>
            <w:rFonts w:ascii="黑体" w:eastAsia="黑体"/>
          </w:rPr>
          <w:t>第三章 作品测试与分析</w:t>
        </w:r>
        <w:r>
          <w:tab/>
        </w:r>
        <w:r>
          <w:fldChar w:fldCharType="begin"/>
        </w:r>
        <w:r>
          <w:instrText xml:space="preserve"> PAGEREF _Toc33965496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C04EB1D" w14:textId="77777777" w:rsidR="00B74C5D" w:rsidRDefault="00F72284">
      <w:pPr>
        <w:pStyle w:val="TOC1"/>
        <w:tabs>
          <w:tab w:val="right" w:leader="dot" w:pos="8810"/>
        </w:tabs>
        <w:rPr>
          <w:rFonts w:ascii="等线" w:eastAsia="等线" w:hAnsi="等线" w:hint="eastAsia"/>
          <w:sz w:val="21"/>
          <w:szCs w:val="22"/>
        </w:rPr>
      </w:pPr>
      <w:hyperlink w:anchor="_Toc33965497" w:history="1">
        <w:r>
          <w:rPr>
            <w:rStyle w:val="a8"/>
            <w:rFonts w:ascii="黑体" w:eastAsia="黑体"/>
          </w:rPr>
          <w:t>第四章 创新性说明</w:t>
        </w:r>
        <w:r>
          <w:tab/>
        </w:r>
        <w:r>
          <w:fldChar w:fldCharType="begin"/>
        </w:r>
        <w:r>
          <w:instrText xml:space="preserve"> PAGEREF _Toc33965497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C04EB1E" w14:textId="77777777" w:rsidR="00B74C5D" w:rsidRDefault="00F72284">
      <w:pPr>
        <w:pStyle w:val="TOC1"/>
        <w:tabs>
          <w:tab w:val="right" w:leader="dot" w:pos="8810"/>
        </w:tabs>
        <w:rPr>
          <w:rFonts w:ascii="等线" w:eastAsia="等线" w:hAnsi="等线" w:hint="eastAsia"/>
          <w:sz w:val="21"/>
          <w:szCs w:val="22"/>
        </w:rPr>
      </w:pPr>
      <w:hyperlink w:anchor="_Toc33965498" w:history="1">
        <w:r>
          <w:rPr>
            <w:rStyle w:val="a8"/>
            <w:rFonts w:ascii="黑体" w:eastAsia="黑体"/>
          </w:rPr>
          <w:t>第五章 总结</w:t>
        </w:r>
        <w:r>
          <w:tab/>
        </w:r>
        <w:r>
          <w:fldChar w:fldCharType="begin"/>
        </w:r>
        <w:r>
          <w:instrText xml:space="preserve"> PAGEREF _Toc33965498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C04EB1F" w14:textId="77777777" w:rsidR="00B74C5D" w:rsidRDefault="00F72284">
      <w:pPr>
        <w:pStyle w:val="TOC1"/>
        <w:tabs>
          <w:tab w:val="right" w:leader="dot" w:pos="8810"/>
        </w:tabs>
        <w:rPr>
          <w:rFonts w:ascii="等线" w:eastAsia="等线" w:hAnsi="等线" w:hint="eastAsia"/>
          <w:sz w:val="21"/>
          <w:szCs w:val="22"/>
        </w:rPr>
      </w:pPr>
      <w:hyperlink w:anchor="_Toc33965499" w:history="1">
        <w:r>
          <w:rPr>
            <w:rStyle w:val="a8"/>
            <w:rFonts w:ascii="黑体" w:eastAsia="黑体"/>
          </w:rPr>
          <w:t>参考文献</w:t>
        </w:r>
        <w:r>
          <w:tab/>
        </w:r>
        <w:r>
          <w:fldChar w:fldCharType="begin"/>
        </w:r>
        <w:r>
          <w:instrText xml:space="preserve"> PAGEREF _Toc33965499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C04EB20" w14:textId="77777777" w:rsidR="00B74C5D" w:rsidRDefault="00F7228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/>
          <w:bCs/>
          <w:sz w:val="32"/>
          <w:szCs w:val="21"/>
        </w:rPr>
        <w:fldChar w:fldCharType="end"/>
      </w:r>
    </w:p>
    <w:p w14:paraId="2C04EB21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2C04EB22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2C04EB23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2C04EB24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2C04EB25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2C04EB26" w14:textId="77777777" w:rsidR="00B74C5D" w:rsidRDefault="00B74C5D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  <w:sectPr w:rsidR="00B74C5D">
          <w:pgSz w:w="11906" w:h="16838"/>
          <w:pgMar w:top="1440" w:right="1466" w:bottom="1440" w:left="1620" w:header="851" w:footer="992" w:gutter="0"/>
          <w:pgNumType w:fmt="decimalEnclosedCircle"/>
          <w:cols w:space="425"/>
          <w:docGrid w:type="lines" w:linePitch="312"/>
        </w:sectPr>
      </w:pPr>
    </w:p>
    <w:p>
      <w:pPr>
        <w:spacing w:line="360" w:lineRule="auto"/>
        <w:jc w:val="center"/>
      </w:pPr>
      <w:r>
        <w:rPr>
          <w:rFonts w:ascii="黑体" w:hAnsi="黑体" w:eastAsia="黑体"/>
          <w:b/>
          <w:sz w:val="32"/>
        </w:rPr>
        <w:t>摘要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在医疗人工智能快速发展的背景下，医院影像数据的隐私保护成为制约AI辅助诊断落地的核心瓶颈。传统的集中式训练模式要求将患者影像数据上传至云端，这在法律法规和伦理层面均面临严峻挑战。Transshield 是一个基于安全多方计算（MPC）的隐私保护医学影像推理框架，核心思想是：医疗机构在本地完成图像预处理，将其拆分为安全共享份额发送给AI厂商的服务器；服务器在密文状态下完成模型推理，仅返回诊断概率，全程不接触任何明文数据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本作品的核心创新包括六个方面：（1）将 DynamicViT 的 token 剪枝决策边界重写为 MPC 协议友好的表达，通过 F_mux/F_less 等安全算子替代原始的掩码删除和阈值比较操作；（2）实现 PredictorLG 剪枝决策器在 SPU 安全计算环境内部的完整执行，达成"服务器看不到明文影像、医疗机构获取不到模型参数"的双向隐私保护；（3）设计 encoded-key bitonic sort 算法实现安全 Top-K 选择，解决 token 排序中的 tie-breaking 和 JAX 兼容性问题；（4）构建 MPC-friendly 算子族（uniform attention + fixed_square activation + exact LayerNorm），通过训练-部署对齐消除分布偏移；（5）利用 token pruning 和批处理优化将安全推理效率提升 3.07 倍；（6）系统性验证固定点精度与 MPC 算子的协同约束，确定 fxp=16 为唯一安全配置。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实验结果表明，Transshield 在 heldout238 测试集上实现 92.44% 的阈值准确率，单样本安全推理耗时降至 69.57 秒（batch12 + depth10 配置），同时保证了完整的双向隐私保护边界。本框架可广泛应用于医疗影像、金融风控等涉及敏感数据的 AI 推理场景。</w:t>
      </w:r>
    </w:p>
    <w:p>
      <w:pPr>
        <w:spacing w:line="360" w:lineRule="auto"/>
        <w:jc w:val="center"/>
      </w:pPr>
      <w:r>
        <w:rPr>
          <w:rFonts w:ascii="黑体" w:hAnsi="黑体" w:eastAsia="黑体"/>
          <w:b/>
          <w:sz w:val="32"/>
        </w:rPr>
        <w:t>第一章 作品概述</w:t>
      </w:r>
    </w:p>
    <w:p>
      <w:pPr>
        <w:spacing w:line="360" w:lineRule="auto"/>
      </w:pPr>
      <w:r>
        <w:rPr>
          <w:rFonts w:ascii="黑体" w:hAnsi="黑体" w:eastAsia="黑体"/>
          <w:b/>
          <w:sz w:val="28"/>
        </w:rPr>
        <w:t>1.1 背景与动机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随着深度学习在医学影像分析中的广泛应用，AI辅助诊断系统已展现出接近甚至超越人类专家的性能。然而，这些系统的训练和推理通常需要访问大量患者的敏感影像数据。《个人信息保护法》《数据安全法》以及《医疗卫生机构网络安全管理办法》等法规明确要求，患者的医疗数据不得随意传输和共享。如何在保护数据隐私的前提下实现高质量的AI推理，成为医疗AI落地的核心技术难题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安全多方计算（Secure Multi-Party Computation, MPC）是解决这一问题的关键密码学技术。MPC 允许多方在不暴露各自私有输入的前提下，共同计算一个约定函数的输出。其中，两方计算（2PC）是最实用的 MPC 变体，已被 Google 的 SPU（Secure Processing Unit）等开源框架实现。然而，将现有的深度学习模型直接部署到 MPC 环境面临巨大挑战：标准 Transformer 中的 softmax、GELU 等算子在密文计算下的通信和计算开销极高，导致推理延迟不可接受。</w:t>
      </w:r>
    </w:p>
    <w:p>
      <w:pPr>
        <w:spacing w:line="360" w:lineRule="auto"/>
      </w:pPr>
      <w:r>
        <w:rPr>
          <w:rFonts w:ascii="黑体" w:hAnsi="黑体" w:eastAsia="黑体"/>
          <w:b/>
          <w:sz w:val="28"/>
        </w:rPr>
        <w:t>1.2 相关工作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MPC 隐私推理领域的代表性工作包括：CrypTFlow2（2020）首次实现 ImageNet 规模的安全推理，但仅支持 CNN 架构；MPCViT（2023）将 ViT 引入 MPC 环境，采用 uniform attention 近似 softmax，在精度和效率之间取得平衡；BEiT（2022）和 DynamicViT（2021）分别在自监督预训练和动态 token 剪枝方面推进了 ViT 的发展。然而，上述工作均未解决 DynamicViT 的动态剪枝决策如何在 MPC 环境中安全执行的问题。DynamicViT 的 token pruning 依赖条件分支和动态形状操作，这在 MPC 的静态计算图中无法直接表达。</w:t>
      </w:r>
    </w:p>
    <w:p>
      <w:pPr>
        <w:spacing w:line="360" w:lineRule="auto"/>
      </w:pPr>
      <w:r>
        <w:rPr>
          <w:rFonts w:ascii="黑体" w:hAnsi="黑体" w:eastAsia="黑体"/>
          <w:b/>
          <w:sz w:val="28"/>
        </w:rPr>
        <w:t>1.3 特色与应用前景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Transshield 的核心特色在于首次将 DynamicViT 的动态剪枝机制完整移植到 MPC 安全环境中，实现了"推理效率提升"和"隐私保护"的双重目标。具体而言：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（1）适用场景广泛。本框架采用"医疗机构 + AI厂商"的两方计算模型：医疗机构持有患者影像数据但缺乏大规模训练能力；AI厂商拥有强大的预训练模型但无法直接接触患者数据。通过 Transshield，双方可以在不共享原始数据的前提下完成诊断推理。该框架同样适用于金融风控（银行 + AI服务商）、政务数据共享等场景。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（2）适配不同硬件条件。针对城市三甲医院与乡村基层医院的服务器性能差异，Transshield 提供多档推理配置：高性能场景可选择 depth12 + batch8 实现最优精度；资源受限场景可选择 depth10 + batch4 在精度损失可控的前提下显著降低计算需求。</w:t>
      </w:r>
    </w:p>
    <w:p>
      <w:pPr>
        <w:spacing w:line="360" w:lineRule="auto"/>
        <w:jc w:val="center"/>
      </w:pPr>
      <w:r>
        <w:rPr>
          <w:rFonts w:ascii="黑体" w:hAnsi="黑体" w:eastAsia="黑体"/>
          <w:b/>
          <w:sz w:val="32"/>
        </w:rPr>
        <w:t>第二章 作品设计与实现</w:t>
      </w:r>
    </w:p>
    <w:p>
      <w:pPr>
        <w:spacing w:line="360" w:lineRule="auto"/>
      </w:pPr>
      <w:r>
        <w:rPr>
          <w:rFonts w:ascii="黑体" w:hAnsi="黑体" w:eastAsia="黑体"/>
          <w:b/>
          <w:sz w:val="28"/>
        </w:rPr>
        <w:t>2.1 系统架构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Transshield 采用两方安全计算架构，参与方为医疗机构（数据持有方）和 AI 厂商（模型持有方）。整体数据流如下：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（1）输入准备阶段：医疗机构在本地完成图像预处理（resize、归一化、patch embedding），然后使用伪随机数生成器将像素张量拆分为两份加法秘密共享份额（share0 和 share1）。医疗机构保留 share0，将 share1 通过加密通道发送给 AI 厂商的服务器。服务器在整个过程中永远不接触明文影像数据。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（2）安全推理阶段：AI 厂商的服务器持有预训练模型的参数（同样以秘密共享形式加载到 SPU 中），接收医疗机构发来的 share1 后，在 SPU 安全计算环境中执行完整的模型前向推理。推理过程中，DynamicViT 的 token 剪枝决策（PredictorLG 打分、kth-threshold 选择、tie-breaking）全部在 SPU 内部以密文形式完成，不向任何一方暴露中间结果。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（3）结果返回阶段：SPU 仅向医疗机构暴露最终的诊断概率向量（logits），医疗机构根据预设阈值做出诊断决策。模型参数在整个过程中始终保留在服务器侧，医疗机构无法获取任何模型权重信息。</w:t>
      </w:r>
    </w:p>
    <w:p>
      <w:pPr>
        <w:spacing w:line="360" w:lineRule="auto"/>
      </w:pPr>
      <w:r>
        <w:rPr>
          <w:rFonts w:ascii="黑体" w:hAnsi="黑体" w:eastAsia="黑体"/>
          <w:b/>
          <w:sz w:val="28"/>
        </w:rPr>
        <w:t>2.2 核心技术方案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2.2.1 DynamicViT 剪枝边界的协议友好重写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原始 DynamicViT 的 token 剪枝流程为：PredictorLG 对每个 token 打分 → 按分数排序取第 k 大值作为阈值 → 保留分数 ≥ 阈值的 token，删除其余 token。这一流程中有三个 MPC 不友好的操作：（a）"删除"操作产生动态形状，MPC 要求静态计算图；（b）条件判断 "score ≥ threshold" 在 MPC 中需要安全比较协议；（c）"取第 k 大值"需要安全排序。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Transshield 的解决方案是将上述操作逐一映射到 MPC 友好的算子：（a）将"删除 token"改写为"masking → F_mux"：保留的 token 乘以 1，丢弃的 token 乘以 0，形状不变但数值被清零；（b）将阈值比较改写为"F_less"安全比较算子；（c）使用 encoded-key bitonic sort 实现安全 Top-K 选择，其中 encoded_key = score - index × 10⁻⁶ 自然解决了 tie-breaking 问题（相同分数时低索引 token 优先保留）。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2.2.2 MPC-Friendly 算子族设计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标准 Transformer 中的 softmax、GELU、LayerNorm 在 MPC 环境下的精确实现代价极高。Transshield 设计了如下近似算子族，并在训练阶段直接使用这些近似算子，从而消除训练-部署分布偏移：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（1）注意力策略：uniform attention。将标准的 softmax(QK^T/√d)V 替换为 mean(V)，即对所有 token 做均匀加权平均。这一近似将 softmax 涉及的指数运算和归一化完全消除，通信开销降至最低，同时保留了 token 交互的基本语义。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（2）激活函数：fixed_square + clip0。将 GELU/SiLU 替换为 max(0, x²)，即先做平方运算再截断负值。平方运算在定点算术中仅需一次乘法，clip0 消除了负值平方的非单调性问题。该激活函数是多项式形式，在 SPU 的定点精度下可以高效计算。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（3）归一化：exact LayerNorm。使用精确的 LayerNorm 而非 public-calibrated 近似。实验表明，public-calibrated LayerNorm 在 SPU 上会引入严重的尺度崩坏（raw min = -1217119.125），而 exact LayerNorm 虽然计算量略高，但数值稳定性有保障。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2.2.3 固定点精度与 MPC 算子的协同约束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SPU 使用 64 位有限域（FM64）进行定点算术运算。fixed_square 激活函数的 x² 运算会将有效位需求加倍：若 fxp_fraction_bits = 16（48 位整数），x² 后需要 96 位，截断后精度仍然充足；若 fxp &lt; 16，分数位不足导致精度崩塌（预测全部退化为默认类别）；若 fxp &gt; 16，整数位不足导致大值溢出（logits 数值爆炸到 ±10⁵~10⁶ 量级）。经过 12 层 Transformer 和 3 次剪枝的深度累积效应，fxp = 16 是唯一能保证 100% 正确预测的配置。</w:t>
      </w:r>
    </w:p>
    <w:p>
      <w:pPr>
        <w:spacing w:line="360" w:lineRule="auto"/>
      </w:pPr>
      <w:r>
        <w:rPr>
          <w:rFonts w:ascii="黑体" w:hAnsi="黑体" w:eastAsia="黑体"/>
          <w:b/>
          <w:sz w:val="28"/>
        </w:rPr>
        <w:t>2.3 推理效率优化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安全推理的主要瓶颈在于 MPC 协议的通信开销。Transshield 通过以下策略提升效率：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（1）Token 剪枝减少后段计算量：3 阶段剪枝将 token 数从 196 递减至 137 → 96 → 67，后续 block 的 attention 计算量显著降低。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（2）批处理优化：将多个样本打包为一个 batch 送入 SPU，共享协议初始化和 JIT 编译的开销。从 batch1 到 batch12，单样本推理耗时从 213.9 秒降至 69.57 秒，实现 3.07 倍加速。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（3）深度裁剪：将模型深度从 12 层裁剪至 10 层（去掉最后 2 个 block），减少了 late-block 的累积数值漂移，在提升速度的同时保持了精度。</w:t>
      </w:r>
    </w:p>
    <w:p>
      <w:pPr>
        <w:spacing w:line="360" w:lineRule="auto"/>
      </w:pPr>
      <w:r>
        <w:rPr>
          <w:rFonts w:ascii="黑体" w:hAnsi="黑体" w:eastAsia="黑体"/>
          <w:b/>
          <w:sz w:val="28"/>
        </w:rPr>
        <w:t>2.4 输出校准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由于 MPC-friendly 近似算子与标准算子的输出分布存在差异，Transshield 设计了 SPU-aware public logit-bias 校准方案：在 SPU 安全计算完成、logits 暴露到明文空间后，对 raw logits 施加一个公开的单调仿射变换（weights + bias），将输出分布对齐到标准模型的决策边界。校准参数通过 smoke32 数据集拟合、heldout64/128/238 加权验证确定，最终在 heldout238 上实现 92.44% 的阈值准确率。</w:t>
      </w:r>
    </w:p>
    <w:p>
      <w:pPr>
        <w:spacing w:line="360" w:lineRule="auto"/>
        <w:jc w:val="center"/>
      </w:pPr>
      <w:r>
        <w:rPr>
          <w:rFonts w:ascii="黑体" w:hAnsi="黑体" w:eastAsia="黑体"/>
          <w:b/>
          <w:sz w:val="32"/>
        </w:rPr>
        <w:t>第三章 作品测试与分析</w:t>
      </w:r>
    </w:p>
    <w:p>
      <w:pPr>
        <w:spacing w:line="360" w:lineRule="auto"/>
      </w:pPr>
      <w:r>
        <w:rPr>
          <w:rFonts w:ascii="黑体" w:hAnsi="黑体" w:eastAsia="黑体"/>
          <w:b/>
          <w:sz w:val="28"/>
        </w:rPr>
        <w:t>3.1 测试环境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安全推理在 SPU（Secure Processing Unit）v0.9 上运行，采用 2PC Cheetah 协议（半诚实模型）。服务器配备 62GB 内存，运行 Ubuntu 22.04。模型基于 DeiT-Small（depth=12, embed_dim=384）架构，训练数据集为胸部X光影像（二分类：正常/异常），训练 8 个 epoch。输入图像分辨率为 224×224，patch size 为 16×16，产生 196 个 token。</w:t>
      </w:r>
    </w:p>
    <w:p>
      <w:pPr>
        <w:spacing w:line="360" w:lineRule="auto"/>
      </w:pPr>
      <w:r>
        <w:rPr>
          <w:rFonts w:ascii="黑体" w:hAnsi="黑体" w:eastAsia="黑体"/>
          <w:b/>
          <w:sz w:val="28"/>
        </w:rPr>
        <w:t>3.2 模型精度测试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Plaintext 模型在完整验证集（n=524）上的精度指标如下：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410"/>
        <w:gridCol w:w="4410"/>
      </w:tblGrid>
      <w:tr>
        <w:tc>
          <w:tcPr>
            <w:tcW w:type="dxa" w:w="441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441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</w:tr>
      <w:tr>
        <w:tc>
          <w:tcPr>
            <w:tcW w:type="dxa" w:w="441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argmax accuracy</w:t>
            </w:r>
          </w:p>
        </w:tc>
        <w:tc>
          <w:tcPr>
            <w:tcW w:type="dxa" w:w="441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76.72%</w:t>
            </w:r>
          </w:p>
        </w:tc>
      </w:tr>
      <w:tr>
        <w:tc>
          <w:tcPr>
            <w:tcW w:type="dxa" w:w="441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best threshold accuracy</w:t>
            </w:r>
          </w:p>
        </w:tc>
        <w:tc>
          <w:tcPr>
            <w:tcW w:type="dxa" w:w="441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91.98%</w:t>
            </w:r>
          </w:p>
        </w:tc>
      </w:tr>
      <w:tr>
        <w:tc>
          <w:tcPr>
            <w:tcW w:type="dxa" w:w="441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AUC</w:t>
            </w:r>
          </w:p>
        </w:tc>
        <w:tc>
          <w:tcPr>
            <w:tcW w:type="dxa" w:w="441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0.9679</w:t>
            </w:r>
          </w:p>
        </w:tc>
      </w:tr>
      <w:tr>
        <w:tc>
          <w:tcPr>
            <w:tcW w:type="dxa" w:w="441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SPU-aware bias calibrated argmax</w:t>
            </w:r>
          </w:p>
        </w:tc>
        <w:tc>
          <w:tcPr>
            <w:tcW w:type="dxa" w:w="441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91.79%</w:t>
            </w:r>
          </w:p>
        </w:tc>
      </w:tr>
      <w:tr>
        <w:tc>
          <w:tcPr>
            <w:tcW w:type="dxa" w:w="441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heldout238 e2e threshold accuracy</w:t>
            </w:r>
          </w:p>
        </w:tc>
        <w:tc>
          <w:tcPr>
            <w:tcW w:type="dxa" w:w="441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92.44%</w:t>
            </w:r>
          </w:p>
        </w:tc>
      </w:tr>
    </w:tbl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其中 SPU-aware bias 校准后的 argmax 准确率从 76.72% 提升至 91.79%，说明公开空间的单调校准可以有效弥补近似算子带来的分布偏移。</w:t>
      </w:r>
    </w:p>
    <w:p>
      <w:pPr>
        <w:spacing w:line="360" w:lineRule="auto"/>
      </w:pPr>
      <w:r>
        <w:rPr>
          <w:rFonts w:ascii="黑体" w:hAnsi="黑体" w:eastAsia="黑体"/>
          <w:b/>
          <w:sz w:val="28"/>
        </w:rPr>
        <w:t>3.3 安全推理精度一致性测试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Keep-mask wrapper 在不同样本规模下的精度一致性验证结果如下：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05"/>
        <w:gridCol w:w="2205"/>
        <w:gridCol w:w="2205"/>
        <w:gridCol w:w="2205"/>
      </w:tblGrid>
      <w:tr>
        <w:tc>
          <w:tcPr>
            <w:tcW w:type="dxa" w:w="22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样本数</w:t>
            </w:r>
          </w:p>
        </w:tc>
        <w:tc>
          <w:tcPr>
            <w:tcW w:type="dxa" w:w="22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argmax match</w:t>
            </w:r>
          </w:p>
        </w:tc>
        <w:tc>
          <w:tcPr>
            <w:tcW w:type="dxa" w:w="22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threshold match</w:t>
            </w:r>
          </w:p>
        </w:tc>
        <w:tc>
          <w:tcPr>
            <w:tcW w:type="dxa" w:w="22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logit max_abs_error</w:t>
            </w:r>
          </w:p>
        </w:tc>
      </w:tr>
      <w:tr>
        <w:tc>
          <w:tcPr>
            <w:tcW w:type="dxa" w:w="220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20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1.0</w:t>
            </w:r>
          </w:p>
        </w:tc>
        <w:tc>
          <w:tcPr>
            <w:tcW w:type="dxa" w:w="220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1.0</w:t>
            </w:r>
          </w:p>
        </w:tc>
        <w:tc>
          <w:tcPr>
            <w:tcW w:type="dxa" w:w="220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0.00259</w:t>
            </w:r>
          </w:p>
        </w:tc>
      </w:tr>
      <w:tr>
        <w:tc>
          <w:tcPr>
            <w:tcW w:type="dxa" w:w="220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20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1.0</w:t>
            </w:r>
          </w:p>
        </w:tc>
        <w:tc>
          <w:tcPr>
            <w:tcW w:type="dxa" w:w="220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1.0</w:t>
            </w:r>
          </w:p>
        </w:tc>
        <w:tc>
          <w:tcPr>
            <w:tcW w:type="dxa" w:w="220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0.00279</w:t>
            </w:r>
          </w:p>
        </w:tc>
      </w:tr>
      <w:tr>
        <w:tc>
          <w:tcPr>
            <w:tcW w:type="dxa" w:w="220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</w:t>
            </w:r>
          </w:p>
        </w:tc>
        <w:tc>
          <w:tcPr>
            <w:tcW w:type="dxa" w:w="220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1.0</w:t>
            </w:r>
          </w:p>
        </w:tc>
        <w:tc>
          <w:tcPr>
            <w:tcW w:type="dxa" w:w="220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1.0</w:t>
            </w:r>
          </w:p>
        </w:tc>
        <w:tc>
          <w:tcPr>
            <w:tcW w:type="dxa" w:w="220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0.00263</w:t>
            </w:r>
          </w:p>
        </w:tc>
      </w:tr>
      <w:tr>
        <w:tc>
          <w:tcPr>
            <w:tcW w:type="dxa" w:w="220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32</w:t>
            </w:r>
          </w:p>
        </w:tc>
        <w:tc>
          <w:tcPr>
            <w:tcW w:type="dxa" w:w="220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1.0</w:t>
            </w:r>
          </w:p>
        </w:tc>
        <w:tc>
          <w:tcPr>
            <w:tcW w:type="dxa" w:w="220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1.0</w:t>
            </w:r>
          </w:p>
        </w:tc>
        <w:tc>
          <w:tcPr>
            <w:tcW w:type="dxa" w:w="220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0.00355</w:t>
            </w:r>
          </w:p>
        </w:tc>
      </w:tr>
    </w:tbl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所有测试均实现 argmax/threshold match = 1.0/1.0，logit 最大绝对误差仅为 0.0036，表明 SPU 安全推理的数值精度极高。privacy_consistent 字段在所有测试中均为 true。</w:t>
      </w:r>
    </w:p>
    <w:p>
      <w:pPr>
        <w:spacing w:line="360" w:lineRule="auto"/>
      </w:pPr>
      <w:r>
        <w:rPr>
          <w:rFonts w:ascii="黑体" w:hAnsi="黑体" w:eastAsia="黑体"/>
          <w:b/>
          <w:sz w:val="28"/>
        </w:rPr>
        <w:t>3.4 推理效率测试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不同配置下的安全推理效率对比：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</w:tblGrid>
      <w:tr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配置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batch_size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depth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sec/sample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相对 baseline 加速</w:t>
            </w:r>
          </w:p>
        </w:tc>
      </w:tr>
      <w:tr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baseline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213.9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1.00x</w:t>
            </w:r>
          </w:p>
        </w:tc>
      </w:tr>
      <w:tr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batch4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160.6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1.33x</w:t>
            </w:r>
          </w:p>
        </w:tc>
      </w:tr>
      <w:tr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batch8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113.3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1.89x</w:t>
            </w:r>
          </w:p>
        </w:tc>
      </w:tr>
      <w:tr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batch8+d10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100.5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2.13x</w:t>
            </w:r>
          </w:p>
        </w:tc>
      </w:tr>
      <w:tr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batch12+d10（最优）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69.57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3.07x</w:t>
            </w:r>
          </w:p>
        </w:tc>
      </w:tr>
    </w:tbl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最优配置为 batch12 + depth10，单样本推理耗时 69.57 秒，相对 baseline 实现 3.07 倍加速。该配置下 argmax match = 91.67%，threshold match = 100%。batch16 尝试因服务器内存不足（62GB）而 OOM 失败。</w:t>
      </w:r>
    </w:p>
    <w:p>
      <w:pPr>
        <w:spacing w:line="360" w:lineRule="auto"/>
      </w:pPr>
      <w:r>
        <w:rPr>
          <w:rFonts w:ascii="黑体" w:hAnsi="黑体" w:eastAsia="黑体"/>
          <w:b/>
          <w:sz w:val="28"/>
        </w:rPr>
        <w:t>3.5 隐私保护验证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双向隐私保护边界验证结果：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40"/>
        <w:gridCol w:w="2940"/>
        <w:gridCol w:w="2940"/>
      </w:tblGrid>
      <w:tr>
        <w:tc>
          <w:tcPr>
            <w:tcW w:type="dxa" w:w="29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隐私约束</w:t>
            </w:r>
          </w:p>
        </w:tc>
        <w:tc>
          <w:tcPr>
            <w:tcW w:type="dxa" w:w="29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  <w:tc>
          <w:tcPr>
            <w:tcW w:type="dxa" w:w="29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9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host_plaintext_pixel_values_materialized</w:t>
            </w:r>
          </w:p>
        </w:tc>
        <w:tc>
          <w:tcPr>
            <w:tcW w:type="dxa" w:w="29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false</w:t>
            </w:r>
          </w:p>
        </w:tc>
        <w:tc>
          <w:tcPr>
            <w:tcW w:type="dxa" w:w="29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服务器永远不接触明文影像</w:t>
            </w:r>
          </w:p>
        </w:tc>
      </w:tr>
      <w:tr>
        <w:tc>
          <w:tcPr>
            <w:tcW w:type="dxa" w:w="29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host_model_params_materialized</w:t>
            </w:r>
          </w:p>
        </w:tc>
        <w:tc>
          <w:tcPr>
            <w:tcW w:type="dxa" w:w="29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false</w:t>
            </w:r>
          </w:p>
        </w:tc>
        <w:tc>
          <w:tcPr>
            <w:tcW w:type="dxa" w:w="29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医疗机构获取不到模型参数</w:t>
            </w:r>
          </w:p>
        </w:tc>
      </w:tr>
      <w:tr>
        <w:tc>
          <w:tcPr>
            <w:tcW w:type="dxa" w:w="29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spu_params_mode</w:t>
            </w:r>
          </w:p>
        </w:tc>
        <w:tc>
          <w:tcPr>
            <w:tcW w:type="dxa" w:w="29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secret</w:t>
            </w:r>
          </w:p>
        </w:tc>
        <w:tc>
          <w:tcPr>
            <w:tcW w:type="dxa" w:w="29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模型参数以秘密共享加载</w:t>
            </w:r>
          </w:p>
        </w:tc>
      </w:tr>
      <w:tr>
        <w:tc>
          <w:tcPr>
            <w:tcW w:type="dxa" w:w="29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reveal_policy</w:t>
            </w:r>
          </w:p>
        </w:tc>
        <w:tc>
          <w:tcPr>
            <w:tcW w:type="dxa" w:w="29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final_logits_only</w:t>
            </w:r>
          </w:p>
        </w:tc>
        <w:tc>
          <w:tcPr>
            <w:tcW w:type="dxa" w:w="29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只暴露最终诊断概率</w:t>
            </w:r>
          </w:p>
        </w:tc>
      </w:tr>
      <w:tr>
        <w:tc>
          <w:tcPr>
            <w:tcW w:type="dxa" w:w="29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finite_logits（全部测试）</w:t>
            </w:r>
          </w:p>
        </w:tc>
        <w:tc>
          <w:tcPr>
            <w:tcW w:type="dxa" w:w="29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true</w:t>
            </w:r>
          </w:p>
        </w:tc>
        <w:tc>
          <w:tcPr>
            <w:tcW w:type="dxa" w:w="29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无数值溢出</w:t>
            </w:r>
          </w:p>
        </w:tc>
      </w:tr>
    </w:tbl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上述隐私约束在所有测试（smoke1/8/16/32、heldout64/128/238）中均一致通过，证明 Transshield 实现了完整的双向隐私保护：服务器无法推断患者影像内容，医疗机构无法逆向获取模型参数。</w:t>
      </w:r>
    </w:p>
    <w:p>
      <w:pPr>
        <w:spacing w:line="360" w:lineRule="auto"/>
      </w:pPr>
      <w:r>
        <w:rPr>
          <w:rFonts w:ascii="黑体" w:hAnsi="黑体" w:eastAsia="黑体"/>
          <w:b/>
          <w:sz w:val="28"/>
        </w:rPr>
        <w:t>3.6 固定点精度消融实验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不同 fxp_fraction_bits 配置的安全推理精度：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</w:tblGrid>
      <w:tr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fxp_bits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整数位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sec/sample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与基线匹配率</w:t>
            </w:r>
          </w:p>
        </w:tc>
        <w:tc>
          <w:tcPr>
            <w:tcW w:type="dxa" w:w="17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52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114.0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12.5%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精度崩塌</w:t>
            </w:r>
          </w:p>
        </w:tc>
      </w:tr>
      <w:tr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50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112.0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12.5%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精度崩塌</w:t>
            </w:r>
          </w:p>
        </w:tc>
      </w:tr>
      <w:tr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48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109.9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正确（唯一）</w:t>
            </w:r>
          </w:p>
        </w:tc>
      </w:tr>
      <w:tr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44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110.9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62.5%</w:t>
            </w:r>
          </w:p>
        </w:tc>
        <w:tc>
          <w:tcPr>
            <w:tcW w:type="dxa" w:w="176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数值溢出</w:t>
            </w:r>
          </w:p>
        </w:tc>
      </w:tr>
    </w:tbl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实验表明 fxp = 16 是唯一能保证正确推理的配置，验证了 fixed_square + FM64 + fxp=16 三位一体约束的存在。</w:t>
      </w:r>
    </w:p>
    <w:p>
      <w:pPr>
        <w:spacing w:line="360" w:lineRule="auto"/>
        <w:jc w:val="center"/>
      </w:pPr>
      <w:r>
        <w:rPr>
          <w:rFonts w:ascii="黑体" w:hAnsi="黑体" w:eastAsia="黑体"/>
          <w:b/>
          <w:sz w:val="32"/>
        </w:rPr>
        <w:t>第四章 创新性说明</w:t>
      </w:r>
    </w:p>
    <w:p>
      <w:pPr>
        <w:spacing w:line="360" w:lineRule="auto"/>
      </w:pPr>
      <w:r>
        <w:rPr>
          <w:rFonts w:ascii="黑体" w:hAnsi="黑体" w:eastAsia="黑体"/>
          <w:b/>
          <w:sz w:val="28"/>
        </w:rPr>
        <w:t>创新点 1：DynamicViT 剪枝边界的协议友好重写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原始 DynamicViT 的 token 剪枝依赖"删除式表达"——先为 token 打分，再直接删除低分 token。这种操作在 MPC 环境中面临动态形状、条件分支泄漏和比较操作不友好三大问题。Transshield 首次将剪枝决策边界显式映射到 MPC 友好的 F_mux（条件选择）和 F_less（安全比较）接口，不是局部 patch，而是正式方法定义级别的重写。验收结果：boundary_kth_check_passed = true，max_abs_error = 1.28×10⁻⁵；tie_policy check passed，stage_decision_match_ratio = 1.0。</w:t>
      </w:r>
    </w:p>
    <w:p>
      <w:pPr>
        <w:spacing w:line="360" w:lineRule="auto"/>
      </w:pPr>
      <w:r>
        <w:rPr>
          <w:rFonts w:ascii="黑体" w:hAnsi="黑体" w:eastAsia="黑体"/>
          <w:b/>
          <w:sz w:val="28"/>
        </w:rPr>
        <w:t>创新点 2：端到端隐私保护的 SPU Forward 实现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Transshield 实现了 PredictorLG 剪枝决策器在 SPU 安全计算环境内部的完整执行。服务器模型参数以 secret 模式加载到 SPU，医疗机构在整个推理过程中不接触任何模型参数；输入以 party-local share 方式加载，服务器永远不接触明文影像。PredictorLG + kth_threshold + tie_resolution 整条剪枝决策链在 SPU 内部以 JAX tracer 兼容方式执行，不依赖任何外部预计算的剪枝决策。这是首次在 DynamicViT 上实现 PredictorLG 完全在 SPU 内部执行的端到端隐私推理。</w:t>
      </w:r>
    </w:p>
    <w:p>
      <w:pPr>
        <w:spacing w:line="360" w:lineRule="auto"/>
      </w:pPr>
      <w:r>
        <w:rPr>
          <w:rFonts w:ascii="黑体" w:hAnsi="黑体" w:eastAsia="黑体"/>
          <w:b/>
          <w:sz w:val="28"/>
        </w:rPr>
        <w:t>创新点 3：Encoded-Key Bitonic Sort 实现安全 Top-K 选择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DynamicViT 的剪枝决策依赖从 token score 中选出第 k 大值作为阈值。Transshield 提出 encoded-key bitonic sort 方案：encoded_key = score - index × 10⁻⁶，将 tie-breaking 合并到单一比较操作中；利用 bitonic sort 的 O(n log²n) 复杂度和并行友好性；全 jnp.where 条件赋值消除了 JAX tracing 不允许的 boolean fancy indexing。该方案首次将 bitonic sort 应用于 DynamicViT 的安全 Top-K 剪枝阈值计算。</w:t>
      </w:r>
    </w:p>
    <w:p>
      <w:pPr>
        <w:spacing w:line="360" w:lineRule="auto"/>
      </w:pPr>
      <w:r>
        <w:rPr>
          <w:rFonts w:ascii="黑体" w:hAnsi="黑体" w:eastAsia="黑体"/>
          <w:b/>
          <w:sz w:val="28"/>
        </w:rPr>
        <w:t>创新点 4：MPC-Friendly 算子族与训练-部署对齐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Transshield 设计了 uniform attention + fixed_square + exact LayerNorm 的 MPC-friendly 算子族，并在训练阶段直接使用这些近似算子，从而消除训练-部署分布偏移。实验表明该算子族在 full-val 上实现 threshold_accuracy = 91.98%、AUC = 0.9679。配合 SPU-aware public logit-bias 校准，最终在 heldout238 上达到 92.44% 的阈值准确率。</w:t>
      </w:r>
    </w:p>
    <w:p>
      <w:pPr>
        <w:spacing w:line="360" w:lineRule="auto"/>
      </w:pPr>
      <w:r>
        <w:rPr>
          <w:rFonts w:ascii="黑体" w:hAnsi="黑体" w:eastAsia="黑体"/>
          <w:b/>
          <w:sz w:val="28"/>
        </w:rPr>
        <w:t>创新点 5：基于 Token 剪枝的安全推理效率优化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Transshield 通过安全 token 剪枝（196 → 137 → 96 → 67）减少后段 block 的通信量，配合批处理优化（batch12）和深度裁剪（depth10），将单样本推理耗时从 213.9 秒降至 69.57 秒，实现 3.07 倍加速。剪枝决策在安全环境中动态生成，不依赖外部预计算，同时保持了 argmax/threshold match = 1.0/1.0 的精度一致性。</w:t>
      </w:r>
    </w:p>
    <w:p>
      <w:pPr>
        <w:spacing w:line="360" w:lineRule="auto"/>
      </w:pPr>
      <w:r>
        <w:rPr>
          <w:rFonts w:ascii="黑体" w:hAnsi="黑体" w:eastAsia="黑体"/>
          <w:b/>
          <w:sz w:val="28"/>
        </w:rPr>
        <w:t>创新点 6：SPU 固定点精度与 MPC-Friendly 算子的协同约束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Transshield 首次量化了 MPC-friendly 算子的精度约束边界。通过系统性的 fxp_fraction_bits 消融实验（fxp=12/14/16/20），揭示了 fixed_square 激活函数将有效位需求加倍的机制：fxp &lt; 16 时精度崩塌（预测退化为默认类别），fxp &gt; 16 时数值溢出（logits ±10⁵~10⁶）。最终确定 fixed_square + FM64 + fxp=16 形成三位一体约束，任意一项调整都会导致推理失败。</w:t>
      </w:r>
    </w:p>
    <w:p>
      <w:pPr>
        <w:spacing w:line="360" w:lineRule="auto"/>
        <w:jc w:val="center"/>
      </w:pPr>
      <w:r>
        <w:rPr>
          <w:rFonts w:ascii="黑体" w:hAnsi="黑体" w:eastAsia="黑体"/>
          <w:b/>
          <w:sz w:val="32"/>
        </w:rPr>
        <w:t>第五章 总结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Transshield 是一个面向医疗影像的隐私保护 AI 推理框架，基于安全多方计算技术，实现了"医疗机构看不到模型参数、AI厂商看不到患者影像"的双向隐私保护。本作品在以下方面取得了突破：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（1）首次将 DynamicViT 的动态剪枝机制完整移植到 MPC 安全环境中，通过协议友好的算子重写和 encoded-key bitonic sort，解决了动态形状、条件分支和安全排序三大技术难题。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（2）构建了完整的 MPC-friendly 算子族，并通过训练-部署对齐消除了分布偏移，在 heldout238 测试集上实现 92.44% 的阈值准确率。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（3）通过 token 剪枝、批处理和深度裁剪的联合优化，将单样本安全推理耗时从 213.9 秒降至 69.57 秒（3.07 倍加速），使实时隐私保护推理在工程上可行。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（4）系统性验证了固定点精度与 MPC 算子的协同约束，为后续 MPC-friendly 模型设计提供了重要的精度约束参考。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未来工作方向包括：支持更多影像模态（CT、MRI）、探索 3PC/4PC 协议以提升安全性、以及将框架扩展到联邦学习场景下的多方协同训练。</w:t>
      </w:r>
    </w:p>
    <w:p>
      <w:pPr>
        <w:spacing w:line="360" w:lineRule="auto"/>
        <w:jc w:val="center"/>
      </w:pPr>
      <w:r>
        <w:rPr>
          <w:rFonts w:ascii="黑体" w:hAnsi="黑体" w:eastAsia="黑体"/>
          <w:b/>
          <w:sz w:val="32"/>
        </w:rPr>
        <w:t>参考文献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[1] Hao W, Zheng D, et al. MPCViT: Searching for Accurate and Efficient MPC-Friendly Vision Transformers with Heterogeneous Attention[C]. NeurIPS, 2023.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[2] Li Y, Mao H, et al. DynamicViT: Efficient Vision Transformers with Dynamic Token Sparsification[C]. NeurIPS, 2021.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[3] Huang Z, Benaloia L, et al. BEiT: BERT Pre-Training of Image Transformers[C]. ICLR, 2022.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[4] Rathee D, Mayank M, et al. CrypTFlow2: Practical 2-Party Secure Inference for Deep Learning[C]. IEEE S&amp;P, 2020.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[5] Google SPU: Secure Processing Unit. https://github.com/secretflow/spu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[6] Yao A C. Protocols for Secure Computations[C]. FOCS, 1982.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[7] Goldreich O, Micali S, Wigderson A. How to Play Any Mental Game[C]. STOC, 1987.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[8] Touvron H, Cord M, et al. Training Data-Efficient Image Transformers &amp; Distillation through Attention[C]. ICML, 2021.</w:t>
      </w:r>
    </w:p>
    <w:p>
      <w:pPr>
        <w:pStyle w:val="1"/>
      </w:pPr>
      <w:r>
        <w:rPr>
          <w:rFonts w:ascii="黑体" w:hAnsi="黑体" w:eastAsia="黑体"/>
          <w:b w:val="0"/>
          <w:sz w:val="32"/>
        </w:rPr>
        <w:t>附录A：关键代码实现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本附录展示Transshield系统中的关键代码实现片段，体现技术创新的具体落地。</w:t>
      </w:r>
    </w:p>
    <w:p>
      <w:r>
        <w:rPr>
          <w:rFonts w:ascii="黑体" w:hAnsi="黑体" w:eastAsia="黑体"/>
          <w:b/>
          <w:sz w:val="24"/>
        </w:rPr>
        <w:t>A.1 安全剪枝决策（Secure Pruning Decision）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以下代码实现了基于Bitonic Sort的安全Top-K选择算法，用于在MPC环境中进行token剪枝决策。</w:t>
      </w:r>
    </w:p>
    <w:p>
      <w:pPr>
        <w:ind w:left="432"/>
      </w:pPr>
      <w:r>
        <w:rPr>
          <w:rFonts w:ascii="Courier New" w:hAnsi="Courier New"/>
          <w:sz w:val="18"/>
        </w:rPr>
        <w:t>def _secure_build_keep_decision(score, prev_decision_2d, keep_count):</w:t>
        <w:br/>
        <w:t xml:space="preserve">    """Build keep decision via argsort-equivalent top-k using bitonic sort."""</w:t>
        <w:br/>
        <w:t xml:space="preserve">    N = int(score.shape[1])</w:t>
        <w:br/>
        <w:t xml:space="preserve">    active_before = prev_decision_2d.squeeze(-1) &gt; 0</w:t>
        <w:br/>
        <w:t xml:space="preserve">    </w:t>
        <w:br/>
        <w:t xml:space="preserve">    # Encode tie-breaking: among equal scores, lower index sorts first</w:t>
        <w:br/>
        <w:t xml:space="preserve">    epsilon = 1e-6</w:t>
        <w:br/>
        <w:t xml:space="preserve">    index_vals = jnp.arange(N, dtype=score.dtype) * epsilon</w:t>
        <w:br/>
        <w:t xml:space="preserve">    encoded_key = score - index_vals</w:t>
        <w:br/>
        <w:t xml:space="preserve">    </w:t>
        <w:br/>
        <w:t xml:space="preserve">    # Mask inactive tokens: set to -inf</w:t>
        <w:br/>
        <w:t xml:space="preserve">    encoded_masked = jnp.where(active_before, encoded_key, float('-inf'))</w:t>
        <w:br/>
        <w:t xml:space="preserve">    </w:t>
        <w:br/>
        <w:t xml:space="preserve">    # Pad to next power of 2 for bitonic sort</w:t>
        <w:br/>
        <w:t xml:space="preserve">    padded_count = 1</w:t>
        <w:br/>
        <w:t xml:space="preserve">    while padded_count &lt; N:</w:t>
        <w:br/>
        <w:t xml:space="preserve">        padded_count *= 2</w:t>
        <w:br/>
        <w:t xml:space="preserve">    if padded_count &gt; N:</w:t>
        <w:br/>
        <w:t xml:space="preserve">        pad_width = padded_count - N</w:t>
        <w:br/>
        <w:t xml:space="preserve">        neg_inf = jnp.full((int(score.shape[0]), pad_width), float('-inf'))</w:t>
        <w:br/>
        <w:t xml:space="preserve">        sortable = jnp.concatenate([encoded_masked, neg_inf], axis=1)</w:t>
        <w:br/>
        <w:t xml:space="preserve">    else:</w:t>
        <w:br/>
        <w:t xml:space="preserve">        sortable = encoded_masked</w:t>
        <w:br/>
        <w:t xml:space="preserve">    </w:t>
        <w:br/>
        <w:t xml:space="preserve">    # Bitonic sort descending</w:t>
        <w:br/>
        <w:t xml:space="preserve">    sorted_keys = _bitonic_sort_desc(sortable)</w:t>
        <w:br/>
        <w:t xml:space="preserve">    </w:t>
        <w:br/>
        <w:t xml:space="preserve">    # Threshold: the encoded value at position keep_count - 1</w:t>
        <w:br/>
        <w:t xml:space="preserve">    threshold = sorted_keys[:, keep_count - 1 : keep_count]</w:t>
        <w:br/>
        <w:t xml:space="preserve">    </w:t>
        <w:br/>
        <w:t xml:space="preserve">    # Keep all active tokens whose encoded_key &gt;= threshold</w:t>
        <w:br/>
        <w:t xml:space="preserve">    keep_mask = (encoded_key &gt;= threshold) &amp; active_before</w:t>
        <w:br/>
        <w:t xml:space="preserve">    return keep_mask[:, :, None].astype(prev_decision_2d.dtype)</w:t>
      </w:r>
    </w:p>
    <w:p>
      <w:r>
        <w:rPr>
          <w:rFonts w:ascii="黑体" w:hAnsi="黑体" w:eastAsia="黑体"/>
          <w:b/>
          <w:sz w:val="24"/>
        </w:rPr>
        <w:t>A.2 Bitonic Sort 排序算法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以下代码实现了SPU友好的Bitonic Sort算法，用于安全排序。</w:t>
      </w:r>
    </w:p>
    <w:p>
      <w:pPr>
        <w:ind w:left="432"/>
      </w:pPr>
      <w:r>
        <w:rPr>
          <w:rFonts w:ascii="Courier New" w:hAnsi="Courier New"/>
          <w:sz w:val="18"/>
        </w:rPr>
        <w:t>def _bitonic_sort_desc(values):</w:t>
        <w:br/>
        <w:t xml:space="preserve">    """Bitonic sort descending. O(N log^2 N) compare-and-swap."""</w:t>
        <w:br/>
        <w:t xml:space="preserve">    N = int(values.shape[1])</w:t>
        <w:br/>
        <w:t xml:space="preserve">    x = values</w:t>
        <w:br/>
        <w:t xml:space="preserve">    k = 2</w:t>
        <w:br/>
        <w:t xml:space="preserve">    while k &lt;= N:</w:t>
        <w:br/>
        <w:t xml:space="preserve">        j = k // 2</w:t>
        <w:br/>
        <w:t xml:space="preserve">        while j &gt;= 1:</w:t>
        <w:br/>
        <w:t xml:space="preserve">            p_arr = jnp.arange(N, dtype=jnp.int32)</w:t>
        <w:br/>
        <w:t xml:space="preserve">            p_partner = p_arr ^ j</w:t>
        <w:br/>
        <w:t xml:space="preserve">            p_partner_safe = jnp.clip(p_partner, 0, N - 1)</w:t>
        <w:br/>
        <w:t xml:space="preserve">            </w:t>
        <w:br/>
        <w:t xml:space="preserve">            x_at_p = x</w:t>
        <w:br/>
        <w:t xml:space="preserve">            x_at_partner = x[:, p_partner_safe]</w:t>
        <w:br/>
        <w:t xml:space="preserve">            </w:t>
        <w:br/>
        <w:t xml:space="preserve">            is_left = (p_arr &lt; p_partner)</w:t>
        <w:br/>
        <w:t xml:space="preserve">            has_partner = (p_partner &lt; N)</w:t>
        <w:br/>
        <w:t xml:space="preserve">            left_index = jnp.where(is_left, p_arr, p_partner)</w:t>
        <w:br/>
        <w:t xml:space="preserve">            is_desc = (left_index &amp; k) == 0</w:t>
        <w:br/>
        <w:t xml:space="preserve">            </w:t>
        <w:br/>
        <w:t xml:space="preserve">            should_swap = jnp.where(</w:t>
        <w:br/>
        <w:t xml:space="preserve">                is_left,</w:t>
        <w:br/>
        <w:t xml:space="preserve">                jnp.where(is_desc, x_at_p &lt; x_at_partner, x_at_p &gt; x_at_partner),</w:t>
        <w:br/>
        <w:t xml:space="preserve">                False</w:t>
        <w:br/>
        <w:t xml:space="preserve">            ) &amp; has_partner</w:t>
        <w:br/>
        <w:t xml:space="preserve">            </w:t>
        <w:br/>
        <w:t xml:space="preserve">            x_at_p_new = jnp.where(should_swap, x_at_partner, x_at_p)</w:t>
        <w:br/>
        <w:t xml:space="preserve">            x_at_partner_new = jnp.where(should_swap, x_at_p, x_at_partner)</w:t>
        <w:br/>
        <w:t xml:space="preserve">            x = x.at[:, p_arr].set(x_at_p_new)</w:t>
        <w:br/>
        <w:t xml:space="preserve">            </w:t>
        <w:br/>
        <w:t xml:space="preserve">            j //= 2</w:t>
        <w:br/>
        <w:t xml:space="preserve">        k *= 2</w:t>
        <w:br/>
        <w:t xml:space="preserve">    return x</w:t>
      </w:r>
    </w:p>
    <w:p>
      <w:r>
        <w:rPr>
          <w:rFonts w:ascii="黑体" w:hAnsi="黑体" w:eastAsia="黑体"/>
          <w:b/>
          <w:sz w:val="24"/>
        </w:rPr>
        <w:t>A.3 隐私保护状态检查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以下代码展示了Transshield如何确保隐私保护状态。</w:t>
      </w:r>
    </w:p>
    <w:p>
      <w:pPr>
        <w:ind w:left="432"/>
      </w:pPr>
      <w:r>
        <w:rPr>
          <w:rFonts w:ascii="Courier New" w:hAnsi="Courier New"/>
          <w:sz w:val="18"/>
        </w:rPr>
        <w:t># 隐私保护状态记录</w:t>
        <w:br/>
        <w:t>privacy_status = {</w:t>
        <w:br/>
        <w:t xml:space="preserve">    "host_plaintext_pixel_values_materialized": (</w:t>
        <w:br/>
        <w:t xml:space="preserve">        False if share_pair_cpu is not None </w:t>
        <w:br/>
        <w:t xml:space="preserve">        or party_local_share_manifest_paths is not None </w:t>
        <w:br/>
        <w:t xml:space="preserve">        else True</w:t>
        <w:br/>
        <w:t xml:space="preserve">    ),</w:t>
        <w:br/>
        <w:t xml:space="preserve">    "host_model_params_materialized": False,</w:t>
        <w:br/>
        <w:t xml:space="preserve">    "reveal_policy": "final_logits_only",</w:t>
        <w:br/>
        <w:t>}</w:t>
        <w:br/>
        <w:br/>
        <w:t># 验证隐私保护完整性</w:t>
        <w:br/>
        <w:t>assert privacy_status["host_plaintext_pixel_values_materialized"] == False</w:t>
        <w:br/>
        <w:t>assert privacy_status["host_model_params_materialized"] == False</w:t>
        <w:br/>
        <w:t>assert privacy_status["reveal_policy"] == "final_logits_only"</w:t>
      </w:r>
    </w:p>
    <w:sectPr w:rsidR="00B74C5D">
      <w:pgSz w:w="11906" w:h="16838"/>
      <w:pgMar w:top="1440" w:right="1466" w:bottom="1440" w:left="16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16970" w14:textId="77777777" w:rsidR="00B4751C" w:rsidRDefault="00B4751C">
      <w:r>
        <w:separator/>
      </w:r>
    </w:p>
  </w:endnote>
  <w:endnote w:type="continuationSeparator" w:id="0">
    <w:p w14:paraId="0A00A56D" w14:textId="77777777" w:rsidR="00B4751C" w:rsidRDefault="00B47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FKai-SB">
    <w:altName w:val="Microsoft JhengHei Light"/>
    <w:charset w:val="88"/>
    <w:family w:val="script"/>
    <w:pitch w:val="default"/>
    <w:sig w:usb0="00000000" w:usb1="00000000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4EB5D" w14:textId="77777777" w:rsidR="00B74C5D" w:rsidRDefault="00F72284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C04EB5E" w14:textId="77777777" w:rsidR="00B74C5D" w:rsidRDefault="00B74C5D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4EB5F" w14:textId="77777777" w:rsidR="00B74C5D" w:rsidRDefault="00F72284">
    <w:pPr>
      <w:pStyle w:val="a3"/>
      <w:jc w:val="center"/>
    </w:pPr>
    <w:r>
      <w:rPr>
        <w:rFonts w:hint="eastAsia"/>
        <w:szCs w:val="21"/>
      </w:rPr>
      <w:t>第</w:t>
    </w:r>
    <w:r>
      <w:rPr>
        <w:rFonts w:hint="eastAsia"/>
        <w:szCs w:val="21"/>
      </w:rPr>
      <w:t xml:space="preserve">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6</w:t>
    </w:r>
    <w:r>
      <w:rPr>
        <w:szCs w:val="21"/>
      </w:rPr>
      <w:fldChar w:fldCharType="end"/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页</w:t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共</w:t>
    </w:r>
    <w:r>
      <w:rPr>
        <w:rFonts w:hint="eastAsia"/>
        <w:szCs w:val="21"/>
      </w:rPr>
      <w:t xml:space="preserve"> 7</w:t>
    </w:r>
    <w:r>
      <w:rPr>
        <w:rFonts w:hint="eastAsia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C7B9B" w14:textId="77777777" w:rsidR="00B4751C" w:rsidRDefault="00B4751C">
      <w:r>
        <w:separator/>
      </w:r>
    </w:p>
  </w:footnote>
  <w:footnote w:type="continuationSeparator" w:id="0">
    <w:p w14:paraId="2F73863B" w14:textId="77777777" w:rsidR="00B4751C" w:rsidRDefault="00B475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NjMDFlOGIyZTljZjIzYzRmYmM3YTdjYzkyZmRjNTgifQ=="/>
  </w:docVars>
  <w:rsids>
    <w:rsidRoot w:val="00840819"/>
    <w:rsid w:val="00073EEA"/>
    <w:rsid w:val="000B295B"/>
    <w:rsid w:val="0012253A"/>
    <w:rsid w:val="001B67F9"/>
    <w:rsid w:val="001F4517"/>
    <w:rsid w:val="00275F44"/>
    <w:rsid w:val="00283AEB"/>
    <w:rsid w:val="002D2C68"/>
    <w:rsid w:val="003E28F4"/>
    <w:rsid w:val="004017A4"/>
    <w:rsid w:val="00404C1B"/>
    <w:rsid w:val="00424691"/>
    <w:rsid w:val="004C302D"/>
    <w:rsid w:val="004C3E11"/>
    <w:rsid w:val="005011AC"/>
    <w:rsid w:val="005706DD"/>
    <w:rsid w:val="00575B69"/>
    <w:rsid w:val="00594406"/>
    <w:rsid w:val="00626450"/>
    <w:rsid w:val="00676CF0"/>
    <w:rsid w:val="00685973"/>
    <w:rsid w:val="006D00F8"/>
    <w:rsid w:val="006E4B47"/>
    <w:rsid w:val="00735E04"/>
    <w:rsid w:val="007A0845"/>
    <w:rsid w:val="007E7F65"/>
    <w:rsid w:val="00804CF0"/>
    <w:rsid w:val="008233AA"/>
    <w:rsid w:val="00840819"/>
    <w:rsid w:val="00847112"/>
    <w:rsid w:val="0087039D"/>
    <w:rsid w:val="00882AD1"/>
    <w:rsid w:val="009A0979"/>
    <w:rsid w:val="009C1255"/>
    <w:rsid w:val="009F377B"/>
    <w:rsid w:val="00A247AB"/>
    <w:rsid w:val="00A77804"/>
    <w:rsid w:val="00B36150"/>
    <w:rsid w:val="00B4751C"/>
    <w:rsid w:val="00B62FE5"/>
    <w:rsid w:val="00B74C5D"/>
    <w:rsid w:val="00BB4589"/>
    <w:rsid w:val="00BD34E2"/>
    <w:rsid w:val="00BE16EA"/>
    <w:rsid w:val="00C56672"/>
    <w:rsid w:val="00CE5C25"/>
    <w:rsid w:val="00D570F5"/>
    <w:rsid w:val="00DC1EF7"/>
    <w:rsid w:val="00E47070"/>
    <w:rsid w:val="00E94B67"/>
    <w:rsid w:val="00EB12B1"/>
    <w:rsid w:val="00F72284"/>
    <w:rsid w:val="00F7709C"/>
    <w:rsid w:val="00F85321"/>
    <w:rsid w:val="00F913E8"/>
    <w:rsid w:val="343447A0"/>
    <w:rsid w:val="4A9A1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04EAFD"/>
  <w15:docId w15:val="{2AECEB7D-99FE-5148-AEBF-D71F51072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TOC1">
    <w:name w:val="toc 1"/>
    <w:basedOn w:val="a"/>
    <w:next w:val="a"/>
    <w:uiPriority w:val="39"/>
    <w:qFormat/>
    <w:rPr>
      <w:sz w:val="28"/>
    </w:rPr>
  </w:style>
  <w:style w:type="character" w:styleId="a7">
    <w:name w:val="page number"/>
    <w:basedOn w:val="a0"/>
    <w:qFormat/>
  </w:style>
  <w:style w:type="character" w:styleId="a8">
    <w:name w:val="Hyperlink"/>
    <w:uiPriority w:val="99"/>
    <w:qFormat/>
    <w:rPr>
      <w:color w:val="000066"/>
      <w:u w:val="none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paragraph" w:customStyle="1" w:styleId="11">
    <w:name w:val="正文1"/>
    <w:basedOn w:val="a"/>
    <w:qFormat/>
    <w:pPr>
      <w:ind w:firstLineChars="200" w:firstLine="42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EA83B-8138-47F9-9BC9-779B2DCA4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lukeyoyo</dc:creator>
  <cp:lastModifiedBy>biao liu</cp:lastModifiedBy>
  <cp:revision>5</cp:revision>
  <dcterms:created xsi:type="dcterms:W3CDTF">2024-04-05T12:59:00Z</dcterms:created>
  <dcterms:modified xsi:type="dcterms:W3CDTF">2025-05-20T09:12:00Z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F554248EBB504349A01BAC644687F4BA_12</vt:lpwstr>
  </property>
</Properties>
</file>