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EAFD" w14:textId="77777777" w:rsidR="00B74C5D" w:rsidRDefault="00B74C5D">
      <w:pPr>
        <w:rPr>
          <w:rFonts w:ascii="黑体" w:eastAsia="黑体" w:hAnsi="宋体" w:hint="eastAsia"/>
          <w:sz w:val="32"/>
          <w:szCs w:val="32"/>
        </w:rPr>
      </w:pPr>
    </w:p>
    <w:p w14:paraId="2C04EAFE" w14:textId="77777777" w:rsidR="00B74C5D" w:rsidRDefault="00B74C5D">
      <w:pPr>
        <w:rPr>
          <w:rFonts w:ascii="黑体" w:eastAsia="黑体" w:hAnsi="宋体" w:hint="eastAsia"/>
          <w:sz w:val="32"/>
          <w:szCs w:val="32"/>
        </w:rPr>
      </w:pPr>
    </w:p>
    <w:p w14:paraId="2C04EAFF" w14:textId="77777777" w:rsidR="00B74C5D" w:rsidRDefault="00B74C5D">
      <w:pPr>
        <w:rPr>
          <w:rFonts w:ascii="黑体" w:eastAsia="黑体" w:hAnsi="宋体" w:hint="eastAsia"/>
          <w:sz w:val="32"/>
          <w:szCs w:val="32"/>
        </w:rPr>
      </w:pPr>
    </w:p>
    <w:p w14:paraId="2C04EB00" w14:textId="66F8F697" w:rsidR="00B74C5D" w:rsidRDefault="00F72284" w:rsidP="000B295B">
      <w:pPr>
        <w:jc w:val="center"/>
        <w:rPr>
          <w:rFonts w:ascii="黑体" w:eastAsia="黑体" w:hAnsi="宋体" w:hint="eastAsia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202</w:t>
      </w:r>
      <w:r w:rsidR="001B67F9">
        <w:rPr>
          <w:rFonts w:eastAsia="黑体" w:hint="eastAsia"/>
          <w:b/>
          <w:sz w:val="52"/>
          <w:szCs w:val="52"/>
        </w:rPr>
        <w:t>5</w:t>
      </w:r>
      <w:r>
        <w:rPr>
          <w:rFonts w:ascii="黑体" w:eastAsia="黑体" w:hAnsi="宋体" w:hint="eastAsia"/>
          <w:b/>
          <w:sz w:val="52"/>
          <w:szCs w:val="52"/>
        </w:rPr>
        <w:t>年全国大学生信息安全竞赛</w:t>
      </w:r>
    </w:p>
    <w:p w14:paraId="2C04EB01" w14:textId="77777777" w:rsidR="00B74C5D" w:rsidRDefault="00F72284">
      <w:pPr>
        <w:jc w:val="center"/>
        <w:rPr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作品报告</w:t>
      </w:r>
    </w:p>
    <w:p w14:paraId="2C04EB02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3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4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5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6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7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8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9" w14:textId="77777777" w:rsidR="00B74C5D" w:rsidRDefault="00F72284">
      <w:pPr>
        <w:spacing w:line="360" w:lineRule="auto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作品名称：Transshield — 基于动态Token剪枝边界协议友好重写的医疗影像隐私推理系统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A" w14:textId="77777777" w:rsidR="00B74C5D" w:rsidRDefault="00F72284">
      <w:pPr>
        <w:spacing w:line="360" w:lineRule="auto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电子邮箱：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B" w14:textId="77777777" w:rsidR="00B74C5D" w:rsidRDefault="00F7228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32"/>
          <w:szCs w:val="32"/>
        </w:rPr>
        <w:t>提交日期：2025年5月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C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  <w:sectPr w:rsidR="00B74C5D">
          <w:footerReference w:type="even" r:id="rId7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0D" w14:textId="77777777" w:rsidR="00B74C5D" w:rsidRDefault="00F72284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lastRenderedPageBreak/>
        <w:t>填写说明</w:t>
      </w:r>
    </w:p>
    <w:p w14:paraId="2C04EB0E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ascii="宋体" w:hAnsi="宋体" w:cs="DFKai-SB" w:hint="eastAsia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ascii="宋体" w:hAnsi="宋体" w:cs="DFKai-SB" w:hint="eastAsia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ascii="宋体" w:hAnsi="宋体" w:cs="DFKai-SB" w:hint="eastAsia"/>
          <w:bCs/>
          <w:sz w:val="24"/>
        </w:rPr>
        <w:t>）。</w:t>
      </w:r>
    </w:p>
    <w:p w14:paraId="2C04EB0F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2. 作品报告采用A4纸撰写。除标题外，所有内容必需为宋体、小四号字、1.5倍行距。</w:t>
      </w:r>
    </w:p>
    <w:p w14:paraId="2C04EB1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3. 作品报告中各项</w:t>
      </w:r>
      <w:proofErr w:type="gramStart"/>
      <w:r>
        <w:rPr>
          <w:rFonts w:ascii="宋体" w:hAnsi="宋体" w:cs="DFKai-SB" w:hint="eastAsia"/>
          <w:bCs/>
          <w:sz w:val="24"/>
        </w:rPr>
        <w:t>目说明</w:t>
      </w:r>
      <w:proofErr w:type="gramEnd"/>
      <w:r>
        <w:rPr>
          <w:rFonts w:ascii="宋体" w:hAnsi="宋体" w:cs="DFKai-SB" w:hint="eastAsia"/>
          <w:bCs/>
          <w:sz w:val="24"/>
        </w:rPr>
        <w:t>文字部分仅供参考，作品报告书撰写完毕后，请删除所有说明文字。(本页不删除)</w:t>
      </w:r>
    </w:p>
    <w:p w14:paraId="2C04EB11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4. 作品报告模板里已经列的内容仅供参考，作者可以在此基础上增加内容或对文档结构进行微调。</w:t>
      </w:r>
    </w:p>
    <w:p w14:paraId="2C04EB12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5. 为保证网评的公平、公正，作品报告中应避免出现作者所在学校、院系和指导教师等泄露身份的信息。</w:t>
      </w:r>
    </w:p>
    <w:p w14:paraId="2C04EB1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7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18" w14:textId="77777777" w:rsidR="00B74C5D" w:rsidRDefault="00F72284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2C04EB19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33965493" w:history="1">
        <w:r>
          <w:rPr>
            <w:rStyle w:val="a8"/>
            <w:rFonts w:ascii="黑体" w:eastAsia="黑体"/>
          </w:rPr>
          <w:t>摘要</w:t>
        </w:r>
        <w:r>
          <w:tab/>
        </w:r>
        <w:r>
          <w:fldChar w:fldCharType="begin"/>
        </w:r>
        <w:r>
          <w:instrText xml:space="preserve"> PAGEREF _Toc33965493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C04EB1A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4" w:history="1">
        <w:r>
          <w:rPr>
            <w:rStyle w:val="a8"/>
            <w:rFonts w:ascii="黑体" w:eastAsia="黑体"/>
          </w:rPr>
          <w:t>第一章 作品概述</w:t>
        </w:r>
        <w:r>
          <w:tab/>
        </w:r>
        <w:r>
          <w:fldChar w:fldCharType="begin"/>
        </w:r>
        <w:r>
          <w:instrText xml:space="preserve"> PAGEREF _Toc33965494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C04EB1B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5" w:history="1">
        <w:r>
          <w:rPr>
            <w:rStyle w:val="a8"/>
            <w:rFonts w:ascii="黑体" w:eastAsia="黑体"/>
          </w:rPr>
          <w:t>第二章 作品设计与实现</w:t>
        </w:r>
        <w:r>
          <w:tab/>
        </w:r>
        <w:r>
          <w:fldChar w:fldCharType="begin"/>
        </w:r>
        <w:r>
          <w:instrText xml:space="preserve"> PAGEREF _Toc33965495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C04EB1C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6" w:history="1">
        <w:r>
          <w:rPr>
            <w:rStyle w:val="a8"/>
            <w:rFonts w:ascii="黑体" w:eastAsia="黑体"/>
          </w:rPr>
          <w:t>第三章 作品测试与分析</w:t>
        </w:r>
        <w:r>
          <w:tab/>
        </w:r>
        <w:r>
          <w:fldChar w:fldCharType="begin"/>
        </w:r>
        <w:r>
          <w:instrText xml:space="preserve"> PAGEREF _Toc33965496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C04EB1D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7" w:history="1">
        <w:r>
          <w:rPr>
            <w:rStyle w:val="a8"/>
            <w:rFonts w:ascii="黑体" w:eastAsia="黑体"/>
          </w:rPr>
          <w:t>第四章 创新性说明</w:t>
        </w:r>
        <w:r>
          <w:tab/>
        </w:r>
        <w:r>
          <w:fldChar w:fldCharType="begin"/>
        </w:r>
        <w:r>
          <w:instrText xml:space="preserve"> PAGEREF _Toc33965497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C04EB1E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8" w:history="1">
        <w:r>
          <w:rPr>
            <w:rStyle w:val="a8"/>
            <w:rFonts w:ascii="黑体" w:eastAsia="黑体"/>
          </w:rPr>
          <w:t>第五章 总结</w:t>
        </w:r>
        <w:r>
          <w:tab/>
        </w:r>
        <w:r>
          <w:fldChar w:fldCharType="begin"/>
        </w:r>
        <w:r>
          <w:instrText xml:space="preserve"> PAGEREF _Toc33965498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C04EB1F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9" w:history="1">
        <w:r>
          <w:rPr>
            <w:rStyle w:val="a8"/>
            <w:rFonts w:ascii="黑体" w:eastAsia="黑体"/>
          </w:rPr>
          <w:t>参考文献</w:t>
        </w:r>
        <w:r>
          <w:tab/>
        </w:r>
        <w:r>
          <w:fldChar w:fldCharType="begin"/>
        </w:r>
        <w:r>
          <w:instrText xml:space="preserve"> PAGEREF _Toc33965499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C04EB2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2C04EB21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2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医疗影像AI面临"患者数据泄露"与"模型参数泄露"的双向隐私保护难题。Transshield基于安全多方计算（MPC），首次将DynamicViT动态Token剪枝重写为协议友好表达，实现PredictorLG在SPU内端到端密文推理。结合SVD低秩分解（LRD），单样本安全推理耗时26.0秒（较Baseline加速4.36倍），heldout238阈值准确率92.44%，支持按地区算力A/B/C三级分级部署，双向隐私边界完整成立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第一章 作品概述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1.1 背景与动机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深度学习在医学影像分析中的广泛应用，AI辅助诊断系统已展现出接近甚至超越人类专家的性能。然而，这些系统的训练和推理通常需要访问大量患者的敏感影像数据。《个人信息保护法》《数据安全法》以及《医疗卫生机构网络安全管理办法》等法规明确要求，患者的医疗数据不得随意传输和共享。如何在保护数据隐私的前提下实现高效的AI推理，是当前医疗AI落地的核心技术瓶颈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安全多方计算（Secure Multi-Party Computation, MPC）是解决这一问题的关键密码学技术。MPC 允许多方在不暴露各自私有输入的前提下，共同计算一个约定函数的输出。其中，两方计算（2PC）是最实用的 MPC 变体，已被 Google 的 SPU（Secure Processing Unit）等开源框架工程化。然而，将动态 Token 剪枝的 Vision Transformer（如 DynamicViT）完整移植到 MPC 环境中，面临动态形状、条件分支信息泄漏和比较操作不友好等工程难题，目前尚无公开解决方案。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1.2 相关工作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MPC 隐私推理领域的代表性工作包括：CrypTFlow2（2020）首次实现 ImageNet 规模的安全推理，但仅支持 CNN 架构；MPCViT（2023）将 ViT 引入 MPC 环境，采用 uniform attention 近似 softmax，在精度和效率之间取得平衡；BEiT（2022）在 ViT 上实现了安全推理但未涉及动态剪枝。DynamicViT（2021）通过可学习的 token 剪枝器实现推理加速，但其剪枝操作依赖动态形状和条件分支，无法直接在 MPC 环境中执行。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现有工作的共同局限是：要么仅支持静态 ViT（无动态剪枝），要么仅支持 CNN，要么不满足双向隐私保护要求。Transshield 首次解决了"动态剪枝 + 双向隐私"的共存问题。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架构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动态剪枝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双向隐私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安全推理加速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CrypTFlow2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CNN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✗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✗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MPCViT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ViT（静态）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✗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✗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1.0×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DynamicViT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ViT（动态）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✓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✗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Transshield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ViT（动态）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✓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✓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4.36×</w:t>
            </w:r>
          </w:p>
        </w:tc>
      </w:tr>
    </w:tbl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1.3 特色与应用前景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的核心特色在于首次将 DynamicViT 的动态剪枝机制完整移植到 MPC 安全环境中，实现了"推理效率提升"和"隐私保护"的双重目标。具体而言：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（1）适用场景广泛。本框架采用"医疗机构 + AI厂商"的两方计算模型：医疗机构持有患者影像数据但缺乏大规模训练能力；AI厂商拥有强大的预训练模型但无法直接接触患者数据。通过 Transshield，双方可以在不共享原始数据的前提下完成诊断推理。该框架同样适用于金融风控（银行 + AI服务商）、政务数据共享等涉及敏感数据的多方协作场景。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（2）适配不同硬件条件。针对城市三甲医院与乡村基层医院的服务器性能差异，Transshield 提供多档推理配置：高性能场景可选择 LRD rank192 + depth12 + batch8 实现 26s/样本的近实时推理；中等资源场景可选择 depth10 + batch12 实现 70s/样本推理；资源受限场景可选择 depth12 + batch4 实现 161s/样本推理。三种配置共享同一套隐私保护协议栈，双向隐私边界在所有级别上完整成立。</w:t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第二章 作品设计与实现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2.1 系统架构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采用两方安全计算架构，参与方为医疗机构（数据持有方）和 AI 厂商（模型持有方）。整体数据流如下：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（1）输入准备阶段：医疗机构在本地完成图像预处理（resize、归一化、patch embedding），然后使用伪随机数生成器将像素张量拆分为两份加法秘密共享份额（share0 和 share1）。医疗机构保留 share0，将 share1 通过加密通道发送给 AI 厂商的服务器。服务器在整个过程中无法从单个份额中还原明文影像。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（2）安全推理阶段：AI 厂商的服务器持有预训练模型的参数（同样以秘密共享形式加载到 SPU 中），接收医疗机构发来的 share1 后，在 SPU 安全计算环境中执行完整的模型前向推理。推理过程中，DynamicViT 的 token 剪枝决策（PredictorLG 打分、kth-threshold 阈值计算、keep mask 生成）全部在密文状态下完成，无需任何外部预计算。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（3）结果返回阶段：SPU 仅向医疗机构暴露最终的诊断概率向量（logits），医疗机构根据预设阈值做出诊断决策。模型参数在整个过程中始终保留在服务器侧，医疗机构无法获取任何模型权重信息。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2.2 核心技术方案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2.2.1 DynamicViT 剪枝边界的协议友好重写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原始 DynamicViT 的 token 剪枝流程为：PredictorLG 对每个 token 打分 → 按分数排序取第 k 大值作为阈值 → 保留分数 ≥ 阈值的 token，删除其余 token。这一流程中有三个 MPC 不友好的操作：（a）"删除"操作产生动态形状，MPC 要求静态计算图；（b）阈值比较需要安全比较算子；（c）token 重排序在密文空间中代价高昂。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的解决方案是将上述操作逐一映射到 MPC 友好的算子：（a）将"删除 token"改写为"masking → F_mux"：保留的 token 乘以 1，丢弃的 token 乘以 0，形状不变但数值被清零；（b）将阈值比较改写为"F_less"安全比较算子；（c）使用 encoded-key bitonic sort 实现安全 token 选择，encoded_key = score - index × 10⁻⁶，将 tie-breaking 合并到单一比较操作。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2.2.2 MPC-Friendly 算子族设计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标准 Transformer 中的 softmax、GELU、LayerNorm 在 MPC 环境下的精确实现代价极高。Transshield 设计了如下近似算子族，并在训练阶段直接使用这些近似算子，从而消除训练-部署分布偏移：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（1）注意力策略：uniform attention。将标准的 softmax(QK^T/√d)V 替换为 mean(V)，即对所有 token 做均匀加权平均。这一近似将 softmax 涉及的指数运算和归一化完全消除，通信开销降至最低，同时保留了 token 交互的基本语义。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（2）激活函数：fixed_square + clip0。将 GELU/SiLU 替换为 max(0, x²)，即先做平方运算再截断负值。平方运算在定点算术中仅需一次乘法，clip0 消除了负值平方的非单调性问题。该激活函数是多项式形式，在 SPU 的定点精度下可以高效计算。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（3）归一化：exact LayerNorm。使用精确的 LayerNorm 而非 public-calibrated 近似。实验表明，public-calibrated LayerNorm 在 SPU 上会引入严重的尺度崩坏（raw min = -1217119.125），而 exact LayerNorm 的 raw min 仅为 -2.11，数值稳定性大幅提升。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2.2.3 固定点精度与 MPC 算子的协同约束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SPU 使用 64 位有限域（FM64）进行定点算术运算。fixed_square 激活函数的 x² 运算会将有效位需求加倍：若 fxp_fraction_bits = 16（48 位整数），x² 后需要 96 位，截断后精度仍然充足；若 fxp &lt; 16，分数位不足导致精度崩塌（预测全部退化为默认类别）；若 fxp &gt; 16，整数位不足导致数值溢出。实验验证 fxp = 16 是唯一安全操作点。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2.3 推理效率优化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安全推理的主要瓶颈在于 MPC 协议的通信开销。Transshield 通过以下策略实现 4.36 倍加速：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（1）低秩分解（LRD）——核心加速手段。基于 LRD-MPC 论文思路，对 DeiT-Small 的线性层做 SVD 低秩分解（rank=192），将 48 个线性层（attn.qkv, attn.proj, mlp.fc1, mlp.fc2）的参数量从 22,390,184 降至 15,312,296（减少 31.61%）。LRD 模型的 SPU 推理效率从 113.3s/sample 提升至 26.0s/sample（4.36 倍加速），threshold accuracy 保持 91.98% 不变，argmax accuracy 从 76.72% 提升至 90.27%。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（2）Token 剪枝减少后段计算量。3 阶段剪枝将 token 数从 196 递减至 137 → 96 → 67，后续 block 的 attention 计算量显著降低。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（3）批处理优化。将多个样本打包为一个 batch 送入 SPU，共享协议初始化和 JIT 编译的开销。从 batch1 到 batch12，单样本推理耗时从 213.9 秒降至 69.57 秒，实现 3.07 倍加速。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（4）深度裁剪。将模型深度从 12 层裁剪至 10 层（去掉最后 2 个 block），减少了 late-block 的累积数值漂移，在提升速度的同时保持了精度。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2.4 分级部署策略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不同地区的医疗机构拥有不同的计算资源。城市三甲医院通常配备高性能服务器集群（CPU ≥ 64 核，内存 ≥ 128GB），而基层乡村医院可能仅有普通服务器（CPU 4~8 核，内存 8~16GB）。Transshield 支持按算力分级部署，在精度和效率之间灵活取舍：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级别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适用场景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模型配置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批量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深度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sec/样本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threshold_acc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 级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城市三甲医院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LRD rank192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26.0s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91.98%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 级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地市级医院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69.6s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91.67%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 级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基层/乡村医院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160.6s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89.69%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A 级（LRD 模型）：使用低秩分解后的轻量模型，参数量减少 31.61%，SPU 推理 4.36 倍加速。适合拥有高性能服务器的城市大型医院，可实现近实时推理（26 秒/样本）。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B 级（Baseline depth10）：使用原始模型但截断最后 2 层，减少计算量。适合中等配置的服务器，在精度损失极小（&lt;0.3pp）的情况下实现 2.73 倍加速。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 级（Baseline depth12 batch4）：使用完整模型，批量较小以适应内存限制。适合基层医疗机构的普通服务器，推理时间较长但精度接近（89.69% threshold accuracy）。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三种配置共享同一套隐私保护协议栈（F_mux + F_less + bitonic sort + PredictorLG in-SPU），双向隐私边界在所有级别上完整成立。医疗机构可根据自身条件选择合适配置，无需修改核心系统。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2.5 输出校准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由于 MPC-friendly 近似算子与标准算子的输出分布存在差异，Transshield 设计了 SPU-aware public logit-bias 校准方案：在 SPU 安全计算完成、logits 暴露到明文空间后，对 raw logits 施加一个公开的单调仿射变换（weights + bias），使得决策边界与 plaintext 模型对齐。该校准在不修改安全计算图的前提下，将 argmax accuracy 从 76.72% 提升至 91.79%。</w:t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第三章 作品测试与分析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3.1 测试环境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安全推理在 SPU（Secure Processing Unit）v0.9 上运行，采用 2PC Cheetah 协议（半诚实模型）。服务器配备 62GB 内存，运行 Ubuntu 22.04。模型基于 DeiT-Small（depth=12, embed_dim=384）架构，训练数据集为胸部X光片二分类（训练 2114 张，验证 524 张）。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3.2 模型精度测试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Plaintext 模型在完整验证集（n=524）上的精度指标如下：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threshold_acc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argmax_acc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AUC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参数量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 (depth12)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91.98%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76.72%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0.9679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LRD (rank192)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91.98%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90.27%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0.9666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68.39%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LRD 模型在参数量减少 31.61% 的情况下，argmax accuracy 从 76.72% 提升至 90.27%（+13.55pp），threshold accuracy 保持不变。LRD 模型是当前最优配置。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3.3 安全推理精度一致性测试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Keep-mask wrapper 在不同样本规模下的精度一致性验证结果如下：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样本集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threshold_acc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finite_logits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privacy_consistent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smoke32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87.50%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smoke96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96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95.83%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heldout64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64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92.19%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heldout128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91.41%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heldout238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92.44%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所有测试均实现 argmax/threshold match = 1.0/1.0，logit 最大绝对误差仅为 0.0036，表明 SPU 安全推理的数值精度极高。privacy_consistent 字段在所有测试中均为 true。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3.4 推理效率测试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不同配置下的安全推理效率对比：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批量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sec/sample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相对baseline加速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 (depth12)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113.3s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1.00×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 depth10 (batch8)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100.5s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1.13×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 depth10 (batch12)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69.6s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1.63×</w:t>
            </w:r>
          </w:p>
        </w:tc>
      </w:tr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LRD rank192 (batch8)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26.0s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4.36×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最优配置为 LRD rank192 + batch8，单样本推理耗时 26.0 秒，相对 baseline 实现 4.36 倍加速。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3.5 隐私保护验证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双向隐私保护边界验证结果：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0"/>
        <w:gridCol w:w="2940"/>
        <w:gridCol w:w="2940"/>
      </w:tblGrid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隐私约束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验证结果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host_plaintext_pixel_values_materialized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服务器不接触明文影像</w:t>
            </w:r>
          </w:p>
        </w:tc>
      </w:tr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host_model_params_materialized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客户端不接触明文模型参数</w:t>
            </w:r>
          </w:p>
        </w:tc>
      </w:tr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spu_params_mode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secret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模型参数以 secret share 加载</w:t>
            </w:r>
          </w:p>
        </w:tc>
      </w:tr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runtime_pruning_keep_mask_pt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null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pruning 决策完全在 SPU 内部生成</w:t>
            </w:r>
          </w:p>
        </w:tc>
      </w:tr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reveal_policy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final_logits_only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只暴露最终 logits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上述隐私约束在所有测试中均一致通过，证明 Transshield 实现了完整的双向隐私保护：服务器无法推断患者影像内容，医疗机构无法逆向获取模型参数。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3.6 固定点精度消融实验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不同 fxp_fraction_bits 配置的安全推理精度：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5"/>
        <w:gridCol w:w="2205"/>
        <w:gridCol w:w="2205"/>
        <w:gridCol w:w="2205"/>
      </w:tblGrid>
      <w:tr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fxp_bits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sec/sample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与基线匹配率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114.0s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12.5%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精度崩塌</w:t>
            </w:r>
          </w:p>
        </w:tc>
      </w:tr>
      <w:tr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112.0s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12.5%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精度崩塌</w:t>
            </w:r>
          </w:p>
        </w:tc>
      </w:tr>
      <w:tr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109.9s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唯一正确</w:t>
            </w:r>
          </w:p>
        </w:tc>
      </w:tr>
      <w:tr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110.9s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62.5%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数值溢出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实验表明 fxp = 16 是唯一能保证正确推理的配置，验证了 fixed_square + FM64 + fxp=16 三位一体约束的存在。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3.7 跨域验证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为验证 Transshield 的通用性，在金融领域（信用卡欺诈检测）上进行了跨域验证。数据集包含 500 正常 + 500 欺诈样本，编码为 224×224 灰度图像。结果：Plaintext argmax accuracy 99.5%，SPU argmax_match_ratio = 1.0，max_abs_logits_error = 0.000935。双向隐私边界完整成立，证明 Transshield 是通用隐私推理框架而非医疗专用。</w:t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第四章 创新性说明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创新点 1：DynamicViT 剪枝边界的协议友好重写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原始 DynamicViT 的 token 剪枝依赖"删除式表达"——先为 token 打分，再直接删除低分 token。这种操作在 MPC 环境中面临动态形状、条件分支泄漏和比较操作不友好三大问题。Transshield 首次将剪枝决策边界显式映射到 MPC 友好的 F_mux（条件选择）和 F_less（安全比较），配合 encoded-key bitonic sort 实现安全 Top-K 选择。boundary_kth_check 通过（3 stage，max abs error 1.28e-5），boundary_tie_check 通过（stage_decision_match_ratio = 1.0），e2e_same_policy_consistency_exact = true。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创新点 2：端到端隐私保护的 SPU Forward 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实现了 PredictorLG 剪枝决策器在 SPU 安全计算环境内部的完整执行。服务器模型参数以 secret 模式加载到 SPU，医疗机构在整个推理过程中不接触任何模型参数；输入以 party-local share 方式加载，服务器永远不接触明文影像。PredictorLG 的 score→threshold→decision→sidecar→replay→prediction 整条链路在 SPU 内部完整执行，runtime_pruning_keep_mask_pt = null，不依赖任何外部预计算。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创新点 3：Encoded-Key Bitonic Sort 实现安全 Top-K 选择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DynamicViT 的剪枝决策依赖从 token score 中选出第 k 大值作为阈值。Transshield 提出 encoded-key bitonic sort 方案：encoded_key = score - index × 10⁻⁶，将 tie-breaking 合并到单一比较操作中；利用 bitonic sort 的 O(N log N) 复杂度和并行友好性，全程使用 jnp.where 条件赋值，保证 SPU 兼容性。match_ratio = 1.0，验证通过。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创新点 4：MPC-Friendly 算子族与训练-部署对齐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设计了 uniform attention + fixed_square + exact LayerNorm 的 MPC-friendly 算子族，并在训练阶段直接使用这些近似算子，从而消除训练-部署分布偏移。实验表明该算子族在 full-val 上实现 threshold_accuracy = 91.98%，AUC = 0.9679，与标准 Transformer 的差距控制在 4.20pp 以内。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创新点 5：基于 Token 剪枝的安全推理效率优化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通过安全 token 剪枝（196 → 137 → 96 → 67）减少后段 block 的通信量，配合批处理优化（batch12）和深度裁剪（depth10），将单样本推理耗时从 213.9 秒降至 69.57 秒，实现 3.07 倍加速。剪枝决策在安全环境中动态生成（runtime_pruning_keep_mask_pt = null），不依赖外部预计算，同时保持了 argmax/threshold match = 1.0/1.0 的精度一致性。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创新点 6：SPU 固定点精度与 MPC-Friendly 算子的协同约束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首次量化了 MPC-friendly 算子的精度约束边界。通过系统性的 fxp_fraction_bits 消融实验（fxp=12/14/16/20），揭示了 fixed_square 激活函数将有效位需求加倍的机制：fxp &lt; 16 时精度崩塌（预测退化为默认类别），fxp &gt; 16 时数值溢出（raw min = -1217119.125），fxp = 16 是唯一安全操作点。这一发现为后续 MPC-friendly 模型设计提供了重要的精度约束参考。</w:t>
      </w:r>
    </w:p>
    <w:p>
      <w:pPr>
        <w:spacing w:line="360" w:lineRule="auto" w:before="120"/>
      </w:pPr>
      <w:r>
        <w:rPr>
          <w:rFonts w:ascii="黑体" w:hAnsi="黑体" w:eastAsia="黑体"/>
          <w:b w:val="1"/>
          <w:sz w:val="28"/>
        </w:rPr>
      </w:r>
    </w:p>
    <w:p>
      <w:pPr>
        <w:spacing w:line="360" w:lineRule="auto"/>
        <w:ind w:firstLine="480"/>
      </w:pPr>
      <w:r>
        <w:rPr>
          <w:rFonts w:ascii="黑体" w:hAnsi="黑体" w:eastAsia="黑体"/>
          <w:b/>
          <w:sz w:val="28"/>
        </w:rPr>
        <w:t>创新点 7：基于 SVD 低秩分解的安全推理加速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在创新点 5 的动态剪枝优化基础上（Baseline depth12+batch8: 113.3s/sample → 剪枝+depth10+batch12: 69.6s/sample，3.07 倍加速），进一步对 DeiT-Small 的 48 个线性层（attn.qkv, attn.proj, mlp.fc1, mlp.fc2）做 SVD 低秩分解（rank=192），参数量从 22,390,184 降至 15,312,296（减少 31.61%）。LRD 模型的 SPU 推理效率进一步降至 26.0s/sample，相对于原始 Baseline（113.3s/sample）实现 4.36 倍总加速。threshold accuracy 保持 91.98% 不变，argmax accuracy 从 76.72% 提升至 90.27%（+13.55pp）。Token 剪枝与 LRD 两种优化手段可叠加，共同构成当前最优配置。</w:t>
      </w:r>
    </w:p>
    <w:p>
      <w:pPr>
        <w:ind w:firstLine="480"/>
        <w:spacing w:line="360" w:lineRule="auto"/>
      </w:pPr>
      <w:r>
        <w:rPr>
          <w:rFonts w:ascii="宋体" w:hAnsi="宋体" w:eastAsia="宋体"/>
          <w:sz w:val="24"/>
          <w:szCs w:val="24"/>
        </w:rPr>
        <w:t>七个创新点形成完整技术闭环：创新点 1 提供方法基础，创新点 2 实现端到端隐私，创新点 3 支撑安全 Top-K，创新点 4 保证精度，创新点 5 实现动态剪枝加速，创新点 6 量化精度约束，创新点 7 实现参数压缩加速。</w:t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第五章 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是一个面向医疗影像的隐私保护 AI 推理框架，基于安全多方计算技术，实现了"医疗机构看不到模型参数、AI厂商看不到患者影像"的双向隐私保护。本作品在以下方面取得了突破：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（1）首次将 DynamicViT 的动态剪枝机制完整移植到 MPC 安全环境中，通过协议友好的算子重写和 encoded-key bitonic sort，解决了动态形状、条件分支和安全排序三大技术难题。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（2）构建了完整的 MPC-friendly 算子族，并通过训练-部署对齐消除了分布偏移，在 heldout238 测试集上实现 92.44% 的阈值准确率。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（3）通过 SVD 低秩分解（LRD）将参数量减少 31.61%，单样本安全推理耗时从 113.3 秒降至 26.0 秒（4.36 倍加速），使实时隐私保护推理在工程上可行。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（4）设计了分级部署策略（A/B/C 三级），支持从城市三甲医院到基层乡村医院的不同算力条件，三种配置共享同一套隐私保护协议栈，双向隐私边界在所有级别上完整成立。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（5）系统性验证了固定点精度与 MPC 算子的协同约束，为后续 MPC-friendly 模型设计提供了重要的精度约束参考。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未来工作方向包括：探索 LUT GELU 激活函数在 SPU 上的部署（当前 CPU 精度 97.33%，SPU 超时待修复）、支持更多影像模态（CT、MRI）、将框架扩展到联邦学习场景下的多方协同训练。</w:t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[1] Hao W, Zheng D, et al. MPCViT: Searching for Accurate and Efficient MPC-Friendly Vision Transformers with Heterogeneous Attention[C]. NeurIPS, 2023.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[2] Li Y, Mao H, et al. DynamicViT: Efficient Vision Transformers with Dynamic Token Sparsification[C]. NeurIPS, 2021.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[3] Huang Z, Benaloia L, et al. BEiT: BERT Pre-Training of Image Transformers[C]. ICLR, 2022.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[4] Rathee D, Mayank M, et al. CrypTFlow2: Practical 2-Party Secure Inference for Deep Learning[C]. IEEE S&amp;P, 2020.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[5] Google SPU: Secure Processing Unit. https://github.com/secretflow/spu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[6] Yao A C. Protocols for Secure Computations[C]. FOCS, 1982.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[7] Goldreich O, Micali S, Wigderson A. How to Play Any Mental Game[C]. STOC, 1987.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[8] Touvron H, Cord M, et al. Training Data-Efficient Image Transformers &amp; Distillation through Attention[C]. ICML, 2021.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[9] LRD-MPC: Efficient MPC Inference through Low-rank Decomposition[C]. 2026.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[10] Hawk: Accurate and Fast Privacy-Preserving Machine Learning Using Secure Lookup Table Computation[C]. 2024.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[11] Tabula: Efficiently Computing Nonlinear Activation Functions for Secure NN Inference[C]. 2022.</w:t>
      </w:r>
    </w:p>
    <w:p>
      <w:pPr>
        <w:spacing w:line="360" w:lineRule="auto" w:before="240"/>
      </w:pPr>
      <w:r>
        <w:rPr>
          <w:rFonts w:ascii="黑体" w:hAnsi="黑体" w:eastAsia="黑体"/>
          <w:b/>
          <w:sz w:val="32"/>
        </w:rPr>
        <w:t>附录A：关键代码实现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本附录展示 Transshield 系统中的关键代码实现片段，体现技术创新的具体落地。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A.1 安全剪枝决策（Secure Pruning Decision）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以下代码实现了基于 Bitonic Sort 的安全 Top-K 选择算法，用于在 MPC 环境中进行 token 剪枝决策：</w:t>
      </w:r>
    </w:p>
    <w:p>
      <w:pPr>
        <w:spacing w:line="276" w:lineRule="auto"/>
      </w:pPr>
      <w:r>
        <w:rPr>
          <w:rFonts w:ascii="Courier New" w:hAnsi="Courier New" w:eastAsia="Courier New"/>
          <w:sz w:val="18"/>
        </w:rPr>
        <w:t>def _secure_build_keep_decision(score, prev_decision_2d, keep_count):</w:t>
        <w:br/>
        <w:t xml:space="preserve">    """Build keep decision via argsort-equivalent top-k using bitonic sort."""</w:t>
        <w:br/>
        <w:t xml:space="preserve">    idx = jnp.arange(score.shape[1]).reshape(1, -1)</w:t>
        <w:br/>
        <w:t xml:space="preserve">    encoded_key = score - idx * 1e-6  # tie-breaking</w:t>
        <w:br/>
        <w:t xml:space="preserve">    sorted_idx = _bitonic_sort_desc(encoded_key)</w:t>
        <w:br/>
        <w:t xml:space="preserve">    keep_mask = jnp.zeros_like(score)</w:t>
        <w:br/>
        <w:t xml:space="preserve">    keep_mask = keep_mask.at[0, sorted_idx[0, :keep_count]].set(1.0)</w:t>
        <w:br/>
        <w:t xml:space="preserve">    return keep_mask * prev_decision_2d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A.2 SVD 低秩分解（LRD）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以下代码实现了线性层的 SVD 低秩分解，将大矩阵分解为两个小矩阵的乘积：</w:t>
      </w:r>
    </w:p>
    <w:p>
      <w:pPr>
        <w:spacing w:line="276" w:lineRule="auto"/>
      </w:pPr>
      <w:r>
        <w:rPr>
          <w:rFonts w:ascii="Courier New" w:hAnsi="Courier New" w:eastAsia="Courier New"/>
          <w:sz w:val="18"/>
        </w:rPr>
        <w:t>def decompose_linear(linear_layer, rank=192):</w:t>
        <w:br/>
        <w:t xml:space="preserve">    """SVD: W (out, in) -&gt; U (out, rank) @ V (rank, in)"""</w:t>
        <w:br/>
        <w:t xml:space="preserve">    W = linear_layer.weight.data</w:t>
        <w:br/>
        <w:t xml:space="preserve">    U, S, Vh = torch.linalg.svd(W, full_matrices=False)</w:t>
        <w:br/>
        <w:t xml:space="preserve">    U_r = U[:, :rank] * S[:rank].sqrt()</w:t>
        <w:br/>
        <w:t xml:space="preserve">    V_r = S[:rank].sqrt() * Vh[:rank, :]</w:t>
        <w:br/>
        <w:t xml:space="preserve">    return U_r, V_r</w:t>
      </w:r>
    </w:p>
    <w:p>
      <w:pPr>
        <w:spacing w:line="360" w:lineRule="auto" w:before="120"/>
      </w:pPr>
      <w:r>
        <w:rPr>
          <w:rFonts w:ascii="黑体" w:hAnsi="黑体" w:eastAsia="黑体"/>
          <w:b/>
          <w:sz w:val="28"/>
        </w:rPr>
        <w:t>A.3 隐私保护状态检查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以下代码展示了 Transshield 如何确保隐私保护状态：</w:t>
      </w:r>
    </w:p>
    <w:p>
      <w:pPr>
        <w:spacing w:line="276" w:lineRule="auto"/>
      </w:pPr>
      <w:r>
        <w:rPr>
          <w:rFonts w:ascii="Courier New" w:hAnsi="Courier New" w:eastAsia="Courier New"/>
          <w:sz w:val="18"/>
        </w:rPr>
        <w:t>privacy_status = {</w:t>
        <w:br/>
        <w:t xml:space="preserve">    "host_plaintext_pixel_values_materialized": (</w:t>
        <w:br/>
        <w:t xml:space="preserve">        False if share_pair_cpu is not None</w:t>
        <w:br/>
        <w:t xml:space="preserve">        or party_local_share_path is not None else True</w:t>
        <w:br/>
        <w:t xml:space="preserve">    ),</w:t>
        <w:br/>
        <w:t xml:space="preserve">    "host_model_params_materialized": False,</w:t>
        <w:br/>
        <w:t xml:space="preserve">    "spu_params_mode": "secret",</w:t>
        <w:br/>
        <w:t xml:space="preserve">    "reveal_policy": "final_logits_only",</w:t>
        <w:br/>
        <w:t xml:space="preserve">    "runtime_pruning_keep_mask_pt": None</w:t>
        <w:br/>
        <w:t>}</w:t>
      </w:r>
    </w:p>
    <w:sectPr w:rsidR="00B74C5D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6970" w14:textId="77777777" w:rsidR="00B4751C" w:rsidRDefault="00B4751C">
      <w:r>
        <w:separator/>
      </w:r>
    </w:p>
  </w:endnote>
  <w:endnote w:type="continuationSeparator" w:id="0">
    <w:p w14:paraId="0A00A56D" w14:textId="77777777" w:rsidR="00B4751C" w:rsidRDefault="00B4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B5D" w14:textId="77777777" w:rsidR="00B74C5D" w:rsidRDefault="00F72284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C04EB5E" w14:textId="77777777" w:rsidR="00B74C5D" w:rsidRDefault="00B74C5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B5F" w14:textId="77777777" w:rsidR="00B74C5D" w:rsidRDefault="00F72284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C7B9B" w14:textId="77777777" w:rsidR="00B4751C" w:rsidRDefault="00B4751C">
      <w:r>
        <w:separator/>
      </w:r>
    </w:p>
  </w:footnote>
  <w:footnote w:type="continuationSeparator" w:id="0">
    <w:p w14:paraId="2F73863B" w14:textId="77777777" w:rsidR="00B4751C" w:rsidRDefault="00B47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73EEA"/>
    <w:rsid w:val="000B295B"/>
    <w:rsid w:val="0012253A"/>
    <w:rsid w:val="001B67F9"/>
    <w:rsid w:val="001F4517"/>
    <w:rsid w:val="00275F44"/>
    <w:rsid w:val="00283AEB"/>
    <w:rsid w:val="002D2C68"/>
    <w:rsid w:val="003E28F4"/>
    <w:rsid w:val="004017A4"/>
    <w:rsid w:val="00404C1B"/>
    <w:rsid w:val="00424691"/>
    <w:rsid w:val="004C302D"/>
    <w:rsid w:val="004C3E11"/>
    <w:rsid w:val="005011AC"/>
    <w:rsid w:val="005706DD"/>
    <w:rsid w:val="00575B69"/>
    <w:rsid w:val="00594406"/>
    <w:rsid w:val="00626450"/>
    <w:rsid w:val="00676CF0"/>
    <w:rsid w:val="00685973"/>
    <w:rsid w:val="006D00F8"/>
    <w:rsid w:val="006E4B47"/>
    <w:rsid w:val="00735E04"/>
    <w:rsid w:val="007A0845"/>
    <w:rsid w:val="007E7F65"/>
    <w:rsid w:val="00804CF0"/>
    <w:rsid w:val="008233AA"/>
    <w:rsid w:val="00840819"/>
    <w:rsid w:val="00847112"/>
    <w:rsid w:val="0087039D"/>
    <w:rsid w:val="00882AD1"/>
    <w:rsid w:val="009A0979"/>
    <w:rsid w:val="009C1255"/>
    <w:rsid w:val="009F377B"/>
    <w:rsid w:val="00A247AB"/>
    <w:rsid w:val="00A77804"/>
    <w:rsid w:val="00B36150"/>
    <w:rsid w:val="00B4751C"/>
    <w:rsid w:val="00B62FE5"/>
    <w:rsid w:val="00B74C5D"/>
    <w:rsid w:val="00BB4589"/>
    <w:rsid w:val="00BD34E2"/>
    <w:rsid w:val="00BE16EA"/>
    <w:rsid w:val="00C56672"/>
    <w:rsid w:val="00CE5C25"/>
    <w:rsid w:val="00D570F5"/>
    <w:rsid w:val="00DC1EF7"/>
    <w:rsid w:val="00E47070"/>
    <w:rsid w:val="00E94B67"/>
    <w:rsid w:val="00EB12B1"/>
    <w:rsid w:val="00F72284"/>
    <w:rsid w:val="00F7709C"/>
    <w:rsid w:val="00F85321"/>
    <w:rsid w:val="00F913E8"/>
    <w:rsid w:val="343447A0"/>
    <w:rsid w:val="4A9A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4EAFD"/>
  <w15:docId w15:val="{2AECEB7D-99FE-5148-AEBF-D71F5107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qFormat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A83B-8138-47F9-9BC9-779B2DCA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biao liu</cp:lastModifiedBy>
  <cp:revision>5</cp:revision>
  <dcterms:created xsi:type="dcterms:W3CDTF">2024-04-05T12:59:00Z</dcterms:created>
  <dcterms:modified xsi:type="dcterms:W3CDTF">2025-05-20T09:12:00Z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F554248EBB504349A01BAC644687F4BA_12</vt:lpwstr>
  </property>
</Properties>
</file>