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D5AAB">
      <w:pPr>
        <w:rPr>
          <w:rFonts w:hint="eastAsia" w:ascii="黑体" w:hAnsi="宋体" w:eastAsia="黑体"/>
          <w:sz w:val="32"/>
          <w:szCs w:val="32"/>
        </w:rPr>
      </w:pPr>
    </w:p>
    <w:p w14:paraId="6F0C05F6">
      <w:pPr>
        <w:rPr>
          <w:rFonts w:hint="eastAsia" w:ascii="黑体" w:hAnsi="宋体" w:eastAsia="黑体"/>
          <w:sz w:val="32"/>
          <w:szCs w:val="32"/>
        </w:rPr>
      </w:pPr>
    </w:p>
    <w:p w14:paraId="3B4D93A0">
      <w:pPr>
        <w:rPr>
          <w:rFonts w:hint="eastAsia" w:ascii="黑体" w:hAnsi="宋体" w:eastAsia="黑体"/>
          <w:sz w:val="32"/>
          <w:szCs w:val="32"/>
        </w:rPr>
      </w:pPr>
    </w:p>
    <w:p w14:paraId="2A252B3B">
      <w:pPr>
        <w:jc w:val="center"/>
        <w:rPr>
          <w:rFonts w:hint="eastAsia" w:ascii="黑体" w:hAnsi="宋体" w:eastAsia="黑体"/>
          <w:b/>
          <w:sz w:val="52"/>
          <w:szCs w:val="52"/>
        </w:rPr>
      </w:pPr>
      <w:r>
        <w:rPr>
          <w:rFonts w:eastAsia="黑体"/>
          <w:b/>
          <w:sz w:val="52"/>
          <w:szCs w:val="52"/>
        </w:rPr>
        <w:t>202</w:t>
      </w:r>
      <w:r>
        <w:rPr>
          <w:rFonts w:hint="eastAsia" w:eastAsia="黑体"/>
          <w:b/>
          <w:sz w:val="52"/>
          <w:szCs w:val="52"/>
          <w:lang w:val="en-US" w:eastAsia="zh-CN"/>
        </w:rPr>
        <w:t>6</w:t>
      </w:r>
      <w:r>
        <w:rPr>
          <w:rFonts w:hint="eastAsia" w:ascii="黑体" w:hAnsi="宋体" w:eastAsia="黑体"/>
          <w:b/>
          <w:sz w:val="52"/>
          <w:szCs w:val="52"/>
        </w:rPr>
        <w:t>年全国大学生信息安全竞赛</w:t>
      </w:r>
    </w:p>
    <w:p w14:paraId="6EF8428F">
      <w:pPr>
        <w:jc w:val="center"/>
        <w:rPr>
          <w:b/>
          <w:sz w:val="52"/>
          <w:szCs w:val="52"/>
        </w:rPr>
      </w:pPr>
      <w:r>
        <w:rPr>
          <w:rFonts w:hint="eastAsia" w:ascii="黑体" w:hAnsi="宋体" w:eastAsia="黑体"/>
          <w:b/>
          <w:sz w:val="52"/>
          <w:szCs w:val="52"/>
        </w:rPr>
        <w:t>作品报告</w:t>
      </w:r>
    </w:p>
    <w:p w14:paraId="451E56C5">
      <w:pPr>
        <w:spacing w:line="360" w:lineRule="auto"/>
        <w:rPr>
          <w:rFonts w:hint="eastAsia" w:ascii="宋体" w:hAnsi="宋体"/>
          <w:sz w:val="24"/>
        </w:rPr>
      </w:pPr>
    </w:p>
    <w:p w14:paraId="37F38FEB">
      <w:pPr>
        <w:spacing w:line="360" w:lineRule="auto"/>
        <w:rPr>
          <w:rFonts w:hint="eastAsia" w:ascii="宋体" w:hAnsi="宋体"/>
          <w:sz w:val="24"/>
        </w:rPr>
      </w:pPr>
    </w:p>
    <w:p w14:paraId="15E507BC">
      <w:pPr>
        <w:spacing w:line="360" w:lineRule="auto"/>
        <w:rPr>
          <w:rFonts w:hint="eastAsia" w:ascii="宋体" w:hAnsi="宋体"/>
          <w:sz w:val="24"/>
        </w:rPr>
      </w:pPr>
    </w:p>
    <w:p w14:paraId="0E667737">
      <w:pPr>
        <w:spacing w:line="360" w:lineRule="auto"/>
        <w:rPr>
          <w:rFonts w:hint="eastAsia" w:ascii="宋体" w:hAnsi="宋体"/>
          <w:sz w:val="24"/>
        </w:rPr>
      </w:pPr>
    </w:p>
    <w:p w14:paraId="0BF82A23">
      <w:pPr>
        <w:spacing w:line="360" w:lineRule="auto"/>
        <w:rPr>
          <w:rFonts w:hint="eastAsia" w:ascii="宋体" w:hAnsi="宋体"/>
          <w:sz w:val="24"/>
        </w:rPr>
      </w:pPr>
    </w:p>
    <w:p w14:paraId="4A753A2F">
      <w:pPr>
        <w:spacing w:line="360" w:lineRule="auto"/>
        <w:rPr>
          <w:rFonts w:hint="eastAsia" w:ascii="宋体" w:hAnsi="宋体"/>
          <w:sz w:val="24"/>
        </w:rPr>
      </w:pPr>
    </w:p>
    <w:p w14:paraId="0E460321">
      <w:pPr>
        <w:spacing w:line="360" w:lineRule="auto"/>
        <w:rPr>
          <w:rFonts w:hint="eastAsia" w:ascii="宋体" w:hAnsi="宋体"/>
          <w:sz w:val="24"/>
        </w:rPr>
      </w:pPr>
    </w:p>
    <w:p w14:paraId="2EF2CB9A">
      <w:pPr>
        <w:spacing w:line="360" w:lineRule="auto"/>
        <w:rPr>
          <w:rFonts w:hint="eastAsia" w:ascii="黑体" w:hAnsi="宋体" w:eastAsia="黑体"/>
          <w:b/>
          <w:sz w:val="32"/>
          <w:szCs w:val="32"/>
          <w:u w:val="single"/>
        </w:rPr>
      </w:pPr>
      <w:r>
        <w:rPr>
          <w:rFonts w:hint="eastAsia" w:ascii="黑体" w:hAnsi="宋体" w:eastAsia="黑体"/>
          <w:b/>
          <w:sz w:val="32"/>
          <w:szCs w:val="32"/>
        </w:rPr>
        <w:t>作品名称：</w:t>
      </w:r>
      <w:r>
        <w:rPr>
          <w:rFonts w:hint="eastAsia" w:ascii="黑体" w:hAnsi="宋体" w:eastAsia="黑体"/>
          <w:b/>
          <w:sz w:val="32"/>
          <w:szCs w:val="32"/>
          <w:u w:val="single"/>
        </w:rPr>
        <w:t xml:space="preserve">                                          </w:t>
      </w:r>
    </w:p>
    <w:p w14:paraId="337998C8">
      <w:pPr>
        <w:spacing w:line="360" w:lineRule="auto"/>
        <w:rPr>
          <w:rFonts w:hint="eastAsia" w:ascii="黑体" w:hAnsi="宋体" w:eastAsia="黑体"/>
          <w:b/>
          <w:sz w:val="32"/>
          <w:szCs w:val="32"/>
        </w:rPr>
      </w:pPr>
      <w:r>
        <w:rPr>
          <w:rFonts w:hint="eastAsia" w:ascii="黑体" w:hAnsi="宋体" w:eastAsia="黑体"/>
          <w:b/>
          <w:sz w:val="32"/>
          <w:szCs w:val="32"/>
        </w:rPr>
        <w:t>电子邮箱：</w:t>
      </w:r>
      <w:r>
        <w:rPr>
          <w:rFonts w:hint="eastAsia" w:ascii="黑体" w:hAnsi="宋体" w:eastAsia="黑体"/>
          <w:b/>
          <w:sz w:val="32"/>
          <w:szCs w:val="32"/>
          <w:u w:val="single"/>
        </w:rPr>
        <w:t xml:space="preserve">                                          </w:t>
      </w:r>
    </w:p>
    <w:p w14:paraId="5AE6EF38">
      <w:pPr>
        <w:spacing w:line="360" w:lineRule="auto"/>
        <w:rPr>
          <w:rFonts w:hint="eastAsia" w:ascii="宋体" w:hAnsi="宋体"/>
          <w:b/>
          <w:sz w:val="24"/>
        </w:rPr>
      </w:pPr>
      <w:r>
        <w:rPr>
          <w:rFonts w:hint="eastAsia" w:ascii="黑体" w:hAnsi="宋体" w:eastAsia="黑体"/>
          <w:b/>
          <w:sz w:val="32"/>
          <w:szCs w:val="32"/>
        </w:rPr>
        <w:t>提交日期：</w:t>
      </w:r>
      <w:r>
        <w:rPr>
          <w:rFonts w:hint="eastAsia" w:ascii="黑体" w:hAnsi="宋体" w:eastAsia="黑体"/>
          <w:b/>
          <w:sz w:val="32"/>
          <w:szCs w:val="32"/>
          <w:u w:val="single"/>
        </w:rPr>
        <w:t xml:space="preserve">                                          </w:t>
      </w:r>
    </w:p>
    <w:p w14:paraId="68742AE2">
      <w:pPr>
        <w:autoSpaceDE w:val="0"/>
        <w:autoSpaceDN w:val="0"/>
        <w:adjustRightInd w:val="0"/>
        <w:spacing w:line="360" w:lineRule="auto"/>
        <w:rPr>
          <w:rFonts w:hint="eastAsia" w:ascii="宋体" w:hAnsi="宋体" w:cs="DFKai-SB"/>
          <w:b/>
          <w:bCs/>
          <w:sz w:val="24"/>
        </w:rPr>
        <w:sectPr>
          <w:footerReference r:id="rId3" w:type="even"/>
          <w:pgSz w:w="11906" w:h="16838"/>
          <w:pgMar w:top="1440" w:right="1466" w:bottom="1440" w:left="1620" w:header="851" w:footer="992" w:gutter="0"/>
          <w:pgNumType w:fmt="decimalEnclosedCircle"/>
          <w:cols w:space="425" w:num="1"/>
          <w:docGrid w:type="lines" w:linePitch="312" w:charSpace="0"/>
        </w:sectPr>
      </w:pPr>
    </w:p>
    <w:p w14:paraId="4B9DFD63">
      <w:pPr>
        <w:adjustRightInd w:val="0"/>
        <w:snapToGrid w:val="0"/>
        <w:spacing w:line="360" w:lineRule="auto"/>
        <w:jc w:val="center"/>
        <w:rPr>
          <w:rFonts w:ascii="黑体" w:eastAsia="黑体"/>
          <w:bCs/>
          <w:sz w:val="32"/>
          <w:szCs w:val="32"/>
        </w:rPr>
      </w:pPr>
      <w:r>
        <w:rPr>
          <w:rFonts w:hint="eastAsia" w:ascii="黑体" w:eastAsia="黑体"/>
          <w:bCs/>
          <w:sz w:val="32"/>
          <w:szCs w:val="32"/>
        </w:rPr>
        <w:t>填写说明</w:t>
      </w:r>
    </w:p>
    <w:p w14:paraId="070E9E47">
      <w:pPr>
        <w:autoSpaceDE w:val="0"/>
        <w:autoSpaceDN w:val="0"/>
        <w:adjustRightInd w:val="0"/>
        <w:spacing w:line="360" w:lineRule="auto"/>
        <w:rPr>
          <w:rFonts w:hint="eastAsia" w:ascii="宋体" w:hAnsi="宋体" w:cs="DFKai-SB"/>
          <w:bCs/>
          <w:sz w:val="24"/>
        </w:rPr>
      </w:pPr>
      <w:r>
        <w:rPr>
          <w:rFonts w:hint="eastAsia" w:ascii="宋体" w:hAnsi="宋体" w:cs="DFKai-SB"/>
          <w:bCs/>
          <w:sz w:val="24"/>
        </w:rPr>
        <w:t xml:space="preserve">1. </w:t>
      </w:r>
      <w:r>
        <w:rPr>
          <w:rFonts w:ascii="宋体" w:hAnsi="宋体" w:cs="DFKai-SB"/>
          <w:bCs/>
          <w:sz w:val="24"/>
        </w:rPr>
        <w:t>所有参赛</w:t>
      </w:r>
      <w:r>
        <w:rPr>
          <w:rFonts w:hint="eastAsia" w:ascii="宋体" w:hAnsi="宋体" w:cs="DFKai-SB"/>
          <w:bCs/>
          <w:sz w:val="24"/>
        </w:rPr>
        <w:t>项目</w:t>
      </w:r>
      <w:r>
        <w:rPr>
          <w:rFonts w:ascii="宋体" w:hAnsi="宋体" w:cs="DFKai-SB"/>
          <w:bCs/>
          <w:sz w:val="24"/>
        </w:rPr>
        <w:t>必须为一个基本完整的设计。</w:t>
      </w:r>
      <w:r>
        <w:rPr>
          <w:rFonts w:hint="eastAsia" w:ascii="宋体" w:hAnsi="宋体" w:cs="DFKai-SB"/>
          <w:bCs/>
          <w:sz w:val="24"/>
        </w:rPr>
        <w:t>作品报告书旨在能够清晰准确地阐述（或图示）该参赛队的参赛项目（或</w:t>
      </w:r>
      <w:r>
        <w:rPr>
          <w:rFonts w:ascii="宋体" w:hAnsi="宋体" w:cs="DFKai-SB"/>
          <w:bCs/>
          <w:sz w:val="24"/>
        </w:rPr>
        <w:t>方案</w:t>
      </w:r>
      <w:r>
        <w:rPr>
          <w:rFonts w:hint="eastAsia" w:ascii="宋体" w:hAnsi="宋体" w:cs="DFKai-SB"/>
          <w:bCs/>
          <w:sz w:val="24"/>
        </w:rPr>
        <w:t>）。</w:t>
      </w:r>
    </w:p>
    <w:p w14:paraId="56DABF11">
      <w:pPr>
        <w:autoSpaceDE w:val="0"/>
        <w:autoSpaceDN w:val="0"/>
        <w:adjustRightInd w:val="0"/>
        <w:spacing w:line="360" w:lineRule="auto"/>
        <w:rPr>
          <w:rFonts w:hint="eastAsia" w:ascii="宋体" w:hAnsi="宋体" w:cs="DFKai-SB"/>
          <w:bCs/>
          <w:sz w:val="24"/>
        </w:rPr>
      </w:pPr>
      <w:r>
        <w:rPr>
          <w:rFonts w:hint="eastAsia" w:ascii="宋体" w:hAnsi="宋体" w:cs="DFKai-SB"/>
          <w:bCs/>
          <w:sz w:val="24"/>
        </w:rPr>
        <w:t>2. 作品报告采用A4纸撰写。除标题外，所有内容必需为宋体、小四号字、1.5倍行距。</w:t>
      </w:r>
    </w:p>
    <w:p w14:paraId="20E0CEA3">
      <w:pPr>
        <w:autoSpaceDE w:val="0"/>
        <w:autoSpaceDN w:val="0"/>
        <w:adjustRightInd w:val="0"/>
        <w:spacing w:line="360" w:lineRule="auto"/>
        <w:rPr>
          <w:rFonts w:hint="eastAsia" w:ascii="宋体" w:hAnsi="宋体" w:cs="DFKai-SB"/>
          <w:bCs/>
          <w:sz w:val="24"/>
        </w:rPr>
      </w:pPr>
      <w:r>
        <w:rPr>
          <w:rFonts w:hint="eastAsia" w:ascii="宋体" w:hAnsi="宋体" w:cs="DFKai-SB"/>
          <w:bCs/>
          <w:sz w:val="24"/>
        </w:rPr>
        <w:t>3. 作品报告中各项目说明文字部分仅供参考，作品报告书撰写完毕后，请删除所有说明文字。(本页不删除)</w:t>
      </w:r>
    </w:p>
    <w:p w14:paraId="6B64066C">
      <w:pPr>
        <w:autoSpaceDE w:val="0"/>
        <w:autoSpaceDN w:val="0"/>
        <w:adjustRightInd w:val="0"/>
        <w:spacing w:line="360" w:lineRule="auto"/>
        <w:rPr>
          <w:rFonts w:hint="eastAsia" w:ascii="宋体" w:hAnsi="宋体" w:cs="DFKai-SB"/>
          <w:bCs/>
          <w:sz w:val="24"/>
        </w:rPr>
      </w:pPr>
      <w:r>
        <w:rPr>
          <w:rFonts w:hint="eastAsia" w:ascii="宋体" w:hAnsi="宋体" w:cs="DFKai-SB"/>
          <w:bCs/>
          <w:sz w:val="24"/>
        </w:rPr>
        <w:t>4. 作品报告模板里已经列的内容仅供参考，作者可以在此基础上增加内容或对文档结构进行微调。</w:t>
      </w:r>
    </w:p>
    <w:p w14:paraId="77575AD0">
      <w:pPr>
        <w:autoSpaceDE w:val="0"/>
        <w:autoSpaceDN w:val="0"/>
        <w:adjustRightInd w:val="0"/>
        <w:spacing w:line="360" w:lineRule="auto"/>
        <w:rPr>
          <w:rFonts w:hint="eastAsia" w:ascii="宋体" w:hAnsi="宋体" w:cs="DFKai-SB"/>
          <w:bCs/>
          <w:sz w:val="24"/>
        </w:rPr>
      </w:pPr>
      <w:r>
        <w:rPr>
          <w:rFonts w:hint="eastAsia" w:ascii="宋体" w:hAnsi="宋体" w:cs="DFKai-SB"/>
          <w:bCs/>
          <w:sz w:val="24"/>
        </w:rPr>
        <w:t>5. 为保证网评的公平、公正，作品报告中应避免出现作者所在学校、院系和指导教师等泄露身份的信息。</w:t>
      </w:r>
    </w:p>
    <w:p w14:paraId="6D43C7E2">
      <w:pPr>
        <w:adjustRightInd w:val="0"/>
        <w:snapToGrid w:val="0"/>
        <w:spacing w:line="360" w:lineRule="auto"/>
        <w:rPr>
          <w:rFonts w:ascii="黑体" w:eastAsia="黑体"/>
          <w:bCs/>
          <w:sz w:val="32"/>
          <w:szCs w:val="32"/>
        </w:rPr>
      </w:pPr>
    </w:p>
    <w:p w14:paraId="5C581FB6">
      <w:pPr>
        <w:autoSpaceDE w:val="0"/>
        <w:autoSpaceDN w:val="0"/>
        <w:adjustRightInd w:val="0"/>
        <w:spacing w:line="360" w:lineRule="auto"/>
        <w:rPr>
          <w:rFonts w:hint="eastAsia" w:ascii="宋体" w:hAnsi="宋体" w:cs="DFKai-SB"/>
          <w:bCs/>
          <w:sz w:val="24"/>
        </w:rPr>
      </w:pPr>
    </w:p>
    <w:p w14:paraId="3BC577A3">
      <w:pPr>
        <w:autoSpaceDE w:val="0"/>
        <w:autoSpaceDN w:val="0"/>
        <w:adjustRightInd w:val="0"/>
        <w:spacing w:line="360" w:lineRule="auto"/>
        <w:rPr>
          <w:rFonts w:hint="eastAsia" w:ascii="宋体" w:hAnsi="宋体" w:cs="DFKai-SB"/>
          <w:bCs/>
          <w:sz w:val="24"/>
        </w:rPr>
      </w:pPr>
    </w:p>
    <w:p w14:paraId="218B7EFC">
      <w:pPr>
        <w:autoSpaceDE w:val="0"/>
        <w:autoSpaceDN w:val="0"/>
        <w:adjustRightInd w:val="0"/>
        <w:spacing w:line="360" w:lineRule="auto"/>
        <w:rPr>
          <w:rFonts w:hint="eastAsia" w:ascii="宋体" w:hAnsi="宋体" w:cs="DFKai-SB"/>
          <w:bCs/>
          <w:sz w:val="24"/>
        </w:rPr>
      </w:pPr>
    </w:p>
    <w:p w14:paraId="7F934A0E">
      <w:pPr>
        <w:autoSpaceDE w:val="0"/>
        <w:autoSpaceDN w:val="0"/>
        <w:adjustRightInd w:val="0"/>
        <w:spacing w:line="360" w:lineRule="auto"/>
        <w:rPr>
          <w:rFonts w:hint="eastAsia" w:ascii="宋体" w:hAnsi="宋体" w:cs="DFKai-SB"/>
          <w:bCs/>
          <w:sz w:val="24"/>
        </w:rPr>
      </w:pPr>
    </w:p>
    <w:p w14:paraId="508D0A59">
      <w:pPr>
        <w:autoSpaceDE w:val="0"/>
        <w:autoSpaceDN w:val="0"/>
        <w:adjustRightInd w:val="0"/>
        <w:spacing w:line="360" w:lineRule="auto"/>
        <w:rPr>
          <w:rFonts w:hint="eastAsia" w:ascii="宋体" w:hAnsi="宋体" w:cs="DFKai-SB"/>
          <w:bCs/>
          <w:sz w:val="24"/>
        </w:rPr>
      </w:pPr>
    </w:p>
    <w:p w14:paraId="4DD2DD8F">
      <w:pPr>
        <w:autoSpaceDE w:val="0"/>
        <w:autoSpaceDN w:val="0"/>
        <w:adjustRightInd w:val="0"/>
        <w:spacing w:line="360" w:lineRule="auto"/>
        <w:rPr>
          <w:rFonts w:hint="eastAsia" w:ascii="宋体" w:hAnsi="宋体" w:cs="DFKai-SB"/>
          <w:bCs/>
          <w:sz w:val="24"/>
        </w:rPr>
      </w:pPr>
    </w:p>
    <w:p w14:paraId="2D8AA000">
      <w:pPr>
        <w:autoSpaceDE w:val="0"/>
        <w:autoSpaceDN w:val="0"/>
        <w:adjustRightInd w:val="0"/>
        <w:spacing w:line="360" w:lineRule="auto"/>
        <w:rPr>
          <w:rFonts w:hint="eastAsia" w:ascii="宋体" w:hAnsi="宋体" w:cs="DFKai-SB"/>
          <w:bCs/>
          <w:sz w:val="24"/>
        </w:rPr>
      </w:pPr>
    </w:p>
    <w:p w14:paraId="3A28ECCD">
      <w:pPr>
        <w:autoSpaceDE w:val="0"/>
        <w:autoSpaceDN w:val="0"/>
        <w:adjustRightInd w:val="0"/>
        <w:spacing w:line="360" w:lineRule="auto"/>
        <w:rPr>
          <w:rFonts w:hint="eastAsia" w:ascii="宋体" w:hAnsi="宋体" w:cs="DFKai-SB"/>
          <w:bCs/>
          <w:sz w:val="24"/>
        </w:rPr>
      </w:pPr>
    </w:p>
    <w:p w14:paraId="4F115548">
      <w:pPr>
        <w:autoSpaceDE w:val="0"/>
        <w:autoSpaceDN w:val="0"/>
        <w:adjustRightInd w:val="0"/>
        <w:spacing w:line="360" w:lineRule="auto"/>
        <w:rPr>
          <w:rFonts w:hint="eastAsia" w:ascii="宋体" w:hAnsi="宋体" w:cs="DFKai-SB"/>
          <w:bCs/>
          <w:sz w:val="24"/>
        </w:rPr>
      </w:pPr>
    </w:p>
    <w:p w14:paraId="670178B4">
      <w:pPr>
        <w:rPr>
          <w:rFonts w:hint="eastAsia" w:ascii="黑体" w:hAnsi="黑体" w:eastAsia="黑体" w:cs="黑体"/>
          <w:b/>
          <w:bCs/>
          <w:sz w:val="32"/>
          <w:szCs w:val="32"/>
        </w:rPr>
      </w:pPr>
      <w:r>
        <w:rPr>
          <w:rFonts w:hint="eastAsia" w:ascii="黑体" w:hAnsi="宋体" w:eastAsia="黑体" w:cs="DFKai-SB"/>
          <w:b/>
          <w:bCs/>
          <w:sz w:val="32"/>
          <w:szCs w:val="32"/>
        </w:rPr>
        <w:br w:type="page"/>
      </w:r>
    </w:p>
    <w:sdt>
      <w:sdtPr>
        <w:rPr>
          <w:rFonts w:ascii="宋体" w:hAnsi="宋体"/>
        </w:rPr>
        <w:id w:val="147474048"/>
        <w15:color w:val="DBDBDB"/>
        <w:docPartObj>
          <w:docPartGallery w:val="Table of Contents"/>
          <w:docPartUnique/>
        </w:docPartObj>
      </w:sdtPr>
      <w:sdtEndPr>
        <w:rPr>
          <w:rFonts w:ascii="宋体" w:hAnsi="宋体"/>
        </w:rPr>
      </w:sdtEndPr>
      <w:sdtContent>
        <w:p w14:paraId="3E809185">
          <w:pPr>
            <w:jc w:val="center"/>
            <w:rPr>
              <w:rFonts w:hint="eastAsia" w:ascii="黑体" w:hAnsi="黑体" w:eastAsia="黑体" w:cs="黑体"/>
              <w:b/>
              <w:bCs/>
              <w:sz w:val="32"/>
              <w:szCs w:val="32"/>
            </w:rPr>
          </w:pPr>
          <w:r>
            <w:rPr>
              <w:rFonts w:hint="eastAsia" w:ascii="黑体" w:hAnsi="黑体" w:eastAsia="黑体" w:cs="黑体"/>
              <w:b/>
              <w:bCs/>
              <w:sz w:val="32"/>
              <w:szCs w:val="32"/>
            </w:rPr>
            <w:t>目录</w:t>
          </w:r>
        </w:p>
        <w:p w14:paraId="17E7BD7B">
          <w:pPr>
            <w:pStyle w:val="5"/>
            <w:tabs>
              <w:tab w:val="right" w:leader="dot" w:pos="8810"/>
            </w:tabs>
            <w:rPr>
              <w:rFonts w:hint="eastAsia" w:asciiTheme="minorHAnsi" w:hAnsiTheme="minorHAnsi" w:eastAsiaTheme="minorEastAsia" w:cstheme="minorBidi"/>
              <w:sz w:val="22"/>
              <w14:ligatures w14:val="standardContextual"/>
            </w:rPr>
          </w:pPr>
          <w:r>
            <w:rPr>
              <w:color w:val="000000"/>
            </w:rPr>
            <w:fldChar w:fldCharType="begin"/>
          </w:r>
          <w:r>
            <w:rPr>
              <w:color w:val="000000"/>
            </w:rPr>
            <w:instrText xml:space="preserve">TOC \o "1-2" \h \u </w:instrText>
          </w:r>
          <w:r>
            <w:rPr>
              <w:color w:val="000000"/>
            </w:rPr>
            <w:fldChar w:fldCharType="separate"/>
          </w:r>
          <w:r>
            <w:rPr>
              <w:color w:val="000000"/>
            </w:rPr>
            <w:fldChar w:fldCharType="begin"/>
          </w:r>
          <w:r>
            <w:rPr>
              <w:color w:val="000000"/>
            </w:rPr>
            <w:instrText xml:space="preserve"> HYPERLINK \l "_Toc230691140" </w:instrText>
          </w:r>
          <w:r>
            <w:rPr>
              <w:color w:val="000000"/>
            </w:rPr>
            <w:fldChar w:fldCharType="separate"/>
          </w:r>
          <w:r>
            <w:rPr>
              <w:rStyle w:val="11"/>
              <w:rFonts w:hint="eastAsia" w:ascii="黑体" w:hAnsi="黑体" w:eastAsia="黑体"/>
              <w:color w:val="000000"/>
            </w:rPr>
            <w:t>摘要</w:t>
          </w:r>
          <w:r>
            <w:rPr>
              <w:rFonts w:hint="eastAsia"/>
              <w:color w:val="000000"/>
            </w:rPr>
            <w:tab/>
          </w:r>
          <w:r>
            <w:rPr>
              <w:rFonts w:hint="eastAsia"/>
              <w:color w:val="000000"/>
            </w:rPr>
            <w:fldChar w:fldCharType="begin"/>
          </w:r>
          <w:r>
            <w:rPr>
              <w:rFonts w:hint="eastAsia"/>
              <w:color w:val="000000"/>
            </w:rPr>
            <w:instrText xml:space="preserve"> </w:instrText>
          </w:r>
          <w:r>
            <w:rPr>
              <w:color w:val="000000"/>
            </w:rPr>
            <w:instrText xml:space="preserve">PAGEREF _Toc230691140 \h</w:instrText>
          </w:r>
          <w:r>
            <w:rPr>
              <w:rFonts w:hint="eastAsia"/>
              <w:color w:val="000000"/>
            </w:rPr>
            <w:instrText xml:space="preserve"> </w:instrText>
          </w:r>
          <w:r>
            <w:rPr>
              <w:rFonts w:hint="eastAsia"/>
              <w:color w:val="000000"/>
            </w:rPr>
            <w:fldChar w:fldCharType="separate"/>
          </w:r>
          <w:r>
            <w:rPr>
              <w:color w:val="000000"/>
            </w:rPr>
            <w:t>5</w:t>
          </w:r>
          <w:r>
            <w:rPr>
              <w:rFonts w:hint="eastAsia"/>
              <w:color w:val="000000"/>
            </w:rPr>
            <w:fldChar w:fldCharType="end"/>
          </w:r>
          <w:r>
            <w:rPr>
              <w:rFonts w:hint="eastAsia"/>
              <w:color w:val="000000"/>
            </w:rPr>
            <w:fldChar w:fldCharType="end"/>
          </w:r>
        </w:p>
        <w:p w14:paraId="305CD08E">
          <w:pPr>
            <w:pStyle w:val="5"/>
            <w:tabs>
              <w:tab w:val="right" w:leader="dot" w:pos="8810"/>
            </w:tabs>
            <w:rPr>
              <w:rFonts w:hint="eastAsia" w:asciiTheme="minorHAnsi" w:hAnsiTheme="minorHAnsi" w:eastAsiaTheme="minorEastAsia" w:cstheme="minorBidi"/>
              <w:sz w:val="22"/>
              <w14:ligatures w14:val="standardContextual"/>
            </w:rPr>
          </w:pPr>
          <w:r>
            <w:rPr>
              <w:color w:val="000000"/>
            </w:rPr>
            <w:fldChar w:fldCharType="begin"/>
          </w:r>
          <w:r>
            <w:rPr>
              <w:color w:val="000000"/>
            </w:rPr>
            <w:instrText xml:space="preserve"> HYPERLINK \l "_Toc230691141" </w:instrText>
          </w:r>
          <w:r>
            <w:rPr>
              <w:color w:val="000000"/>
            </w:rPr>
            <w:fldChar w:fldCharType="separate"/>
          </w:r>
          <w:r>
            <w:rPr>
              <w:rStyle w:val="11"/>
              <w:rFonts w:hint="eastAsia" w:ascii="黑体" w:hAnsi="黑体" w:eastAsia="黑体"/>
              <w:color w:val="000000"/>
            </w:rPr>
            <w:t>第一章 作品概述</w:t>
          </w:r>
          <w:r>
            <w:rPr>
              <w:rFonts w:hint="eastAsia"/>
              <w:color w:val="000000"/>
            </w:rPr>
            <w:tab/>
          </w:r>
          <w:r>
            <w:rPr>
              <w:rFonts w:hint="eastAsia"/>
              <w:color w:val="000000"/>
            </w:rPr>
            <w:fldChar w:fldCharType="begin"/>
          </w:r>
          <w:r>
            <w:rPr>
              <w:rFonts w:hint="eastAsia"/>
              <w:color w:val="000000"/>
            </w:rPr>
            <w:instrText xml:space="preserve"> </w:instrText>
          </w:r>
          <w:r>
            <w:rPr>
              <w:color w:val="000000"/>
            </w:rPr>
            <w:instrText xml:space="preserve">PAGEREF _Toc230691141 \h</w:instrText>
          </w:r>
          <w:r>
            <w:rPr>
              <w:rFonts w:hint="eastAsia"/>
              <w:color w:val="000000"/>
            </w:rPr>
            <w:instrText xml:space="preserve"> </w:instrText>
          </w:r>
          <w:r>
            <w:rPr>
              <w:rFonts w:hint="eastAsia"/>
              <w:color w:val="000000"/>
            </w:rPr>
            <w:fldChar w:fldCharType="separate"/>
          </w:r>
          <w:r>
            <w:rPr>
              <w:color w:val="000000"/>
            </w:rPr>
            <w:t>6</w:t>
          </w:r>
          <w:r>
            <w:rPr>
              <w:rFonts w:hint="eastAsia"/>
              <w:color w:val="000000"/>
            </w:rPr>
            <w:fldChar w:fldCharType="end"/>
          </w:r>
          <w:r>
            <w:rPr>
              <w:rFonts w:hint="eastAsia"/>
              <w:color w:val="000000"/>
            </w:rPr>
            <w:fldChar w:fldCharType="end"/>
          </w:r>
        </w:p>
        <w:p w14:paraId="73B9AC41">
          <w:pPr>
            <w:pStyle w:val="6"/>
            <w:tabs>
              <w:tab w:val="right" w:leader="dot" w:pos="8810"/>
            </w:tabs>
            <w:rPr>
              <w:rFonts w:hint="eastAsia" w:asciiTheme="minorHAnsi" w:hAnsiTheme="minorHAnsi" w:eastAsiaTheme="minorEastAsia" w:cstheme="minorBidi"/>
              <w:b w:val="0"/>
              <w:bCs w:val="0"/>
              <w:sz w:val="22"/>
              <w14:ligatures w14:val="standardContextual"/>
            </w:rPr>
          </w:pPr>
          <w:r>
            <w:rPr>
              <w:b w:val="0"/>
              <w:bCs w:val="0"/>
              <w:color w:val="000000"/>
            </w:rPr>
            <w:fldChar w:fldCharType="begin"/>
          </w:r>
          <w:r>
            <w:rPr>
              <w:b w:val="0"/>
              <w:bCs w:val="0"/>
              <w:color w:val="000000"/>
            </w:rPr>
            <w:instrText xml:space="preserve"> HYPERLINK \l "_Toc230691142" </w:instrText>
          </w:r>
          <w:r>
            <w:rPr>
              <w:b w:val="0"/>
              <w:bCs w:val="0"/>
              <w:color w:val="000000"/>
            </w:rPr>
            <w:fldChar w:fldCharType="separate"/>
          </w:r>
          <w:r>
            <w:rPr>
              <w:rStyle w:val="11"/>
              <w:rFonts w:hint="eastAsia" w:ascii="黑体" w:hAnsi="黑体" w:eastAsia="黑体"/>
              <w:b w:val="0"/>
              <w:bCs w:val="0"/>
              <w:color w:val="000000"/>
            </w:rPr>
            <w:t>1.1 背景与目标</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_Toc230691142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6</w:t>
          </w:r>
          <w:r>
            <w:rPr>
              <w:rFonts w:hint="eastAsia"/>
              <w:b w:val="0"/>
              <w:bCs w:val="0"/>
              <w:color w:val="000000"/>
            </w:rPr>
            <w:fldChar w:fldCharType="end"/>
          </w:r>
          <w:r>
            <w:rPr>
              <w:rFonts w:hint="eastAsia"/>
              <w:b w:val="0"/>
              <w:bCs w:val="0"/>
              <w:color w:val="000000"/>
            </w:rPr>
            <w:fldChar w:fldCharType="end"/>
          </w:r>
        </w:p>
        <w:p w14:paraId="35121D32">
          <w:pPr>
            <w:pStyle w:val="6"/>
            <w:tabs>
              <w:tab w:val="right" w:leader="dot" w:pos="8810"/>
            </w:tabs>
            <w:rPr>
              <w:rFonts w:hint="eastAsia" w:asciiTheme="minorHAnsi" w:hAnsiTheme="minorHAnsi" w:eastAsiaTheme="minorEastAsia" w:cstheme="minorBidi"/>
              <w:b w:val="0"/>
              <w:bCs w:val="0"/>
              <w:sz w:val="22"/>
              <w14:ligatures w14:val="standardContextual"/>
            </w:rPr>
          </w:pPr>
          <w:r>
            <w:rPr>
              <w:b w:val="0"/>
              <w:bCs w:val="0"/>
              <w:color w:val="000000"/>
            </w:rPr>
            <w:fldChar w:fldCharType="begin"/>
          </w:r>
          <w:r>
            <w:rPr>
              <w:b w:val="0"/>
              <w:bCs w:val="0"/>
              <w:color w:val="000000"/>
            </w:rPr>
            <w:instrText xml:space="preserve"> HYPERLINK \l "_Toc230691143" </w:instrText>
          </w:r>
          <w:r>
            <w:rPr>
              <w:b w:val="0"/>
              <w:bCs w:val="0"/>
              <w:color w:val="000000"/>
            </w:rPr>
            <w:fldChar w:fldCharType="separate"/>
          </w:r>
          <w:r>
            <w:rPr>
              <w:rStyle w:val="11"/>
              <w:rFonts w:hint="eastAsia" w:ascii="黑体" w:hAnsi="黑体" w:eastAsia="黑体"/>
              <w:b w:val="0"/>
              <w:bCs w:val="0"/>
              <w:color w:val="000000"/>
            </w:rPr>
            <w:t>1.2 应用场景与交付边界</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_Toc230691143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6</w:t>
          </w:r>
          <w:r>
            <w:rPr>
              <w:rFonts w:hint="eastAsia"/>
              <w:b w:val="0"/>
              <w:bCs w:val="0"/>
              <w:color w:val="000000"/>
            </w:rPr>
            <w:fldChar w:fldCharType="end"/>
          </w:r>
          <w:r>
            <w:rPr>
              <w:rFonts w:hint="eastAsia"/>
              <w:b w:val="0"/>
              <w:bCs w:val="0"/>
              <w:color w:val="000000"/>
            </w:rPr>
            <w:fldChar w:fldCharType="end"/>
          </w:r>
        </w:p>
        <w:p w14:paraId="12F6CA14">
          <w:pPr>
            <w:pStyle w:val="6"/>
            <w:tabs>
              <w:tab w:val="right" w:leader="dot" w:pos="8810"/>
            </w:tabs>
            <w:rPr>
              <w:rFonts w:hint="eastAsia" w:asciiTheme="minorHAnsi" w:hAnsiTheme="minorHAnsi" w:eastAsiaTheme="minorEastAsia" w:cstheme="minorBidi"/>
              <w:b w:val="0"/>
              <w:bCs w:val="0"/>
              <w:sz w:val="22"/>
              <w14:ligatures w14:val="standardContextual"/>
            </w:rPr>
          </w:pPr>
          <w:r>
            <w:rPr>
              <w:b w:val="0"/>
              <w:bCs w:val="0"/>
              <w:color w:val="000000"/>
            </w:rPr>
            <w:fldChar w:fldCharType="begin"/>
          </w:r>
          <w:r>
            <w:rPr>
              <w:b w:val="0"/>
              <w:bCs w:val="0"/>
              <w:color w:val="000000"/>
            </w:rPr>
            <w:instrText xml:space="preserve"> HYPERLINK \l "_Toc230691144" </w:instrText>
          </w:r>
          <w:r>
            <w:rPr>
              <w:b w:val="0"/>
              <w:bCs w:val="0"/>
              <w:color w:val="000000"/>
            </w:rPr>
            <w:fldChar w:fldCharType="separate"/>
          </w:r>
          <w:r>
            <w:rPr>
              <w:rStyle w:val="11"/>
              <w:rFonts w:hint="eastAsia" w:ascii="黑体" w:hAnsi="黑体" w:eastAsia="黑体"/>
              <w:b w:val="0"/>
              <w:bCs w:val="0"/>
              <w:color w:val="000000"/>
            </w:rPr>
            <w:t>1.3 核心贡献</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_Toc230691144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6</w:t>
          </w:r>
          <w:r>
            <w:rPr>
              <w:rFonts w:hint="eastAsia"/>
              <w:b w:val="0"/>
              <w:bCs w:val="0"/>
              <w:color w:val="000000"/>
            </w:rPr>
            <w:fldChar w:fldCharType="end"/>
          </w:r>
          <w:r>
            <w:rPr>
              <w:rFonts w:hint="eastAsia"/>
              <w:b w:val="0"/>
              <w:bCs w:val="0"/>
              <w:color w:val="000000"/>
            </w:rPr>
            <w:fldChar w:fldCharType="end"/>
          </w:r>
        </w:p>
        <w:p w14:paraId="20B31C9C">
          <w:pPr>
            <w:pStyle w:val="6"/>
            <w:tabs>
              <w:tab w:val="right" w:leader="dot" w:pos="8810"/>
            </w:tabs>
            <w:rPr>
              <w:rFonts w:hint="eastAsia" w:asciiTheme="minorHAnsi" w:hAnsiTheme="minorHAnsi" w:eastAsiaTheme="minorEastAsia" w:cstheme="minorBidi"/>
              <w:sz w:val="22"/>
              <w14:ligatures w14:val="standardContextual"/>
            </w:rPr>
          </w:pPr>
          <w:r>
            <w:rPr>
              <w:b w:val="0"/>
              <w:bCs w:val="0"/>
              <w:color w:val="000000"/>
            </w:rPr>
            <w:fldChar w:fldCharType="begin"/>
          </w:r>
          <w:r>
            <w:rPr>
              <w:b w:val="0"/>
              <w:bCs w:val="0"/>
              <w:color w:val="000000"/>
            </w:rPr>
            <w:instrText xml:space="preserve"> HYPERLINK \l "_Toc230691145" </w:instrText>
          </w:r>
          <w:r>
            <w:rPr>
              <w:b w:val="0"/>
              <w:bCs w:val="0"/>
              <w:color w:val="000000"/>
            </w:rPr>
            <w:fldChar w:fldCharType="separate"/>
          </w:r>
          <w:r>
            <w:rPr>
              <w:rStyle w:val="11"/>
              <w:rFonts w:hint="eastAsia" w:ascii="黑体" w:hAnsi="黑体" w:eastAsia="黑体"/>
              <w:b w:val="0"/>
              <w:bCs w:val="0"/>
              <w:color w:val="000000"/>
            </w:rPr>
            <w:t>1.4 相关工作与技术定位</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_Toc230691145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7</w:t>
          </w:r>
          <w:r>
            <w:rPr>
              <w:rFonts w:hint="eastAsia"/>
              <w:b w:val="0"/>
              <w:bCs w:val="0"/>
              <w:color w:val="000000"/>
            </w:rPr>
            <w:fldChar w:fldCharType="end"/>
          </w:r>
          <w:r>
            <w:rPr>
              <w:rFonts w:hint="eastAsia"/>
              <w:b w:val="0"/>
              <w:bCs w:val="0"/>
              <w:color w:val="000000"/>
            </w:rPr>
            <w:fldChar w:fldCharType="end"/>
          </w:r>
        </w:p>
        <w:p w14:paraId="125D611F">
          <w:pPr>
            <w:pStyle w:val="5"/>
            <w:tabs>
              <w:tab w:val="right" w:leader="dot" w:pos="8810"/>
            </w:tabs>
            <w:rPr>
              <w:rFonts w:hint="eastAsia" w:asciiTheme="minorHAnsi" w:hAnsiTheme="minorHAnsi" w:eastAsiaTheme="minorEastAsia" w:cstheme="minorBidi"/>
              <w:sz w:val="22"/>
              <w14:ligatures w14:val="standardContextual"/>
            </w:rPr>
          </w:pPr>
          <w:r>
            <w:rPr>
              <w:color w:val="000000"/>
            </w:rPr>
            <w:fldChar w:fldCharType="begin"/>
          </w:r>
          <w:r>
            <w:rPr>
              <w:color w:val="000000"/>
            </w:rPr>
            <w:instrText xml:space="preserve"> HYPERLINK \l "_Toc230691146" </w:instrText>
          </w:r>
          <w:r>
            <w:rPr>
              <w:color w:val="000000"/>
            </w:rPr>
            <w:fldChar w:fldCharType="separate"/>
          </w:r>
          <w:r>
            <w:rPr>
              <w:rStyle w:val="11"/>
              <w:rFonts w:hint="eastAsia" w:ascii="黑体" w:hAnsi="黑体" w:eastAsia="黑体"/>
              <w:color w:val="000000"/>
            </w:rPr>
            <w:t>第二章 系统设计</w:t>
          </w:r>
          <w:r>
            <w:rPr>
              <w:rFonts w:hint="eastAsia"/>
              <w:color w:val="000000"/>
            </w:rPr>
            <w:tab/>
          </w:r>
          <w:r>
            <w:rPr>
              <w:rFonts w:hint="eastAsia"/>
              <w:color w:val="000000"/>
            </w:rPr>
            <w:fldChar w:fldCharType="begin"/>
          </w:r>
          <w:r>
            <w:rPr>
              <w:rFonts w:hint="eastAsia"/>
              <w:color w:val="000000"/>
            </w:rPr>
            <w:instrText xml:space="preserve"> </w:instrText>
          </w:r>
          <w:r>
            <w:rPr>
              <w:color w:val="000000"/>
            </w:rPr>
            <w:instrText xml:space="preserve">PAGEREF _Toc230691146 \h</w:instrText>
          </w:r>
          <w:r>
            <w:rPr>
              <w:rFonts w:hint="eastAsia"/>
              <w:color w:val="000000"/>
            </w:rPr>
            <w:instrText xml:space="preserve"> </w:instrText>
          </w:r>
          <w:r>
            <w:rPr>
              <w:rFonts w:hint="eastAsia"/>
              <w:color w:val="000000"/>
            </w:rPr>
            <w:fldChar w:fldCharType="separate"/>
          </w:r>
          <w:r>
            <w:rPr>
              <w:color w:val="000000"/>
            </w:rPr>
            <w:t>8</w:t>
          </w:r>
          <w:r>
            <w:rPr>
              <w:rFonts w:hint="eastAsia"/>
              <w:color w:val="000000"/>
            </w:rPr>
            <w:fldChar w:fldCharType="end"/>
          </w:r>
          <w:r>
            <w:rPr>
              <w:rFonts w:hint="eastAsia"/>
              <w:color w:val="000000"/>
            </w:rPr>
            <w:fldChar w:fldCharType="end"/>
          </w:r>
        </w:p>
        <w:p w14:paraId="23638A93">
          <w:pPr>
            <w:pStyle w:val="6"/>
            <w:tabs>
              <w:tab w:val="right" w:leader="dot" w:pos="8810"/>
            </w:tabs>
            <w:rPr>
              <w:rFonts w:hint="eastAsia" w:asciiTheme="minorHAnsi" w:hAnsiTheme="minorHAnsi" w:eastAsiaTheme="minorEastAsia" w:cstheme="minorBidi"/>
              <w:b w:val="0"/>
              <w:bCs w:val="0"/>
              <w:sz w:val="22"/>
              <w14:ligatures w14:val="standardContextual"/>
            </w:rPr>
          </w:pPr>
          <w:r>
            <w:rPr>
              <w:b w:val="0"/>
              <w:bCs w:val="0"/>
              <w:color w:val="000000"/>
            </w:rPr>
            <w:fldChar w:fldCharType="begin"/>
          </w:r>
          <w:r>
            <w:rPr>
              <w:b w:val="0"/>
              <w:bCs w:val="0"/>
              <w:color w:val="000000"/>
            </w:rPr>
            <w:instrText xml:space="preserve"> HYPERLINK \l "_Toc230691147" </w:instrText>
          </w:r>
          <w:r>
            <w:rPr>
              <w:b w:val="0"/>
              <w:bCs w:val="0"/>
              <w:color w:val="000000"/>
            </w:rPr>
            <w:fldChar w:fldCharType="separate"/>
          </w:r>
          <w:r>
            <w:rPr>
              <w:rStyle w:val="11"/>
              <w:rFonts w:hint="eastAsia" w:ascii="黑体" w:hAnsi="黑体" w:eastAsia="黑体"/>
              <w:b w:val="0"/>
              <w:bCs w:val="0"/>
              <w:color w:val="000000"/>
            </w:rPr>
            <w:t>2.1 总体架构</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_Toc230691147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8</w:t>
          </w:r>
          <w:r>
            <w:rPr>
              <w:rFonts w:hint="eastAsia"/>
              <w:b w:val="0"/>
              <w:bCs w:val="0"/>
              <w:color w:val="000000"/>
            </w:rPr>
            <w:fldChar w:fldCharType="end"/>
          </w:r>
          <w:r>
            <w:rPr>
              <w:rFonts w:hint="eastAsia"/>
              <w:b w:val="0"/>
              <w:bCs w:val="0"/>
              <w:color w:val="000000"/>
            </w:rPr>
            <w:fldChar w:fldCharType="end"/>
          </w:r>
        </w:p>
        <w:p w14:paraId="3CC7F89A">
          <w:pPr>
            <w:pStyle w:val="6"/>
            <w:tabs>
              <w:tab w:val="right" w:leader="dot" w:pos="8810"/>
            </w:tabs>
            <w:rPr>
              <w:rFonts w:hint="eastAsia" w:asciiTheme="minorHAnsi" w:hAnsiTheme="minorHAnsi" w:eastAsiaTheme="minorEastAsia" w:cstheme="minorBidi"/>
              <w:b w:val="0"/>
              <w:bCs w:val="0"/>
              <w:sz w:val="22"/>
              <w14:ligatures w14:val="standardContextual"/>
            </w:rPr>
          </w:pPr>
          <w:r>
            <w:rPr>
              <w:b w:val="0"/>
              <w:bCs w:val="0"/>
              <w:color w:val="000000"/>
            </w:rPr>
            <w:fldChar w:fldCharType="begin"/>
          </w:r>
          <w:r>
            <w:rPr>
              <w:b w:val="0"/>
              <w:bCs w:val="0"/>
              <w:color w:val="000000"/>
            </w:rPr>
            <w:instrText xml:space="preserve"> HYPERLINK \l "_Toc230691148" </w:instrText>
          </w:r>
          <w:r>
            <w:rPr>
              <w:b w:val="0"/>
              <w:bCs w:val="0"/>
              <w:color w:val="000000"/>
            </w:rPr>
            <w:fldChar w:fldCharType="separate"/>
          </w:r>
          <w:r>
            <w:rPr>
              <w:rStyle w:val="11"/>
              <w:rFonts w:hint="eastAsia" w:ascii="黑体" w:hAnsi="黑体" w:eastAsia="黑体"/>
              <w:b w:val="0"/>
              <w:bCs w:val="0"/>
              <w:color w:val="000000"/>
            </w:rPr>
            <w:t>2.2 威胁模型与安全边界</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_Toc230691148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8</w:t>
          </w:r>
          <w:r>
            <w:rPr>
              <w:rFonts w:hint="eastAsia"/>
              <w:b w:val="0"/>
              <w:bCs w:val="0"/>
              <w:color w:val="000000"/>
            </w:rPr>
            <w:fldChar w:fldCharType="end"/>
          </w:r>
          <w:r>
            <w:rPr>
              <w:rFonts w:hint="eastAsia"/>
              <w:b w:val="0"/>
              <w:bCs w:val="0"/>
              <w:color w:val="000000"/>
            </w:rPr>
            <w:fldChar w:fldCharType="end"/>
          </w:r>
        </w:p>
        <w:p w14:paraId="5E99058F">
          <w:pPr>
            <w:pStyle w:val="6"/>
            <w:tabs>
              <w:tab w:val="right" w:leader="dot" w:pos="8810"/>
            </w:tabs>
            <w:rPr>
              <w:rFonts w:hint="eastAsia" w:asciiTheme="minorHAnsi" w:hAnsiTheme="minorHAnsi" w:eastAsiaTheme="minorEastAsia" w:cstheme="minorBidi"/>
              <w:b w:val="0"/>
              <w:bCs w:val="0"/>
              <w:sz w:val="22"/>
              <w14:ligatures w14:val="standardContextual"/>
            </w:rPr>
          </w:pPr>
          <w:r>
            <w:rPr>
              <w:b w:val="0"/>
              <w:bCs w:val="0"/>
              <w:color w:val="000000"/>
            </w:rPr>
            <w:fldChar w:fldCharType="begin"/>
          </w:r>
          <w:r>
            <w:rPr>
              <w:b w:val="0"/>
              <w:bCs w:val="0"/>
              <w:color w:val="000000"/>
            </w:rPr>
            <w:instrText xml:space="preserve"> HYPERLINK \l "_Toc230691149" </w:instrText>
          </w:r>
          <w:r>
            <w:rPr>
              <w:b w:val="0"/>
              <w:bCs w:val="0"/>
              <w:color w:val="000000"/>
            </w:rPr>
            <w:fldChar w:fldCharType="separate"/>
          </w:r>
          <w:r>
            <w:rPr>
              <w:rStyle w:val="11"/>
              <w:rFonts w:hint="eastAsia" w:ascii="黑体" w:hAnsi="黑体" w:eastAsia="黑体"/>
              <w:b w:val="0"/>
              <w:bCs w:val="0"/>
              <w:color w:val="000000"/>
            </w:rPr>
            <w:t>2.3 软件流程</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_Toc230691149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10</w:t>
          </w:r>
          <w:r>
            <w:rPr>
              <w:rFonts w:hint="eastAsia"/>
              <w:b w:val="0"/>
              <w:bCs w:val="0"/>
              <w:color w:val="000000"/>
            </w:rPr>
            <w:fldChar w:fldCharType="end"/>
          </w:r>
          <w:r>
            <w:rPr>
              <w:rFonts w:hint="eastAsia"/>
              <w:b w:val="0"/>
              <w:bCs w:val="0"/>
              <w:color w:val="000000"/>
            </w:rPr>
            <w:fldChar w:fldCharType="end"/>
          </w:r>
        </w:p>
        <w:p w14:paraId="2F772215">
          <w:pPr>
            <w:pStyle w:val="6"/>
            <w:tabs>
              <w:tab w:val="right" w:leader="dot" w:pos="8810"/>
            </w:tabs>
            <w:rPr>
              <w:rFonts w:hint="eastAsia" w:asciiTheme="minorHAnsi" w:hAnsiTheme="minorHAnsi" w:eastAsiaTheme="minorEastAsia" w:cstheme="minorBidi"/>
              <w:b w:val="0"/>
              <w:bCs w:val="0"/>
              <w:sz w:val="22"/>
              <w14:ligatures w14:val="standardContextual"/>
            </w:rPr>
          </w:pPr>
          <w:r>
            <w:rPr>
              <w:b w:val="0"/>
              <w:bCs w:val="0"/>
              <w:color w:val="000000"/>
            </w:rPr>
            <w:fldChar w:fldCharType="begin"/>
          </w:r>
          <w:r>
            <w:rPr>
              <w:b w:val="0"/>
              <w:bCs w:val="0"/>
              <w:color w:val="000000"/>
            </w:rPr>
            <w:instrText xml:space="preserve"> HYPERLINK \l "_Toc230691150" </w:instrText>
          </w:r>
          <w:r>
            <w:rPr>
              <w:b w:val="0"/>
              <w:bCs w:val="0"/>
              <w:color w:val="000000"/>
            </w:rPr>
            <w:fldChar w:fldCharType="separate"/>
          </w:r>
          <w:r>
            <w:rPr>
              <w:rStyle w:val="11"/>
              <w:rFonts w:hint="eastAsia" w:ascii="黑体" w:hAnsi="黑体" w:eastAsia="黑体"/>
              <w:b w:val="0"/>
              <w:bCs w:val="0"/>
              <w:color w:val="000000"/>
            </w:rPr>
            <w:t>2.4 DynamicViT 密态改写</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_Toc230691150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10</w:t>
          </w:r>
          <w:r>
            <w:rPr>
              <w:rFonts w:hint="eastAsia"/>
              <w:b w:val="0"/>
              <w:bCs w:val="0"/>
              <w:color w:val="000000"/>
            </w:rPr>
            <w:fldChar w:fldCharType="end"/>
          </w:r>
          <w:r>
            <w:rPr>
              <w:rFonts w:hint="eastAsia"/>
              <w:b w:val="0"/>
              <w:bCs w:val="0"/>
              <w:color w:val="000000"/>
            </w:rPr>
            <w:fldChar w:fldCharType="end"/>
          </w:r>
        </w:p>
        <w:p w14:paraId="08633F06">
          <w:pPr>
            <w:pStyle w:val="6"/>
            <w:tabs>
              <w:tab w:val="right" w:leader="dot" w:pos="8810"/>
            </w:tabs>
            <w:rPr>
              <w:rFonts w:hint="eastAsia" w:asciiTheme="minorHAnsi" w:hAnsiTheme="minorHAnsi" w:eastAsiaTheme="minorEastAsia" w:cstheme="minorBidi"/>
              <w:sz w:val="22"/>
              <w14:ligatures w14:val="standardContextual"/>
            </w:rPr>
          </w:pPr>
          <w:r>
            <w:rPr>
              <w:b w:val="0"/>
              <w:bCs w:val="0"/>
              <w:color w:val="000000"/>
            </w:rPr>
            <w:fldChar w:fldCharType="begin"/>
          </w:r>
          <w:r>
            <w:rPr>
              <w:b w:val="0"/>
              <w:bCs w:val="0"/>
              <w:color w:val="000000"/>
            </w:rPr>
            <w:instrText xml:space="preserve"> HYPERLINK \l "_Toc230691151" </w:instrText>
          </w:r>
          <w:r>
            <w:rPr>
              <w:b w:val="0"/>
              <w:bCs w:val="0"/>
              <w:color w:val="000000"/>
            </w:rPr>
            <w:fldChar w:fldCharType="separate"/>
          </w:r>
          <w:r>
            <w:rPr>
              <w:rStyle w:val="11"/>
              <w:rFonts w:hint="eastAsia" w:ascii="黑体" w:hAnsi="黑体" w:eastAsia="黑体"/>
              <w:b w:val="0"/>
              <w:bCs w:val="0"/>
              <w:color w:val="000000"/>
            </w:rPr>
            <w:t>2.5 硬件部署与软件基准</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_Toc230691151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12</w:t>
          </w:r>
          <w:r>
            <w:rPr>
              <w:rFonts w:hint="eastAsia"/>
              <w:b w:val="0"/>
              <w:bCs w:val="0"/>
              <w:color w:val="000000"/>
            </w:rPr>
            <w:fldChar w:fldCharType="end"/>
          </w:r>
          <w:r>
            <w:rPr>
              <w:rFonts w:hint="eastAsia"/>
              <w:b w:val="0"/>
              <w:bCs w:val="0"/>
              <w:color w:val="000000"/>
            </w:rPr>
            <w:fldChar w:fldCharType="end"/>
          </w:r>
        </w:p>
        <w:p w14:paraId="26A6F00D">
          <w:pPr>
            <w:pStyle w:val="6"/>
            <w:tabs>
              <w:tab w:val="right" w:leader="dot" w:pos="8810"/>
            </w:tabs>
            <w:rPr>
              <w:rFonts w:hint="eastAsia" w:asciiTheme="minorHAnsi" w:hAnsiTheme="minorHAnsi" w:eastAsiaTheme="minorEastAsia" w:cstheme="minorBidi"/>
              <w:sz w:val="22"/>
              <w14:ligatures w14:val="standardContextual"/>
            </w:rPr>
          </w:pPr>
          <w:r>
            <w:rPr>
              <w:b w:val="0"/>
              <w:bCs w:val="0"/>
              <w:color w:val="000000"/>
            </w:rPr>
            <w:fldChar w:fldCharType="begin"/>
          </w:r>
          <w:r>
            <w:rPr>
              <w:b w:val="0"/>
              <w:bCs w:val="0"/>
              <w:color w:val="000000"/>
            </w:rPr>
            <w:instrText xml:space="preserve"> HYPERLINK \l "_TocTransshieldSection26" </w:instrText>
          </w:r>
          <w:r>
            <w:rPr>
              <w:b w:val="0"/>
              <w:bCs w:val="0"/>
              <w:color w:val="000000"/>
            </w:rPr>
            <w:fldChar w:fldCharType="separate"/>
          </w:r>
          <w:r>
            <w:rPr>
              <w:rStyle w:val="11"/>
              <w:rFonts w:hint="eastAsia" w:ascii="黑体" w:hAnsi="黑体" w:eastAsia="黑体"/>
              <w:b w:val="0"/>
              <w:bCs w:val="0"/>
              <w:color w:val="000000"/>
            </w:rPr>
            <w:t>2.6 展示样例与真实部署框架</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_TocTransshieldSection26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12</w:t>
          </w:r>
          <w:r>
            <w:rPr>
              <w:rFonts w:hint="eastAsia"/>
              <w:b w:val="0"/>
              <w:bCs w:val="0"/>
              <w:color w:val="000000"/>
            </w:rPr>
            <w:fldChar w:fldCharType="end"/>
          </w:r>
          <w:r>
            <w:rPr>
              <w:rFonts w:hint="eastAsia"/>
              <w:b w:val="0"/>
              <w:bCs w:val="0"/>
              <w:color w:val="000000"/>
            </w:rPr>
            <w:fldChar w:fldCharType="end"/>
          </w:r>
        </w:p>
        <w:p w14:paraId="62756FEA">
          <w:pPr>
            <w:pStyle w:val="5"/>
            <w:tabs>
              <w:tab w:val="right" w:leader="dot" w:pos="8810"/>
            </w:tabs>
            <w:rPr>
              <w:rFonts w:hint="eastAsia" w:asciiTheme="minorHAnsi" w:hAnsiTheme="minorHAnsi" w:eastAsiaTheme="minorEastAsia" w:cstheme="minorBidi"/>
              <w:sz w:val="22"/>
              <w14:ligatures w14:val="standardContextual"/>
            </w:rPr>
          </w:pPr>
          <w:r>
            <w:rPr>
              <w:color w:val="000000"/>
            </w:rPr>
            <w:fldChar w:fldCharType="begin"/>
          </w:r>
          <w:r>
            <w:rPr>
              <w:color w:val="000000"/>
            </w:rPr>
            <w:instrText xml:space="preserve"> HYPERLINK \l "_Toc230691152" </w:instrText>
          </w:r>
          <w:r>
            <w:rPr>
              <w:color w:val="000000"/>
            </w:rPr>
            <w:fldChar w:fldCharType="separate"/>
          </w:r>
          <w:r>
            <w:rPr>
              <w:rStyle w:val="11"/>
              <w:rFonts w:hint="eastAsia" w:ascii="黑体" w:hAnsi="黑体" w:eastAsia="黑体"/>
              <w:color w:val="000000"/>
            </w:rPr>
            <w:t>第三章 系统实现</w:t>
          </w:r>
          <w:r>
            <w:rPr>
              <w:rFonts w:hint="eastAsia"/>
              <w:color w:val="000000"/>
            </w:rPr>
            <w:tab/>
          </w:r>
          <w:r>
            <w:rPr>
              <w:rFonts w:hint="eastAsia"/>
              <w:color w:val="000000"/>
            </w:rPr>
            <w:fldChar w:fldCharType="begin"/>
          </w:r>
          <w:r>
            <w:rPr>
              <w:rFonts w:hint="eastAsia"/>
              <w:color w:val="000000"/>
            </w:rPr>
            <w:instrText xml:space="preserve"> </w:instrText>
          </w:r>
          <w:r>
            <w:rPr>
              <w:color w:val="000000"/>
            </w:rPr>
            <w:instrText xml:space="preserve">PAGEREF _Toc230691152 \h</w:instrText>
          </w:r>
          <w:r>
            <w:rPr>
              <w:rFonts w:hint="eastAsia"/>
              <w:color w:val="000000"/>
            </w:rPr>
            <w:instrText xml:space="preserve"> </w:instrText>
          </w:r>
          <w:r>
            <w:rPr>
              <w:rFonts w:hint="eastAsia"/>
              <w:color w:val="000000"/>
            </w:rPr>
            <w:fldChar w:fldCharType="separate"/>
          </w:r>
          <w:r>
            <w:rPr>
              <w:color w:val="000000"/>
            </w:rPr>
            <w:t>13</w:t>
          </w:r>
          <w:r>
            <w:rPr>
              <w:rFonts w:hint="eastAsia"/>
              <w:color w:val="000000"/>
            </w:rPr>
            <w:fldChar w:fldCharType="end"/>
          </w:r>
          <w:r>
            <w:rPr>
              <w:rFonts w:hint="eastAsia"/>
              <w:color w:val="000000"/>
            </w:rPr>
            <w:fldChar w:fldCharType="end"/>
          </w:r>
        </w:p>
        <w:p w14:paraId="4E5360B0">
          <w:pPr>
            <w:pStyle w:val="6"/>
            <w:tabs>
              <w:tab w:val="right" w:leader="dot" w:pos="8810"/>
            </w:tabs>
            <w:rPr>
              <w:rFonts w:hint="eastAsia" w:asciiTheme="minorHAnsi" w:hAnsiTheme="minorHAnsi" w:eastAsiaTheme="minorEastAsia" w:cstheme="minorBidi"/>
              <w:b w:val="0"/>
              <w:bCs w:val="0"/>
              <w:sz w:val="22"/>
              <w14:ligatures w14:val="standardContextual"/>
            </w:rPr>
          </w:pPr>
          <w:r>
            <w:rPr>
              <w:b w:val="0"/>
              <w:bCs w:val="0"/>
              <w:color w:val="000000"/>
            </w:rPr>
            <w:fldChar w:fldCharType="begin"/>
          </w:r>
          <w:r>
            <w:rPr>
              <w:b w:val="0"/>
              <w:bCs w:val="0"/>
              <w:color w:val="000000"/>
            </w:rPr>
            <w:instrText xml:space="preserve"> HYPERLINK \l "_Toc230691153" </w:instrText>
          </w:r>
          <w:r>
            <w:rPr>
              <w:b w:val="0"/>
              <w:bCs w:val="0"/>
              <w:color w:val="000000"/>
            </w:rPr>
            <w:fldChar w:fldCharType="separate"/>
          </w:r>
          <w:r>
            <w:rPr>
              <w:rStyle w:val="11"/>
              <w:rFonts w:hint="eastAsia" w:ascii="黑体" w:hAnsi="黑体" w:eastAsia="黑体"/>
              <w:b w:val="0"/>
              <w:bCs w:val="0"/>
              <w:color w:val="000000"/>
            </w:rPr>
            <w:t>3.1 模型改造与两方安全推理链路</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_Toc230691153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13</w:t>
          </w:r>
          <w:r>
            <w:rPr>
              <w:rFonts w:hint="eastAsia"/>
              <w:b w:val="0"/>
              <w:bCs w:val="0"/>
              <w:color w:val="000000"/>
            </w:rPr>
            <w:fldChar w:fldCharType="end"/>
          </w:r>
          <w:r>
            <w:rPr>
              <w:rFonts w:hint="eastAsia"/>
              <w:b w:val="0"/>
              <w:bCs w:val="0"/>
              <w:color w:val="000000"/>
            </w:rPr>
            <w:fldChar w:fldCharType="end"/>
          </w:r>
        </w:p>
        <w:p w14:paraId="6FB1235D">
          <w:pPr>
            <w:pStyle w:val="6"/>
            <w:tabs>
              <w:tab w:val="right" w:leader="dot" w:pos="8810"/>
            </w:tabs>
            <w:rPr>
              <w:rFonts w:hint="eastAsia" w:asciiTheme="minorHAnsi" w:hAnsiTheme="minorHAnsi" w:eastAsiaTheme="minorEastAsia" w:cstheme="minorBidi"/>
              <w:b w:val="0"/>
              <w:bCs w:val="0"/>
              <w:sz w:val="22"/>
              <w14:ligatures w14:val="standardContextual"/>
            </w:rPr>
          </w:pPr>
          <w:r>
            <w:rPr>
              <w:b w:val="0"/>
              <w:bCs w:val="0"/>
              <w:color w:val="000000"/>
            </w:rPr>
            <w:fldChar w:fldCharType="begin"/>
          </w:r>
          <w:r>
            <w:rPr>
              <w:b w:val="0"/>
              <w:bCs w:val="0"/>
              <w:color w:val="000000"/>
            </w:rPr>
            <w:instrText xml:space="preserve"> HYPERLINK \l "_Toc230691154" </w:instrText>
          </w:r>
          <w:r>
            <w:rPr>
              <w:b w:val="0"/>
              <w:bCs w:val="0"/>
              <w:color w:val="000000"/>
            </w:rPr>
            <w:fldChar w:fldCharType="separate"/>
          </w:r>
          <w:r>
            <w:rPr>
              <w:rStyle w:val="11"/>
              <w:rFonts w:hint="eastAsia" w:ascii="黑体" w:hAnsi="黑体" w:eastAsia="黑体"/>
              <w:b w:val="0"/>
              <w:bCs w:val="0"/>
              <w:color w:val="000000"/>
            </w:rPr>
            <w:t>3.2 端到端执行流程与模块协同</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_Toc230691154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16</w:t>
          </w:r>
          <w:r>
            <w:rPr>
              <w:rFonts w:hint="eastAsia"/>
              <w:b w:val="0"/>
              <w:bCs w:val="0"/>
              <w:color w:val="000000"/>
            </w:rPr>
            <w:fldChar w:fldCharType="end"/>
          </w:r>
          <w:r>
            <w:rPr>
              <w:rFonts w:hint="eastAsia"/>
              <w:b w:val="0"/>
              <w:bCs w:val="0"/>
              <w:color w:val="000000"/>
            </w:rPr>
            <w:fldChar w:fldCharType="end"/>
          </w:r>
        </w:p>
        <w:p w14:paraId="79A6A868">
          <w:pPr>
            <w:pStyle w:val="6"/>
            <w:tabs>
              <w:tab w:val="right" w:leader="dot" w:pos="8810"/>
            </w:tabs>
            <w:rPr>
              <w:rFonts w:hint="eastAsia" w:asciiTheme="minorHAnsi" w:hAnsiTheme="minorHAnsi" w:eastAsiaTheme="minorEastAsia" w:cstheme="minorBidi"/>
              <w:b w:val="0"/>
              <w:bCs w:val="0"/>
              <w:sz w:val="22"/>
              <w14:ligatures w14:val="standardContextual"/>
            </w:rPr>
          </w:pPr>
          <w:r>
            <w:rPr>
              <w:b w:val="0"/>
              <w:bCs w:val="0"/>
              <w:color w:val="000000"/>
            </w:rPr>
            <w:fldChar w:fldCharType="begin"/>
          </w:r>
          <w:r>
            <w:rPr>
              <w:b w:val="0"/>
              <w:bCs w:val="0"/>
              <w:color w:val="000000"/>
            </w:rPr>
            <w:instrText xml:space="preserve"> HYPERLINK \l "_Toc230691155" </w:instrText>
          </w:r>
          <w:r>
            <w:rPr>
              <w:b w:val="0"/>
              <w:bCs w:val="0"/>
              <w:color w:val="000000"/>
            </w:rPr>
            <w:fldChar w:fldCharType="separate"/>
          </w:r>
          <w:r>
            <w:rPr>
              <w:rStyle w:val="11"/>
              <w:rFonts w:hint="eastAsia" w:ascii="黑体" w:hAnsi="黑体" w:eastAsia="黑体"/>
              <w:b w:val="0"/>
              <w:bCs w:val="0"/>
              <w:color w:val="000000"/>
            </w:rPr>
            <w:t>3.3 前端控制面实现</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_Toc230691155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16</w:t>
          </w:r>
          <w:r>
            <w:rPr>
              <w:rFonts w:hint="eastAsia"/>
              <w:b w:val="0"/>
              <w:bCs w:val="0"/>
              <w:color w:val="000000"/>
            </w:rPr>
            <w:fldChar w:fldCharType="end"/>
          </w:r>
          <w:r>
            <w:rPr>
              <w:rFonts w:hint="eastAsia"/>
              <w:b w:val="0"/>
              <w:bCs w:val="0"/>
              <w:color w:val="000000"/>
            </w:rPr>
            <w:fldChar w:fldCharType="end"/>
          </w:r>
        </w:p>
        <w:p w14:paraId="0997A747">
          <w:pPr>
            <w:pStyle w:val="6"/>
            <w:tabs>
              <w:tab w:val="right" w:leader="dot" w:pos="8810"/>
            </w:tabs>
            <w:rPr>
              <w:rFonts w:hint="eastAsia" w:asciiTheme="minorHAnsi" w:hAnsiTheme="minorHAnsi" w:eastAsiaTheme="minorEastAsia" w:cstheme="minorBidi"/>
              <w:b w:val="0"/>
              <w:bCs w:val="0"/>
              <w:sz w:val="22"/>
              <w14:ligatures w14:val="standardContextual"/>
            </w:rPr>
          </w:pPr>
          <w:r>
            <w:rPr>
              <w:b w:val="0"/>
              <w:bCs w:val="0"/>
              <w:color w:val="000000"/>
            </w:rPr>
            <w:fldChar w:fldCharType="begin"/>
          </w:r>
          <w:r>
            <w:rPr>
              <w:b w:val="0"/>
              <w:bCs w:val="0"/>
              <w:color w:val="000000"/>
            </w:rPr>
            <w:instrText xml:space="preserve"> HYPERLINK \l "_Toc230691156" </w:instrText>
          </w:r>
          <w:r>
            <w:rPr>
              <w:b w:val="0"/>
              <w:bCs w:val="0"/>
              <w:color w:val="000000"/>
            </w:rPr>
            <w:fldChar w:fldCharType="separate"/>
          </w:r>
          <w:r>
            <w:rPr>
              <w:rStyle w:val="11"/>
              <w:rFonts w:hint="eastAsia" w:ascii="黑体" w:hAnsi="黑体" w:eastAsia="黑体"/>
              <w:b w:val="0"/>
              <w:bCs w:val="0"/>
              <w:color w:val="000000"/>
            </w:rPr>
            <w:t>3.4 服务端权威快检与审计</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_Toc230691156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17</w:t>
          </w:r>
          <w:r>
            <w:rPr>
              <w:rFonts w:hint="eastAsia"/>
              <w:b w:val="0"/>
              <w:bCs w:val="0"/>
              <w:color w:val="000000"/>
            </w:rPr>
            <w:fldChar w:fldCharType="end"/>
          </w:r>
          <w:r>
            <w:rPr>
              <w:rFonts w:hint="eastAsia"/>
              <w:b w:val="0"/>
              <w:bCs w:val="0"/>
              <w:color w:val="000000"/>
            </w:rPr>
            <w:fldChar w:fldCharType="end"/>
          </w:r>
        </w:p>
        <w:p w14:paraId="19F90E43">
          <w:pPr>
            <w:pStyle w:val="6"/>
            <w:tabs>
              <w:tab w:val="right" w:leader="dot" w:pos="8810"/>
            </w:tabs>
            <w:rPr>
              <w:rFonts w:hint="eastAsia" w:asciiTheme="minorHAnsi" w:hAnsiTheme="minorHAnsi" w:eastAsiaTheme="minorEastAsia" w:cstheme="minorBidi"/>
              <w:sz w:val="22"/>
              <w14:ligatures w14:val="standardContextual"/>
            </w:rPr>
          </w:pPr>
          <w:r>
            <w:rPr>
              <w:b w:val="0"/>
              <w:bCs w:val="0"/>
              <w:color w:val="000000"/>
            </w:rPr>
            <w:fldChar w:fldCharType="begin"/>
          </w:r>
          <w:r>
            <w:rPr>
              <w:b w:val="0"/>
              <w:bCs w:val="0"/>
              <w:color w:val="000000"/>
            </w:rPr>
            <w:instrText xml:space="preserve"> HYPERLINK \l "_Toc230691157" </w:instrText>
          </w:r>
          <w:r>
            <w:rPr>
              <w:b w:val="0"/>
              <w:bCs w:val="0"/>
              <w:color w:val="000000"/>
            </w:rPr>
            <w:fldChar w:fldCharType="separate"/>
          </w:r>
          <w:r>
            <w:rPr>
              <w:rStyle w:val="11"/>
              <w:rFonts w:hint="eastAsia" w:ascii="黑体" w:hAnsi="黑体" w:eastAsia="黑体"/>
              <w:b w:val="0"/>
              <w:bCs w:val="0"/>
              <w:color w:val="000000"/>
            </w:rPr>
            <w:t>3.5 关键交付物与证据落点</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_Toc230691157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19</w:t>
          </w:r>
          <w:r>
            <w:rPr>
              <w:rFonts w:hint="eastAsia"/>
              <w:b w:val="0"/>
              <w:bCs w:val="0"/>
              <w:color w:val="000000"/>
            </w:rPr>
            <w:fldChar w:fldCharType="end"/>
          </w:r>
          <w:r>
            <w:rPr>
              <w:rFonts w:hint="eastAsia"/>
              <w:b w:val="0"/>
              <w:bCs w:val="0"/>
              <w:color w:val="000000"/>
            </w:rPr>
            <w:fldChar w:fldCharType="end"/>
          </w:r>
        </w:p>
        <w:p w14:paraId="02A4CE0D">
          <w:pPr>
            <w:pStyle w:val="5"/>
            <w:tabs>
              <w:tab w:val="right" w:leader="dot" w:pos="8810"/>
            </w:tabs>
            <w:rPr>
              <w:rFonts w:hint="eastAsia" w:asciiTheme="minorHAnsi" w:hAnsiTheme="minorHAnsi" w:eastAsiaTheme="minorEastAsia" w:cstheme="minorBidi"/>
              <w:sz w:val="22"/>
              <w14:ligatures w14:val="standardContextual"/>
            </w:rPr>
          </w:pPr>
          <w:r>
            <w:rPr>
              <w:color w:val="000000"/>
            </w:rPr>
            <w:fldChar w:fldCharType="begin"/>
          </w:r>
          <w:r>
            <w:rPr>
              <w:color w:val="000000"/>
            </w:rPr>
            <w:instrText xml:space="preserve"> HYPERLINK \l "_Toc230691158" </w:instrText>
          </w:r>
          <w:r>
            <w:rPr>
              <w:color w:val="000000"/>
            </w:rPr>
            <w:fldChar w:fldCharType="separate"/>
          </w:r>
          <w:r>
            <w:rPr>
              <w:rStyle w:val="11"/>
              <w:rFonts w:hint="eastAsia" w:ascii="黑体" w:hAnsi="黑体" w:eastAsia="黑体"/>
              <w:color w:val="000000"/>
            </w:rPr>
            <w:t>第四章 测试方案与结果分析</w:t>
          </w:r>
          <w:r>
            <w:rPr>
              <w:rFonts w:hint="eastAsia"/>
              <w:color w:val="000000"/>
            </w:rPr>
            <w:tab/>
          </w:r>
          <w:r>
            <w:rPr>
              <w:rFonts w:hint="eastAsia"/>
              <w:color w:val="000000"/>
            </w:rPr>
            <w:fldChar w:fldCharType="begin"/>
          </w:r>
          <w:r>
            <w:rPr>
              <w:rFonts w:hint="eastAsia"/>
              <w:color w:val="000000"/>
            </w:rPr>
            <w:instrText xml:space="preserve"> </w:instrText>
          </w:r>
          <w:r>
            <w:rPr>
              <w:color w:val="000000"/>
            </w:rPr>
            <w:instrText xml:space="preserve">PAGEREF _Toc230691158 \h</w:instrText>
          </w:r>
          <w:r>
            <w:rPr>
              <w:rFonts w:hint="eastAsia"/>
              <w:color w:val="000000"/>
            </w:rPr>
            <w:instrText xml:space="preserve"> </w:instrText>
          </w:r>
          <w:r>
            <w:rPr>
              <w:rFonts w:hint="eastAsia"/>
              <w:color w:val="000000"/>
            </w:rPr>
            <w:fldChar w:fldCharType="separate"/>
          </w:r>
          <w:r>
            <w:rPr>
              <w:color w:val="000000"/>
            </w:rPr>
            <w:t>21</w:t>
          </w:r>
          <w:r>
            <w:rPr>
              <w:rFonts w:hint="eastAsia"/>
              <w:color w:val="000000"/>
            </w:rPr>
            <w:fldChar w:fldCharType="end"/>
          </w:r>
          <w:r>
            <w:rPr>
              <w:rFonts w:hint="eastAsia"/>
              <w:color w:val="000000"/>
            </w:rPr>
            <w:fldChar w:fldCharType="end"/>
          </w:r>
        </w:p>
        <w:p w14:paraId="0781748F">
          <w:pPr>
            <w:pStyle w:val="6"/>
            <w:tabs>
              <w:tab w:val="right" w:leader="dot" w:pos="8810"/>
            </w:tabs>
            <w:rPr>
              <w:rFonts w:hint="eastAsia" w:asciiTheme="minorHAnsi" w:hAnsiTheme="minorHAnsi" w:eastAsiaTheme="minorEastAsia" w:cstheme="minorBidi"/>
              <w:b w:val="0"/>
              <w:bCs w:val="0"/>
              <w:sz w:val="22"/>
              <w14:ligatures w14:val="standardContextual"/>
            </w:rPr>
          </w:pPr>
          <w:r>
            <w:rPr>
              <w:b w:val="0"/>
              <w:bCs w:val="0"/>
              <w:color w:val="000000"/>
            </w:rPr>
            <w:fldChar w:fldCharType="begin"/>
          </w:r>
          <w:r>
            <w:rPr>
              <w:b w:val="0"/>
              <w:bCs w:val="0"/>
              <w:color w:val="000000"/>
            </w:rPr>
            <w:instrText xml:space="preserve"> HYPERLINK \l "_Toc230691159" </w:instrText>
          </w:r>
          <w:r>
            <w:rPr>
              <w:b w:val="0"/>
              <w:bCs w:val="0"/>
              <w:color w:val="000000"/>
            </w:rPr>
            <w:fldChar w:fldCharType="separate"/>
          </w:r>
          <w:r>
            <w:rPr>
              <w:rStyle w:val="11"/>
              <w:rFonts w:hint="eastAsia" w:ascii="黑体" w:hAnsi="黑体" w:eastAsia="黑体"/>
              <w:b w:val="0"/>
              <w:bCs w:val="0"/>
              <w:color w:val="000000"/>
            </w:rPr>
            <w:t>4.1 测试环境、数据与评价指标</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_Toc230691159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21</w:t>
          </w:r>
          <w:r>
            <w:rPr>
              <w:rFonts w:hint="eastAsia"/>
              <w:b w:val="0"/>
              <w:bCs w:val="0"/>
              <w:color w:val="000000"/>
            </w:rPr>
            <w:fldChar w:fldCharType="end"/>
          </w:r>
          <w:r>
            <w:rPr>
              <w:rFonts w:hint="eastAsia"/>
              <w:b w:val="0"/>
              <w:bCs w:val="0"/>
              <w:color w:val="000000"/>
            </w:rPr>
            <w:fldChar w:fldCharType="end"/>
          </w:r>
        </w:p>
        <w:p w14:paraId="0C614F65">
          <w:pPr>
            <w:pStyle w:val="6"/>
            <w:tabs>
              <w:tab w:val="right" w:leader="dot" w:pos="8810"/>
            </w:tabs>
            <w:rPr>
              <w:rFonts w:hint="eastAsia" w:asciiTheme="minorHAnsi" w:hAnsiTheme="minorHAnsi" w:eastAsiaTheme="minorEastAsia" w:cstheme="minorBidi"/>
              <w:b w:val="0"/>
              <w:bCs w:val="0"/>
              <w:sz w:val="22"/>
              <w14:ligatures w14:val="standardContextual"/>
            </w:rPr>
          </w:pPr>
          <w:r>
            <w:rPr>
              <w:b w:val="0"/>
              <w:bCs w:val="0"/>
              <w:color w:val="000000"/>
            </w:rPr>
            <w:fldChar w:fldCharType="begin"/>
          </w:r>
          <w:r>
            <w:rPr>
              <w:b w:val="0"/>
              <w:bCs w:val="0"/>
              <w:color w:val="000000"/>
            </w:rPr>
            <w:instrText xml:space="preserve"> HYPERLINK \l "_Toc230691160" </w:instrText>
          </w:r>
          <w:r>
            <w:rPr>
              <w:b w:val="0"/>
              <w:bCs w:val="0"/>
              <w:color w:val="000000"/>
            </w:rPr>
            <w:fldChar w:fldCharType="separate"/>
          </w:r>
          <w:r>
            <w:rPr>
              <w:rStyle w:val="11"/>
              <w:rFonts w:hint="eastAsia" w:ascii="黑体" w:hAnsi="黑体" w:eastAsia="黑体"/>
              <w:b w:val="0"/>
              <w:bCs w:val="0"/>
              <w:color w:val="000000"/>
            </w:rPr>
            <w:t>4.2 基线对比</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_Toc230691160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21</w:t>
          </w:r>
          <w:r>
            <w:rPr>
              <w:rFonts w:hint="eastAsia"/>
              <w:b w:val="0"/>
              <w:bCs w:val="0"/>
              <w:color w:val="000000"/>
            </w:rPr>
            <w:fldChar w:fldCharType="end"/>
          </w:r>
          <w:r>
            <w:rPr>
              <w:rFonts w:hint="eastAsia"/>
              <w:b w:val="0"/>
              <w:bCs w:val="0"/>
              <w:color w:val="000000"/>
            </w:rPr>
            <w:fldChar w:fldCharType="end"/>
          </w:r>
        </w:p>
        <w:p w14:paraId="0C2F9E11">
          <w:pPr>
            <w:pStyle w:val="6"/>
            <w:tabs>
              <w:tab w:val="right" w:leader="dot" w:pos="8810"/>
            </w:tabs>
            <w:rPr>
              <w:rFonts w:hint="eastAsia" w:asciiTheme="minorHAnsi" w:hAnsiTheme="minorHAnsi" w:eastAsiaTheme="minorEastAsia" w:cstheme="minorBidi"/>
              <w:b w:val="0"/>
              <w:bCs w:val="0"/>
              <w:sz w:val="22"/>
              <w14:ligatures w14:val="standardContextual"/>
            </w:rPr>
          </w:pPr>
          <w:r>
            <w:rPr>
              <w:b w:val="0"/>
              <w:bCs w:val="0"/>
              <w:color w:val="000000"/>
            </w:rPr>
            <w:fldChar w:fldCharType="begin"/>
          </w:r>
          <w:r>
            <w:rPr>
              <w:b w:val="0"/>
              <w:bCs w:val="0"/>
              <w:color w:val="000000"/>
            </w:rPr>
            <w:instrText xml:space="preserve"> HYPERLINK \l "_Toc230691161" </w:instrText>
          </w:r>
          <w:r>
            <w:rPr>
              <w:b w:val="0"/>
              <w:bCs w:val="0"/>
              <w:color w:val="000000"/>
            </w:rPr>
            <w:fldChar w:fldCharType="separate"/>
          </w:r>
          <w:r>
            <w:rPr>
              <w:rStyle w:val="11"/>
              <w:rFonts w:hint="eastAsia" w:ascii="黑体" w:hAnsi="黑体" w:eastAsia="黑体"/>
              <w:b w:val="0"/>
              <w:bCs w:val="0"/>
              <w:color w:val="000000"/>
            </w:rPr>
            <w:t>4.3 医疗主要交付场景结果</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_Toc230691161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22</w:t>
          </w:r>
          <w:r>
            <w:rPr>
              <w:rFonts w:hint="eastAsia"/>
              <w:b w:val="0"/>
              <w:bCs w:val="0"/>
              <w:color w:val="000000"/>
            </w:rPr>
            <w:fldChar w:fldCharType="end"/>
          </w:r>
          <w:r>
            <w:rPr>
              <w:rFonts w:hint="eastAsia"/>
              <w:b w:val="0"/>
              <w:bCs w:val="0"/>
              <w:color w:val="000000"/>
            </w:rPr>
            <w:fldChar w:fldCharType="end"/>
          </w:r>
        </w:p>
        <w:p w14:paraId="19CFA83B">
          <w:pPr>
            <w:pStyle w:val="6"/>
            <w:tabs>
              <w:tab w:val="right" w:leader="dot" w:pos="8810"/>
            </w:tabs>
            <w:rPr>
              <w:rFonts w:hint="eastAsia" w:asciiTheme="minorHAnsi" w:hAnsiTheme="minorHAnsi" w:eastAsiaTheme="minorEastAsia" w:cstheme="minorBidi"/>
              <w:b w:val="0"/>
              <w:bCs w:val="0"/>
              <w:sz w:val="22"/>
              <w14:ligatures w14:val="standardContextual"/>
            </w:rPr>
          </w:pPr>
          <w:r>
            <w:rPr>
              <w:b w:val="0"/>
              <w:bCs w:val="0"/>
              <w:color w:val="000000"/>
            </w:rPr>
            <w:fldChar w:fldCharType="begin"/>
          </w:r>
          <w:r>
            <w:rPr>
              <w:b w:val="0"/>
              <w:bCs w:val="0"/>
              <w:color w:val="000000"/>
            </w:rPr>
            <w:instrText xml:space="preserve"> HYPERLINK \l "_Toc230691162" </w:instrText>
          </w:r>
          <w:r>
            <w:rPr>
              <w:b w:val="0"/>
              <w:bCs w:val="0"/>
              <w:color w:val="000000"/>
            </w:rPr>
            <w:fldChar w:fldCharType="separate"/>
          </w:r>
          <w:r>
            <w:rPr>
              <w:rStyle w:val="11"/>
              <w:rFonts w:hint="eastAsia" w:ascii="黑体" w:hAnsi="黑体" w:eastAsia="黑体"/>
              <w:b w:val="0"/>
              <w:bCs w:val="0"/>
              <w:color w:val="000000"/>
            </w:rPr>
            <w:t>4.4 性能与通信量分析</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_Toc230691162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23</w:t>
          </w:r>
          <w:r>
            <w:rPr>
              <w:rFonts w:hint="eastAsia"/>
              <w:b w:val="0"/>
              <w:bCs w:val="0"/>
              <w:color w:val="000000"/>
            </w:rPr>
            <w:fldChar w:fldCharType="end"/>
          </w:r>
          <w:r>
            <w:rPr>
              <w:rFonts w:hint="eastAsia"/>
              <w:b w:val="0"/>
              <w:bCs w:val="0"/>
              <w:color w:val="000000"/>
            </w:rPr>
            <w:fldChar w:fldCharType="end"/>
          </w:r>
        </w:p>
        <w:p w14:paraId="4E7598E5">
          <w:pPr>
            <w:pStyle w:val="6"/>
            <w:tabs>
              <w:tab w:val="right" w:leader="dot" w:pos="8810"/>
            </w:tabs>
            <w:rPr>
              <w:rFonts w:hint="eastAsia" w:asciiTheme="minorHAnsi" w:hAnsiTheme="minorHAnsi" w:eastAsiaTheme="minorEastAsia" w:cstheme="minorBidi"/>
              <w:b w:val="0"/>
              <w:bCs w:val="0"/>
              <w:sz w:val="22"/>
              <w14:ligatures w14:val="standardContextual"/>
            </w:rPr>
          </w:pPr>
          <w:r>
            <w:rPr>
              <w:b w:val="0"/>
              <w:bCs w:val="0"/>
              <w:color w:val="000000"/>
            </w:rPr>
            <w:fldChar w:fldCharType="begin"/>
          </w:r>
          <w:r>
            <w:rPr>
              <w:b w:val="0"/>
              <w:bCs w:val="0"/>
              <w:color w:val="000000"/>
            </w:rPr>
            <w:instrText xml:space="preserve"> HYPERLINK \l "_Toc230691163" </w:instrText>
          </w:r>
          <w:r>
            <w:rPr>
              <w:b w:val="0"/>
              <w:bCs w:val="0"/>
              <w:color w:val="000000"/>
            </w:rPr>
            <w:fldChar w:fldCharType="separate"/>
          </w:r>
          <w:r>
            <w:rPr>
              <w:rStyle w:val="11"/>
              <w:rFonts w:hint="eastAsia" w:ascii="黑体" w:hAnsi="黑体" w:eastAsia="黑体"/>
              <w:b w:val="0"/>
              <w:bCs w:val="0"/>
              <w:color w:val="000000"/>
            </w:rPr>
            <w:t>4.5 金融边界压力验证结果</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_Toc230691163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25</w:t>
          </w:r>
          <w:r>
            <w:rPr>
              <w:rFonts w:hint="eastAsia"/>
              <w:b w:val="0"/>
              <w:bCs w:val="0"/>
              <w:color w:val="000000"/>
            </w:rPr>
            <w:fldChar w:fldCharType="end"/>
          </w:r>
          <w:r>
            <w:rPr>
              <w:rFonts w:hint="eastAsia"/>
              <w:b w:val="0"/>
              <w:bCs w:val="0"/>
              <w:color w:val="000000"/>
            </w:rPr>
            <w:fldChar w:fldCharType="end"/>
          </w:r>
        </w:p>
        <w:p w14:paraId="10776000">
          <w:pPr>
            <w:pStyle w:val="6"/>
            <w:tabs>
              <w:tab w:val="right" w:leader="dot" w:pos="8810"/>
            </w:tabs>
            <w:rPr>
              <w:rFonts w:hint="eastAsia" w:asciiTheme="minorHAnsi" w:hAnsiTheme="minorHAnsi" w:eastAsiaTheme="minorEastAsia" w:cstheme="minorBidi"/>
              <w:b w:val="0"/>
              <w:bCs w:val="0"/>
              <w:sz w:val="22"/>
              <w14:ligatures w14:val="standardContextual"/>
            </w:rPr>
          </w:pPr>
          <w:r>
            <w:rPr>
              <w:b w:val="0"/>
              <w:bCs w:val="0"/>
              <w:color w:val="000000"/>
            </w:rPr>
            <w:fldChar w:fldCharType="begin"/>
          </w:r>
          <w:r>
            <w:rPr>
              <w:b w:val="0"/>
              <w:bCs w:val="0"/>
              <w:color w:val="000000"/>
            </w:rPr>
            <w:instrText xml:space="preserve"> HYPERLINK \l "_Toc230691164" </w:instrText>
          </w:r>
          <w:r>
            <w:rPr>
              <w:b w:val="0"/>
              <w:bCs w:val="0"/>
              <w:color w:val="000000"/>
            </w:rPr>
            <w:fldChar w:fldCharType="separate"/>
          </w:r>
          <w:r>
            <w:rPr>
              <w:rStyle w:val="11"/>
              <w:rFonts w:hint="eastAsia" w:ascii="黑体" w:hAnsi="黑体" w:eastAsia="黑体"/>
              <w:b w:val="0"/>
              <w:bCs w:val="0"/>
              <w:color w:val="000000"/>
            </w:rPr>
            <w:t>4.6 协议层异常输入与鲁棒性验证</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_Toc230691164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25</w:t>
          </w:r>
          <w:r>
            <w:rPr>
              <w:rFonts w:hint="eastAsia"/>
              <w:b w:val="0"/>
              <w:bCs w:val="0"/>
              <w:color w:val="000000"/>
            </w:rPr>
            <w:fldChar w:fldCharType="end"/>
          </w:r>
          <w:r>
            <w:rPr>
              <w:rFonts w:hint="eastAsia"/>
              <w:b w:val="0"/>
              <w:bCs w:val="0"/>
              <w:color w:val="000000"/>
            </w:rPr>
            <w:fldChar w:fldCharType="end"/>
          </w:r>
        </w:p>
        <w:p w14:paraId="4EAA90DA">
          <w:pPr>
            <w:pStyle w:val="6"/>
            <w:tabs>
              <w:tab w:val="right" w:leader="dot" w:pos="8810"/>
            </w:tabs>
            <w:rPr>
              <w:rFonts w:hint="eastAsia" w:asciiTheme="minorHAnsi" w:hAnsiTheme="minorHAnsi" w:eastAsiaTheme="minorEastAsia" w:cstheme="minorBidi"/>
              <w:b w:val="0"/>
              <w:bCs w:val="0"/>
              <w:sz w:val="22"/>
              <w14:ligatures w14:val="standardContextual"/>
            </w:rPr>
          </w:pPr>
          <w:r>
            <w:rPr>
              <w:b w:val="0"/>
              <w:bCs w:val="0"/>
              <w:color w:val="000000"/>
            </w:rPr>
            <w:fldChar w:fldCharType="begin"/>
          </w:r>
          <w:r>
            <w:rPr>
              <w:b w:val="0"/>
              <w:bCs w:val="0"/>
              <w:color w:val="000000"/>
            </w:rPr>
            <w:instrText xml:space="preserve"> HYPERLINK \l "_Toc230691165" </w:instrText>
          </w:r>
          <w:r>
            <w:rPr>
              <w:b w:val="0"/>
              <w:bCs w:val="0"/>
              <w:color w:val="000000"/>
            </w:rPr>
            <w:fldChar w:fldCharType="separate"/>
          </w:r>
          <w:r>
            <w:rPr>
              <w:rStyle w:val="11"/>
              <w:rFonts w:hint="eastAsia" w:ascii="黑体" w:hAnsi="黑体" w:eastAsia="黑体"/>
              <w:b w:val="0"/>
              <w:bCs w:val="0"/>
              <w:color w:val="000000"/>
            </w:rPr>
            <w:t>4.7 结果分析</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_Toc230691165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29</w:t>
          </w:r>
          <w:r>
            <w:rPr>
              <w:rFonts w:hint="eastAsia"/>
              <w:b w:val="0"/>
              <w:bCs w:val="0"/>
              <w:color w:val="000000"/>
            </w:rPr>
            <w:fldChar w:fldCharType="end"/>
          </w:r>
          <w:r>
            <w:rPr>
              <w:rFonts w:hint="eastAsia"/>
              <w:b w:val="0"/>
              <w:bCs w:val="0"/>
              <w:color w:val="000000"/>
            </w:rPr>
            <w:fldChar w:fldCharType="end"/>
          </w:r>
        </w:p>
        <w:p w14:paraId="0083E586">
          <w:pPr>
            <w:pStyle w:val="6"/>
            <w:tabs>
              <w:tab w:val="right" w:leader="dot" w:pos="8810"/>
            </w:tabs>
            <w:rPr>
              <w:rFonts w:hint="eastAsia" w:asciiTheme="minorHAnsi" w:hAnsiTheme="minorHAnsi" w:eastAsiaTheme="minorEastAsia" w:cstheme="minorBidi"/>
              <w:sz w:val="22"/>
              <w14:ligatures w14:val="standardContextual"/>
            </w:rPr>
          </w:pPr>
          <w:r>
            <w:rPr>
              <w:b w:val="0"/>
              <w:bCs w:val="0"/>
              <w:color w:val="000000"/>
            </w:rPr>
            <w:fldChar w:fldCharType="begin"/>
          </w:r>
          <w:r>
            <w:rPr>
              <w:b w:val="0"/>
              <w:bCs w:val="0"/>
              <w:color w:val="000000"/>
            </w:rPr>
            <w:instrText xml:space="preserve"> HYPERLINK \l "_Toc230691166" </w:instrText>
          </w:r>
          <w:r>
            <w:rPr>
              <w:b w:val="0"/>
              <w:bCs w:val="0"/>
              <w:color w:val="000000"/>
            </w:rPr>
            <w:fldChar w:fldCharType="separate"/>
          </w:r>
          <w:r>
            <w:rPr>
              <w:rStyle w:val="11"/>
              <w:rFonts w:hint="eastAsia" w:ascii="黑体" w:hAnsi="黑体" w:eastAsia="黑体"/>
              <w:b w:val="0"/>
              <w:bCs w:val="0"/>
              <w:color w:val="000000"/>
            </w:rPr>
            <w:t>4.8 消融实验与必要性验证</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_Toc230691166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30</w:t>
          </w:r>
          <w:r>
            <w:rPr>
              <w:rFonts w:hint="eastAsia"/>
              <w:b w:val="0"/>
              <w:bCs w:val="0"/>
              <w:color w:val="000000"/>
            </w:rPr>
            <w:fldChar w:fldCharType="end"/>
          </w:r>
          <w:r>
            <w:rPr>
              <w:rFonts w:hint="eastAsia"/>
              <w:b w:val="0"/>
              <w:bCs w:val="0"/>
              <w:color w:val="000000"/>
            </w:rPr>
            <w:fldChar w:fldCharType="end"/>
          </w:r>
        </w:p>
        <w:p w14:paraId="5F08EF7D">
          <w:pPr>
            <w:pStyle w:val="5"/>
            <w:tabs>
              <w:tab w:val="right" w:leader="dot" w:pos="8810"/>
            </w:tabs>
            <w:rPr>
              <w:rFonts w:hint="eastAsia" w:asciiTheme="minorHAnsi" w:hAnsiTheme="minorHAnsi" w:eastAsiaTheme="minorEastAsia" w:cstheme="minorBidi"/>
              <w:sz w:val="22"/>
              <w14:ligatures w14:val="standardContextual"/>
            </w:rPr>
          </w:pPr>
          <w:r>
            <w:rPr>
              <w:color w:val="000000"/>
            </w:rPr>
            <w:fldChar w:fldCharType="begin"/>
          </w:r>
          <w:r>
            <w:rPr>
              <w:color w:val="000000"/>
            </w:rPr>
            <w:instrText xml:space="preserve"> HYPERLINK \l "_Toc230691167" </w:instrText>
          </w:r>
          <w:r>
            <w:rPr>
              <w:color w:val="000000"/>
            </w:rPr>
            <w:fldChar w:fldCharType="separate"/>
          </w:r>
          <w:r>
            <w:rPr>
              <w:rStyle w:val="11"/>
              <w:rFonts w:hint="eastAsia" w:ascii="黑体" w:hAnsi="黑体" w:eastAsia="黑体"/>
              <w:color w:val="000000"/>
            </w:rPr>
            <w:t>第五章 创新性与局限性</w:t>
          </w:r>
          <w:r>
            <w:rPr>
              <w:rFonts w:hint="eastAsia"/>
              <w:color w:val="000000"/>
            </w:rPr>
            <w:tab/>
          </w:r>
          <w:r>
            <w:rPr>
              <w:rFonts w:hint="eastAsia"/>
              <w:color w:val="000000"/>
            </w:rPr>
            <w:fldChar w:fldCharType="begin"/>
          </w:r>
          <w:r>
            <w:rPr>
              <w:rFonts w:hint="eastAsia"/>
              <w:color w:val="000000"/>
            </w:rPr>
            <w:instrText xml:space="preserve"> </w:instrText>
          </w:r>
          <w:r>
            <w:rPr>
              <w:color w:val="000000"/>
            </w:rPr>
            <w:instrText xml:space="preserve">PAGEREF _Toc230691167 \h</w:instrText>
          </w:r>
          <w:r>
            <w:rPr>
              <w:rFonts w:hint="eastAsia"/>
              <w:color w:val="000000"/>
            </w:rPr>
            <w:instrText xml:space="preserve"> </w:instrText>
          </w:r>
          <w:r>
            <w:rPr>
              <w:rFonts w:hint="eastAsia"/>
              <w:color w:val="000000"/>
            </w:rPr>
            <w:fldChar w:fldCharType="separate"/>
          </w:r>
          <w:r>
            <w:rPr>
              <w:color w:val="000000"/>
            </w:rPr>
            <w:t>32</w:t>
          </w:r>
          <w:r>
            <w:rPr>
              <w:rFonts w:hint="eastAsia"/>
              <w:color w:val="000000"/>
            </w:rPr>
            <w:fldChar w:fldCharType="end"/>
          </w:r>
          <w:r>
            <w:rPr>
              <w:rFonts w:hint="eastAsia"/>
              <w:color w:val="000000"/>
            </w:rPr>
            <w:fldChar w:fldCharType="end"/>
          </w:r>
        </w:p>
        <w:p w14:paraId="74D875E2">
          <w:pPr>
            <w:pStyle w:val="6"/>
            <w:tabs>
              <w:tab w:val="right" w:leader="dot" w:pos="8810"/>
            </w:tabs>
            <w:rPr>
              <w:rFonts w:hint="eastAsia" w:asciiTheme="minorHAnsi" w:hAnsiTheme="minorHAnsi" w:eastAsiaTheme="minorEastAsia" w:cstheme="minorBidi"/>
              <w:b w:val="0"/>
              <w:bCs w:val="0"/>
              <w:sz w:val="22"/>
              <w14:ligatures w14:val="standardContextual"/>
            </w:rPr>
          </w:pPr>
          <w:r>
            <w:rPr>
              <w:b w:val="0"/>
              <w:bCs w:val="0"/>
              <w:color w:val="000000"/>
            </w:rPr>
            <w:fldChar w:fldCharType="begin"/>
          </w:r>
          <w:r>
            <w:rPr>
              <w:b w:val="0"/>
              <w:bCs w:val="0"/>
              <w:color w:val="000000"/>
            </w:rPr>
            <w:instrText xml:space="preserve"> HYPERLINK \l "_Toc230691168" </w:instrText>
          </w:r>
          <w:r>
            <w:rPr>
              <w:b w:val="0"/>
              <w:bCs w:val="0"/>
              <w:color w:val="000000"/>
            </w:rPr>
            <w:fldChar w:fldCharType="separate"/>
          </w:r>
          <w:r>
            <w:rPr>
              <w:rStyle w:val="11"/>
              <w:rFonts w:hint="eastAsia" w:ascii="黑体" w:hAnsi="黑体" w:eastAsia="黑体"/>
              <w:b w:val="0"/>
              <w:bCs w:val="0"/>
              <w:color w:val="000000"/>
            </w:rPr>
            <w:t>5.1 算法层创新</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_Toc230691168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32</w:t>
          </w:r>
          <w:r>
            <w:rPr>
              <w:rFonts w:hint="eastAsia"/>
              <w:b w:val="0"/>
              <w:bCs w:val="0"/>
              <w:color w:val="000000"/>
            </w:rPr>
            <w:fldChar w:fldCharType="end"/>
          </w:r>
          <w:r>
            <w:rPr>
              <w:rFonts w:hint="eastAsia"/>
              <w:b w:val="0"/>
              <w:bCs w:val="0"/>
              <w:color w:val="000000"/>
            </w:rPr>
            <w:fldChar w:fldCharType="end"/>
          </w:r>
        </w:p>
        <w:p w14:paraId="2F2F64DA">
          <w:pPr>
            <w:pStyle w:val="6"/>
            <w:tabs>
              <w:tab w:val="right" w:leader="dot" w:pos="8810"/>
            </w:tabs>
            <w:rPr>
              <w:rFonts w:hint="eastAsia" w:asciiTheme="minorHAnsi" w:hAnsiTheme="minorHAnsi" w:eastAsiaTheme="minorEastAsia" w:cstheme="minorBidi"/>
              <w:b w:val="0"/>
              <w:bCs w:val="0"/>
              <w:sz w:val="22"/>
              <w14:ligatures w14:val="standardContextual"/>
            </w:rPr>
          </w:pPr>
          <w:r>
            <w:rPr>
              <w:b w:val="0"/>
              <w:bCs w:val="0"/>
              <w:color w:val="000000"/>
            </w:rPr>
            <w:fldChar w:fldCharType="begin"/>
          </w:r>
          <w:r>
            <w:rPr>
              <w:b w:val="0"/>
              <w:bCs w:val="0"/>
              <w:color w:val="000000"/>
            </w:rPr>
            <w:instrText xml:space="preserve"> HYPERLINK \l "_Toc230691169" </w:instrText>
          </w:r>
          <w:r>
            <w:rPr>
              <w:b w:val="0"/>
              <w:bCs w:val="0"/>
              <w:color w:val="000000"/>
            </w:rPr>
            <w:fldChar w:fldCharType="separate"/>
          </w:r>
          <w:r>
            <w:rPr>
              <w:rStyle w:val="11"/>
              <w:rFonts w:hint="eastAsia" w:ascii="黑体" w:hAnsi="黑体" w:eastAsia="黑体"/>
              <w:b w:val="0"/>
              <w:bCs w:val="0"/>
              <w:color w:val="000000"/>
            </w:rPr>
            <w:t>5.2 系统层创新</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_Toc230691169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32</w:t>
          </w:r>
          <w:r>
            <w:rPr>
              <w:rFonts w:hint="eastAsia"/>
              <w:b w:val="0"/>
              <w:bCs w:val="0"/>
              <w:color w:val="000000"/>
            </w:rPr>
            <w:fldChar w:fldCharType="end"/>
          </w:r>
          <w:r>
            <w:rPr>
              <w:rFonts w:hint="eastAsia"/>
              <w:b w:val="0"/>
              <w:bCs w:val="0"/>
              <w:color w:val="000000"/>
            </w:rPr>
            <w:fldChar w:fldCharType="end"/>
          </w:r>
        </w:p>
        <w:p w14:paraId="483CBB83">
          <w:pPr>
            <w:pStyle w:val="6"/>
            <w:tabs>
              <w:tab w:val="right" w:leader="dot" w:pos="8810"/>
            </w:tabs>
            <w:rPr>
              <w:rFonts w:hint="eastAsia" w:asciiTheme="minorHAnsi" w:hAnsiTheme="minorHAnsi" w:eastAsiaTheme="minorEastAsia" w:cstheme="minorBidi"/>
              <w:b w:val="0"/>
              <w:bCs w:val="0"/>
              <w:sz w:val="22"/>
              <w14:ligatures w14:val="standardContextual"/>
            </w:rPr>
          </w:pPr>
          <w:r>
            <w:rPr>
              <w:b w:val="0"/>
              <w:bCs w:val="0"/>
              <w:color w:val="000000"/>
            </w:rPr>
            <w:fldChar w:fldCharType="begin"/>
          </w:r>
          <w:r>
            <w:rPr>
              <w:b w:val="0"/>
              <w:bCs w:val="0"/>
              <w:color w:val="000000"/>
            </w:rPr>
            <w:instrText xml:space="preserve"> HYPERLINK \l "_Toc230691170" </w:instrText>
          </w:r>
          <w:r>
            <w:rPr>
              <w:b w:val="0"/>
              <w:bCs w:val="0"/>
              <w:color w:val="000000"/>
            </w:rPr>
            <w:fldChar w:fldCharType="separate"/>
          </w:r>
          <w:r>
            <w:rPr>
              <w:rStyle w:val="11"/>
              <w:rFonts w:hint="eastAsia" w:ascii="黑体" w:hAnsi="黑体" w:eastAsia="黑体"/>
              <w:b w:val="0"/>
              <w:bCs w:val="0"/>
              <w:color w:val="000000"/>
            </w:rPr>
            <w:t>5.3 工程层特色与可验证交付能力</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_Toc230691170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33</w:t>
          </w:r>
          <w:r>
            <w:rPr>
              <w:rFonts w:hint="eastAsia"/>
              <w:b w:val="0"/>
              <w:bCs w:val="0"/>
              <w:color w:val="000000"/>
            </w:rPr>
            <w:fldChar w:fldCharType="end"/>
          </w:r>
          <w:r>
            <w:rPr>
              <w:rFonts w:hint="eastAsia"/>
              <w:b w:val="0"/>
              <w:bCs w:val="0"/>
              <w:color w:val="000000"/>
            </w:rPr>
            <w:fldChar w:fldCharType="end"/>
          </w:r>
        </w:p>
        <w:p w14:paraId="5CF272E5">
          <w:pPr>
            <w:pStyle w:val="6"/>
            <w:tabs>
              <w:tab w:val="right" w:leader="dot" w:pos="8810"/>
            </w:tabs>
            <w:rPr>
              <w:rFonts w:hint="eastAsia" w:asciiTheme="minorHAnsi" w:hAnsiTheme="minorHAnsi" w:eastAsiaTheme="minorEastAsia" w:cstheme="minorBidi"/>
              <w:b w:val="0"/>
              <w:bCs w:val="0"/>
              <w:sz w:val="22"/>
              <w14:ligatures w14:val="standardContextual"/>
            </w:rPr>
          </w:pPr>
          <w:r>
            <w:rPr>
              <w:b w:val="0"/>
              <w:bCs w:val="0"/>
              <w:color w:val="000000"/>
            </w:rPr>
            <w:fldChar w:fldCharType="begin"/>
          </w:r>
          <w:r>
            <w:rPr>
              <w:b w:val="0"/>
              <w:bCs w:val="0"/>
              <w:color w:val="000000"/>
            </w:rPr>
            <w:instrText xml:space="preserve"> HYPERLINK \l "_Toc230691171" </w:instrText>
          </w:r>
          <w:r>
            <w:rPr>
              <w:b w:val="0"/>
              <w:bCs w:val="0"/>
              <w:color w:val="000000"/>
            </w:rPr>
            <w:fldChar w:fldCharType="separate"/>
          </w:r>
          <w:r>
            <w:rPr>
              <w:rStyle w:val="11"/>
              <w:rFonts w:hint="eastAsia" w:ascii="黑体" w:hAnsi="黑体" w:eastAsia="黑体"/>
              <w:b w:val="0"/>
              <w:bCs w:val="0"/>
              <w:color w:val="000000"/>
            </w:rPr>
            <w:t>5.4 与常见方案对比</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_Toc230691171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34</w:t>
          </w:r>
          <w:r>
            <w:rPr>
              <w:rFonts w:hint="eastAsia"/>
              <w:b w:val="0"/>
              <w:bCs w:val="0"/>
              <w:color w:val="000000"/>
            </w:rPr>
            <w:fldChar w:fldCharType="end"/>
          </w:r>
          <w:r>
            <w:rPr>
              <w:rFonts w:hint="eastAsia"/>
              <w:b w:val="0"/>
              <w:bCs w:val="0"/>
              <w:color w:val="000000"/>
            </w:rPr>
            <w:fldChar w:fldCharType="end"/>
          </w:r>
        </w:p>
        <w:p w14:paraId="5C2EA104">
          <w:pPr>
            <w:pStyle w:val="6"/>
            <w:tabs>
              <w:tab w:val="right" w:leader="dot" w:pos="8810"/>
            </w:tabs>
            <w:rPr>
              <w:rFonts w:hint="eastAsia" w:asciiTheme="minorHAnsi" w:hAnsiTheme="minorHAnsi" w:eastAsiaTheme="minorEastAsia" w:cstheme="minorBidi"/>
              <w:sz w:val="22"/>
              <w14:ligatures w14:val="standardContextual"/>
            </w:rPr>
          </w:pPr>
          <w:r>
            <w:rPr>
              <w:b w:val="0"/>
              <w:bCs w:val="0"/>
              <w:color w:val="000000"/>
            </w:rPr>
            <w:fldChar w:fldCharType="begin"/>
          </w:r>
          <w:r>
            <w:rPr>
              <w:b w:val="0"/>
              <w:bCs w:val="0"/>
              <w:color w:val="000000"/>
            </w:rPr>
            <w:instrText xml:space="preserve"> HYPERLINK \l "_Toc230691172" </w:instrText>
          </w:r>
          <w:r>
            <w:rPr>
              <w:b w:val="0"/>
              <w:bCs w:val="0"/>
              <w:color w:val="000000"/>
            </w:rPr>
            <w:fldChar w:fldCharType="separate"/>
          </w:r>
          <w:r>
            <w:rPr>
              <w:rStyle w:val="11"/>
              <w:rFonts w:hint="eastAsia" w:ascii="黑体" w:hAnsi="黑体" w:eastAsia="黑体"/>
              <w:b w:val="0"/>
              <w:bCs w:val="0"/>
              <w:color w:val="000000"/>
            </w:rPr>
            <w:t>5.5 当前局限性</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_Toc230691172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35</w:t>
          </w:r>
          <w:r>
            <w:rPr>
              <w:rFonts w:hint="eastAsia"/>
              <w:b w:val="0"/>
              <w:bCs w:val="0"/>
              <w:color w:val="000000"/>
            </w:rPr>
            <w:fldChar w:fldCharType="end"/>
          </w:r>
          <w:r>
            <w:rPr>
              <w:rFonts w:hint="eastAsia"/>
              <w:b w:val="0"/>
              <w:bCs w:val="0"/>
              <w:color w:val="000000"/>
            </w:rPr>
            <w:fldChar w:fldCharType="end"/>
          </w:r>
        </w:p>
        <w:p w14:paraId="03E410E4">
          <w:pPr>
            <w:pStyle w:val="5"/>
            <w:tabs>
              <w:tab w:val="right" w:leader="dot" w:pos="8810"/>
            </w:tabs>
            <w:rPr>
              <w:rFonts w:hint="eastAsia" w:asciiTheme="minorHAnsi" w:hAnsiTheme="minorHAnsi" w:eastAsiaTheme="minorEastAsia" w:cstheme="minorBidi"/>
              <w:sz w:val="22"/>
              <w14:ligatures w14:val="standardContextual"/>
            </w:rPr>
          </w:pPr>
          <w:r>
            <w:rPr>
              <w:color w:val="000000"/>
            </w:rPr>
            <w:fldChar w:fldCharType="begin"/>
          </w:r>
          <w:r>
            <w:rPr>
              <w:color w:val="000000"/>
            </w:rPr>
            <w:instrText xml:space="preserve"> HYPERLINK \l "_Toc230691173" </w:instrText>
          </w:r>
          <w:r>
            <w:rPr>
              <w:color w:val="000000"/>
            </w:rPr>
            <w:fldChar w:fldCharType="separate"/>
          </w:r>
          <w:r>
            <w:rPr>
              <w:rStyle w:val="11"/>
              <w:rFonts w:hint="eastAsia" w:ascii="黑体" w:hAnsi="黑体" w:eastAsia="黑体"/>
              <w:color w:val="000000"/>
            </w:rPr>
            <w:t>第六章 复现与参赛声明</w:t>
          </w:r>
          <w:r>
            <w:rPr>
              <w:rFonts w:hint="eastAsia"/>
              <w:color w:val="000000"/>
            </w:rPr>
            <w:tab/>
          </w:r>
          <w:r>
            <w:rPr>
              <w:rFonts w:hint="eastAsia"/>
              <w:color w:val="000000"/>
            </w:rPr>
            <w:fldChar w:fldCharType="begin"/>
          </w:r>
          <w:r>
            <w:rPr>
              <w:rFonts w:hint="eastAsia"/>
              <w:color w:val="000000"/>
            </w:rPr>
            <w:instrText xml:space="preserve"> </w:instrText>
          </w:r>
          <w:r>
            <w:rPr>
              <w:color w:val="000000"/>
            </w:rPr>
            <w:instrText xml:space="preserve">PAGEREF _Toc230691173 \h</w:instrText>
          </w:r>
          <w:r>
            <w:rPr>
              <w:rFonts w:hint="eastAsia"/>
              <w:color w:val="000000"/>
            </w:rPr>
            <w:instrText xml:space="preserve"> </w:instrText>
          </w:r>
          <w:r>
            <w:rPr>
              <w:rFonts w:hint="eastAsia"/>
              <w:color w:val="000000"/>
            </w:rPr>
            <w:fldChar w:fldCharType="separate"/>
          </w:r>
          <w:r>
            <w:rPr>
              <w:color w:val="000000"/>
            </w:rPr>
            <w:t>36</w:t>
          </w:r>
          <w:r>
            <w:rPr>
              <w:rFonts w:hint="eastAsia"/>
              <w:color w:val="000000"/>
            </w:rPr>
            <w:fldChar w:fldCharType="end"/>
          </w:r>
          <w:r>
            <w:rPr>
              <w:rFonts w:hint="eastAsia"/>
              <w:color w:val="000000"/>
            </w:rPr>
            <w:fldChar w:fldCharType="end"/>
          </w:r>
        </w:p>
        <w:p w14:paraId="5F68A6A9">
          <w:pPr>
            <w:pStyle w:val="6"/>
            <w:tabs>
              <w:tab w:val="right" w:leader="dot" w:pos="8810"/>
            </w:tabs>
            <w:rPr>
              <w:rFonts w:hint="eastAsia" w:asciiTheme="minorHAnsi" w:hAnsiTheme="minorHAnsi" w:eastAsiaTheme="minorEastAsia" w:cstheme="minorBidi"/>
              <w:b w:val="0"/>
              <w:bCs w:val="0"/>
              <w:sz w:val="22"/>
              <w14:ligatures w14:val="standardContextual"/>
            </w:rPr>
          </w:pPr>
          <w:r>
            <w:rPr>
              <w:b w:val="0"/>
              <w:bCs w:val="0"/>
              <w:color w:val="000000"/>
            </w:rPr>
            <w:fldChar w:fldCharType="begin"/>
          </w:r>
          <w:r>
            <w:rPr>
              <w:b w:val="0"/>
              <w:bCs w:val="0"/>
              <w:color w:val="000000"/>
            </w:rPr>
            <w:instrText xml:space="preserve"> HYPERLINK \l "_Toc230691174" </w:instrText>
          </w:r>
          <w:r>
            <w:rPr>
              <w:b w:val="0"/>
              <w:bCs w:val="0"/>
              <w:color w:val="000000"/>
            </w:rPr>
            <w:fldChar w:fldCharType="separate"/>
          </w:r>
          <w:r>
            <w:rPr>
              <w:rStyle w:val="11"/>
              <w:rFonts w:hint="eastAsia" w:ascii="黑体" w:hAnsi="黑体" w:eastAsia="黑体"/>
              <w:b w:val="0"/>
              <w:bCs w:val="0"/>
              <w:color w:val="000000"/>
            </w:rPr>
            <w:t>6.1 最低可复现路径</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_Toc230691174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36</w:t>
          </w:r>
          <w:r>
            <w:rPr>
              <w:rFonts w:hint="eastAsia"/>
              <w:b w:val="0"/>
              <w:bCs w:val="0"/>
              <w:color w:val="000000"/>
            </w:rPr>
            <w:fldChar w:fldCharType="end"/>
          </w:r>
          <w:r>
            <w:rPr>
              <w:rFonts w:hint="eastAsia"/>
              <w:b w:val="0"/>
              <w:bCs w:val="0"/>
              <w:color w:val="000000"/>
            </w:rPr>
            <w:fldChar w:fldCharType="end"/>
          </w:r>
        </w:p>
        <w:p w14:paraId="4CCE8533">
          <w:pPr>
            <w:pStyle w:val="6"/>
            <w:tabs>
              <w:tab w:val="right" w:leader="dot" w:pos="8810"/>
            </w:tabs>
            <w:rPr>
              <w:rFonts w:hint="eastAsia" w:asciiTheme="minorHAnsi" w:hAnsiTheme="minorHAnsi" w:eastAsiaTheme="minorEastAsia" w:cstheme="minorBidi"/>
              <w:b w:val="0"/>
              <w:bCs w:val="0"/>
              <w:sz w:val="22"/>
              <w14:ligatures w14:val="standardContextual"/>
            </w:rPr>
          </w:pPr>
          <w:r>
            <w:rPr>
              <w:b w:val="0"/>
              <w:bCs w:val="0"/>
              <w:color w:val="000000"/>
            </w:rPr>
            <w:fldChar w:fldCharType="begin"/>
          </w:r>
          <w:r>
            <w:rPr>
              <w:b w:val="0"/>
              <w:bCs w:val="0"/>
              <w:color w:val="000000"/>
            </w:rPr>
            <w:instrText xml:space="preserve"> HYPERLINK \l "_Toc230691175" </w:instrText>
          </w:r>
          <w:r>
            <w:rPr>
              <w:b w:val="0"/>
              <w:bCs w:val="0"/>
              <w:color w:val="000000"/>
            </w:rPr>
            <w:fldChar w:fldCharType="separate"/>
          </w:r>
          <w:r>
            <w:rPr>
              <w:rStyle w:val="11"/>
              <w:rFonts w:hint="eastAsia" w:ascii="黑体" w:hAnsi="黑体" w:eastAsia="黑体"/>
              <w:b w:val="0"/>
              <w:bCs w:val="0"/>
              <w:color w:val="000000"/>
            </w:rPr>
            <w:t>6.2 数据、模型与权重合规声明</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_Toc230691175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36</w:t>
          </w:r>
          <w:r>
            <w:rPr>
              <w:rFonts w:hint="eastAsia"/>
              <w:b w:val="0"/>
              <w:bCs w:val="0"/>
              <w:color w:val="000000"/>
            </w:rPr>
            <w:fldChar w:fldCharType="end"/>
          </w:r>
          <w:r>
            <w:rPr>
              <w:rFonts w:hint="eastAsia"/>
              <w:b w:val="0"/>
              <w:bCs w:val="0"/>
              <w:color w:val="000000"/>
            </w:rPr>
            <w:fldChar w:fldCharType="end"/>
          </w:r>
        </w:p>
        <w:p w14:paraId="29D8CD45">
          <w:pPr>
            <w:pStyle w:val="6"/>
            <w:tabs>
              <w:tab w:val="right" w:leader="dot" w:pos="8810"/>
            </w:tabs>
            <w:rPr>
              <w:rFonts w:hint="eastAsia" w:asciiTheme="minorHAnsi" w:hAnsiTheme="minorHAnsi" w:eastAsiaTheme="minorEastAsia" w:cstheme="minorBidi"/>
              <w:sz w:val="22"/>
              <w14:ligatures w14:val="standardContextual"/>
            </w:rPr>
          </w:pPr>
          <w:r>
            <w:rPr>
              <w:b w:val="0"/>
              <w:bCs w:val="0"/>
              <w:color w:val="000000"/>
            </w:rPr>
            <w:fldChar w:fldCharType="begin"/>
          </w:r>
          <w:r>
            <w:rPr>
              <w:b w:val="0"/>
              <w:bCs w:val="0"/>
              <w:color w:val="000000"/>
            </w:rPr>
            <w:instrText xml:space="preserve"> HYPERLINK \l "_Toc230691176" </w:instrText>
          </w:r>
          <w:r>
            <w:rPr>
              <w:b w:val="0"/>
              <w:bCs w:val="0"/>
              <w:color w:val="000000"/>
            </w:rPr>
            <w:fldChar w:fldCharType="separate"/>
          </w:r>
          <w:r>
            <w:rPr>
              <w:rStyle w:val="11"/>
              <w:rFonts w:hint="eastAsia" w:ascii="黑体" w:hAnsi="黑体" w:eastAsia="黑体"/>
              <w:b w:val="0"/>
              <w:bCs w:val="0"/>
              <w:color w:val="000000"/>
            </w:rPr>
            <w:t>6.3 第三方许可、原创边界与技术公开范围</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_Toc230691176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37</w:t>
          </w:r>
          <w:r>
            <w:rPr>
              <w:rFonts w:hint="eastAsia"/>
              <w:b w:val="0"/>
              <w:bCs w:val="0"/>
              <w:color w:val="000000"/>
            </w:rPr>
            <w:fldChar w:fldCharType="end"/>
          </w:r>
          <w:r>
            <w:rPr>
              <w:rFonts w:hint="eastAsia"/>
              <w:b w:val="0"/>
              <w:bCs w:val="0"/>
              <w:color w:val="000000"/>
            </w:rPr>
            <w:fldChar w:fldCharType="end"/>
          </w:r>
        </w:p>
        <w:p w14:paraId="7D479E70">
          <w:pPr>
            <w:pStyle w:val="5"/>
            <w:tabs>
              <w:tab w:val="right" w:leader="dot" w:pos="8810"/>
            </w:tabs>
            <w:rPr>
              <w:rFonts w:hint="eastAsia" w:asciiTheme="minorHAnsi" w:hAnsiTheme="minorHAnsi" w:eastAsiaTheme="minorEastAsia" w:cstheme="minorBidi"/>
              <w:sz w:val="22"/>
              <w14:ligatures w14:val="standardContextual"/>
            </w:rPr>
          </w:pPr>
          <w:r>
            <w:rPr>
              <w:color w:val="000000"/>
            </w:rPr>
            <w:fldChar w:fldCharType="begin"/>
          </w:r>
          <w:r>
            <w:rPr>
              <w:color w:val="000000"/>
            </w:rPr>
            <w:instrText xml:space="preserve"> HYPERLINK \l "_Toc230691177" </w:instrText>
          </w:r>
          <w:r>
            <w:rPr>
              <w:color w:val="000000"/>
            </w:rPr>
            <w:fldChar w:fldCharType="separate"/>
          </w:r>
          <w:r>
            <w:rPr>
              <w:rStyle w:val="11"/>
              <w:rFonts w:hint="eastAsia" w:ascii="黑体" w:hAnsi="黑体" w:eastAsia="黑体"/>
              <w:color w:val="000000"/>
            </w:rPr>
            <w:t>参考文献</w:t>
          </w:r>
          <w:r>
            <w:rPr>
              <w:rFonts w:hint="eastAsia"/>
              <w:color w:val="000000"/>
            </w:rPr>
            <w:tab/>
          </w:r>
          <w:r>
            <w:rPr>
              <w:rFonts w:hint="eastAsia"/>
              <w:color w:val="000000"/>
            </w:rPr>
            <w:fldChar w:fldCharType="begin"/>
          </w:r>
          <w:r>
            <w:rPr>
              <w:rFonts w:hint="eastAsia"/>
              <w:color w:val="000000"/>
            </w:rPr>
            <w:instrText xml:space="preserve"> </w:instrText>
          </w:r>
          <w:r>
            <w:rPr>
              <w:color w:val="000000"/>
            </w:rPr>
            <w:instrText xml:space="preserve">PAGEREF _Toc230691177 \h</w:instrText>
          </w:r>
          <w:r>
            <w:rPr>
              <w:rFonts w:hint="eastAsia"/>
              <w:color w:val="000000"/>
            </w:rPr>
            <w:instrText xml:space="preserve"> </w:instrText>
          </w:r>
          <w:r>
            <w:rPr>
              <w:rFonts w:hint="eastAsia"/>
              <w:color w:val="000000"/>
            </w:rPr>
            <w:fldChar w:fldCharType="separate"/>
          </w:r>
          <w:r>
            <w:rPr>
              <w:color w:val="000000"/>
            </w:rPr>
            <w:t>39</w:t>
          </w:r>
          <w:r>
            <w:rPr>
              <w:rFonts w:hint="eastAsia"/>
              <w:color w:val="000000"/>
            </w:rPr>
            <w:fldChar w:fldCharType="end"/>
          </w:r>
          <w:r>
            <w:rPr>
              <w:rFonts w:hint="eastAsia"/>
              <w:color w:val="000000"/>
            </w:rPr>
            <w:fldChar w:fldCharType="end"/>
          </w:r>
        </w:p>
        <w:p w14:paraId="3F962EBE">
          <w:pPr>
            <w:pStyle w:val="5"/>
            <w:tabs>
              <w:tab w:val="right" w:leader="dot" w:pos="8810"/>
            </w:tabs>
            <w:rPr>
              <w:rFonts w:hint="eastAsia" w:asciiTheme="minorHAnsi" w:hAnsiTheme="minorHAnsi" w:eastAsiaTheme="minorEastAsia" w:cstheme="minorBidi"/>
              <w:sz w:val="22"/>
              <w14:ligatures w14:val="standardContextual"/>
            </w:rPr>
          </w:pPr>
          <w:r>
            <w:rPr>
              <w:color w:val="000000"/>
            </w:rPr>
            <w:fldChar w:fldCharType="begin"/>
          </w:r>
          <w:r>
            <w:rPr>
              <w:color w:val="000000"/>
            </w:rPr>
            <w:instrText xml:space="preserve"> HYPERLINK \l "_Toc230691178" </w:instrText>
          </w:r>
          <w:r>
            <w:rPr>
              <w:color w:val="000000"/>
            </w:rPr>
            <w:fldChar w:fldCharType="separate"/>
          </w:r>
          <w:r>
            <w:rPr>
              <w:rStyle w:val="11"/>
              <w:rFonts w:hint="eastAsia" w:ascii="黑体" w:hAnsi="黑体" w:eastAsia="黑体"/>
              <w:color w:val="000000"/>
            </w:rPr>
            <w:t>附录A 关键代码实现</w:t>
          </w:r>
          <w:r>
            <w:rPr>
              <w:rFonts w:hint="eastAsia"/>
              <w:color w:val="000000"/>
            </w:rPr>
            <w:tab/>
          </w:r>
          <w:r>
            <w:rPr>
              <w:rFonts w:hint="eastAsia"/>
              <w:color w:val="000000"/>
            </w:rPr>
            <w:fldChar w:fldCharType="begin"/>
          </w:r>
          <w:r>
            <w:rPr>
              <w:rFonts w:hint="eastAsia"/>
              <w:color w:val="000000"/>
            </w:rPr>
            <w:instrText xml:space="preserve"> </w:instrText>
          </w:r>
          <w:r>
            <w:rPr>
              <w:color w:val="000000"/>
            </w:rPr>
            <w:instrText xml:space="preserve">PAGEREF _Toc230691178 \h</w:instrText>
          </w:r>
          <w:r>
            <w:rPr>
              <w:rFonts w:hint="eastAsia"/>
              <w:color w:val="000000"/>
            </w:rPr>
            <w:instrText xml:space="preserve"> </w:instrText>
          </w:r>
          <w:r>
            <w:rPr>
              <w:rFonts w:hint="eastAsia"/>
              <w:color w:val="000000"/>
            </w:rPr>
            <w:fldChar w:fldCharType="separate"/>
          </w:r>
          <w:r>
            <w:rPr>
              <w:color w:val="000000"/>
            </w:rPr>
            <w:t>40</w:t>
          </w:r>
          <w:r>
            <w:rPr>
              <w:rFonts w:hint="eastAsia"/>
              <w:color w:val="000000"/>
            </w:rPr>
            <w:fldChar w:fldCharType="end"/>
          </w:r>
          <w:r>
            <w:rPr>
              <w:rFonts w:hint="eastAsia"/>
              <w:color w:val="000000"/>
            </w:rPr>
            <w:fldChar w:fldCharType="end"/>
          </w:r>
        </w:p>
        <w:p w14:paraId="7F8BF2D4">
          <w:pPr>
            <w:pStyle w:val="6"/>
            <w:tabs>
              <w:tab w:val="right" w:leader="dot" w:pos="8810"/>
            </w:tabs>
            <w:rPr>
              <w:rFonts w:hint="eastAsia" w:asciiTheme="minorHAnsi" w:hAnsiTheme="minorHAnsi" w:eastAsiaTheme="minorEastAsia" w:cstheme="minorBidi"/>
              <w:b w:val="0"/>
              <w:bCs w:val="0"/>
              <w:sz w:val="22"/>
              <w14:ligatures w14:val="standardContextual"/>
            </w:rPr>
          </w:pPr>
          <w:r>
            <w:rPr>
              <w:b w:val="0"/>
              <w:bCs w:val="0"/>
              <w:color w:val="000000"/>
            </w:rPr>
            <w:fldChar w:fldCharType="begin"/>
          </w:r>
          <w:r>
            <w:rPr>
              <w:b w:val="0"/>
              <w:bCs w:val="0"/>
              <w:color w:val="000000"/>
            </w:rPr>
            <w:instrText xml:space="preserve"> HYPERLINK \l "_Toc230691179" </w:instrText>
          </w:r>
          <w:r>
            <w:rPr>
              <w:b w:val="0"/>
              <w:bCs w:val="0"/>
              <w:color w:val="000000"/>
            </w:rPr>
            <w:fldChar w:fldCharType="separate"/>
          </w:r>
          <w:r>
            <w:rPr>
              <w:rStyle w:val="11"/>
              <w:rFonts w:hint="eastAsia" w:ascii="黑体" w:hAnsi="黑体" w:eastAsia="黑体"/>
              <w:b w:val="0"/>
              <w:bCs w:val="0"/>
              <w:color w:val="000000"/>
            </w:rPr>
            <w:t>A.1 浏览器 Worker 中的 little-endian share 序列化</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_Toc230691179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40</w:t>
          </w:r>
          <w:r>
            <w:rPr>
              <w:rFonts w:hint="eastAsia"/>
              <w:b w:val="0"/>
              <w:bCs w:val="0"/>
              <w:color w:val="000000"/>
            </w:rPr>
            <w:fldChar w:fldCharType="end"/>
          </w:r>
          <w:r>
            <w:rPr>
              <w:rFonts w:hint="eastAsia"/>
              <w:b w:val="0"/>
              <w:bCs w:val="0"/>
              <w:color w:val="000000"/>
            </w:rPr>
            <w:fldChar w:fldCharType="end"/>
          </w:r>
        </w:p>
        <w:p w14:paraId="36EFBDFB">
          <w:pPr>
            <w:pStyle w:val="6"/>
            <w:tabs>
              <w:tab w:val="right" w:leader="dot" w:pos="8810"/>
            </w:tabs>
            <w:rPr>
              <w:rFonts w:hint="eastAsia" w:asciiTheme="minorHAnsi" w:hAnsiTheme="minorHAnsi" w:eastAsiaTheme="minorEastAsia" w:cstheme="minorBidi"/>
              <w:b w:val="0"/>
              <w:bCs w:val="0"/>
              <w:sz w:val="22"/>
              <w14:ligatures w14:val="standardContextual"/>
            </w:rPr>
          </w:pPr>
          <w:r>
            <w:rPr>
              <w:b w:val="0"/>
              <w:bCs w:val="0"/>
              <w:color w:val="000000"/>
            </w:rPr>
            <w:fldChar w:fldCharType="begin"/>
          </w:r>
          <w:r>
            <w:rPr>
              <w:b w:val="0"/>
              <w:bCs w:val="0"/>
              <w:color w:val="000000"/>
            </w:rPr>
            <w:instrText xml:space="preserve"> HYPERLINK \l "_Toc230691180" </w:instrText>
          </w:r>
          <w:r>
            <w:rPr>
              <w:b w:val="0"/>
              <w:bCs w:val="0"/>
              <w:color w:val="000000"/>
            </w:rPr>
            <w:fldChar w:fldCharType="separate"/>
          </w:r>
          <w:r>
            <w:rPr>
              <w:rStyle w:val="11"/>
              <w:rFonts w:hint="eastAsia" w:ascii="黑体" w:hAnsi="黑体" w:eastAsia="黑体"/>
              <w:b w:val="0"/>
              <w:bCs w:val="0"/>
              <w:color w:val="000000"/>
            </w:rPr>
            <w:t>A.2 安全选择与双调排序的核心 SPU 实现</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_Toc230691180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40</w:t>
          </w:r>
          <w:r>
            <w:rPr>
              <w:rFonts w:hint="eastAsia"/>
              <w:b w:val="0"/>
              <w:bCs w:val="0"/>
              <w:color w:val="000000"/>
            </w:rPr>
            <w:fldChar w:fldCharType="end"/>
          </w:r>
          <w:r>
            <w:rPr>
              <w:rFonts w:hint="eastAsia"/>
              <w:b w:val="0"/>
              <w:bCs w:val="0"/>
              <w:color w:val="000000"/>
            </w:rPr>
            <w:fldChar w:fldCharType="end"/>
          </w:r>
        </w:p>
        <w:p w14:paraId="26580F8A">
          <w:pPr>
            <w:pStyle w:val="6"/>
            <w:tabs>
              <w:tab w:val="right" w:leader="dot" w:pos="8810"/>
            </w:tabs>
            <w:rPr>
              <w:rFonts w:hint="eastAsia" w:asciiTheme="minorHAnsi" w:hAnsiTheme="minorHAnsi" w:eastAsiaTheme="minorEastAsia" w:cstheme="minorBidi"/>
              <w:b w:val="0"/>
              <w:bCs w:val="0"/>
              <w:sz w:val="22"/>
              <w14:ligatures w14:val="standardContextual"/>
            </w:rPr>
          </w:pPr>
          <w:r>
            <w:rPr>
              <w:b w:val="0"/>
              <w:bCs w:val="0"/>
              <w:color w:val="000000"/>
            </w:rPr>
            <w:fldChar w:fldCharType="begin"/>
          </w:r>
          <w:r>
            <w:rPr>
              <w:b w:val="0"/>
              <w:bCs w:val="0"/>
              <w:color w:val="000000"/>
            </w:rPr>
            <w:instrText xml:space="preserve"> HYPERLINK \l "_Toc230691181" </w:instrText>
          </w:r>
          <w:r>
            <w:rPr>
              <w:b w:val="0"/>
              <w:bCs w:val="0"/>
              <w:color w:val="000000"/>
            </w:rPr>
            <w:fldChar w:fldCharType="separate"/>
          </w:r>
          <w:r>
            <w:rPr>
              <w:rStyle w:val="11"/>
              <w:rFonts w:hint="eastAsia" w:ascii="黑体" w:hAnsi="黑体" w:eastAsia="黑体"/>
              <w:b w:val="0"/>
              <w:bCs w:val="0"/>
              <w:color w:val="000000"/>
            </w:rPr>
            <w:t>A.3 JSON 字节长度门与 strict json.loads 钩子</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_Toc230691181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41</w:t>
          </w:r>
          <w:r>
            <w:rPr>
              <w:rFonts w:hint="eastAsia"/>
              <w:b w:val="0"/>
              <w:bCs w:val="0"/>
              <w:color w:val="000000"/>
            </w:rPr>
            <w:fldChar w:fldCharType="end"/>
          </w:r>
          <w:r>
            <w:rPr>
              <w:rFonts w:hint="eastAsia"/>
              <w:b w:val="0"/>
              <w:bCs w:val="0"/>
              <w:color w:val="000000"/>
            </w:rPr>
            <w:fldChar w:fldCharType="end"/>
          </w:r>
        </w:p>
        <w:p w14:paraId="1B58F44E">
          <w:pPr>
            <w:pStyle w:val="6"/>
            <w:tabs>
              <w:tab w:val="right" w:leader="dot" w:pos="8810"/>
            </w:tabs>
            <w:rPr>
              <w:rFonts w:hint="eastAsia" w:asciiTheme="minorHAnsi" w:hAnsiTheme="minorHAnsi" w:eastAsiaTheme="minorEastAsia" w:cstheme="minorBidi"/>
              <w:sz w:val="22"/>
              <w14:ligatures w14:val="standardContextual"/>
            </w:rPr>
          </w:pPr>
          <w:r>
            <w:rPr>
              <w:b w:val="0"/>
              <w:bCs w:val="0"/>
              <w:color w:val="000000"/>
            </w:rPr>
            <w:fldChar w:fldCharType="begin"/>
          </w:r>
          <w:r>
            <w:rPr>
              <w:b w:val="0"/>
              <w:bCs w:val="0"/>
              <w:color w:val="000000"/>
            </w:rPr>
            <w:instrText xml:space="preserve"> HYPERLINK \l "_Toc230691182" </w:instrText>
          </w:r>
          <w:r>
            <w:rPr>
              <w:b w:val="0"/>
              <w:bCs w:val="0"/>
              <w:color w:val="000000"/>
            </w:rPr>
            <w:fldChar w:fldCharType="separate"/>
          </w:r>
          <w:r>
            <w:rPr>
              <w:rStyle w:val="11"/>
              <w:rFonts w:hint="eastAsia" w:ascii="黑体" w:hAnsi="黑体" w:eastAsia="黑体"/>
              <w:b w:val="0"/>
              <w:bCs w:val="0"/>
              <w:color w:val="000000"/>
            </w:rPr>
            <w:t>A.4 协议层异常输入黑盒验证样例</w:t>
          </w:r>
          <w:r>
            <w:rPr>
              <w:rFonts w:hint="eastAsia"/>
              <w:b w:val="0"/>
              <w:bCs w:val="0"/>
              <w:color w:val="000000"/>
            </w:rPr>
            <w:tab/>
          </w:r>
          <w:r>
            <w:rPr>
              <w:rFonts w:hint="eastAsia"/>
              <w:b w:val="0"/>
              <w:bCs w:val="0"/>
              <w:color w:val="000000"/>
            </w:rPr>
            <w:fldChar w:fldCharType="begin"/>
          </w:r>
          <w:r>
            <w:rPr>
              <w:rFonts w:hint="eastAsia"/>
              <w:b w:val="0"/>
              <w:bCs w:val="0"/>
              <w:color w:val="000000"/>
            </w:rPr>
            <w:instrText xml:space="preserve"> </w:instrText>
          </w:r>
          <w:r>
            <w:rPr>
              <w:b w:val="0"/>
              <w:bCs w:val="0"/>
              <w:color w:val="000000"/>
            </w:rPr>
            <w:instrText xml:space="preserve">PAGEREF _Toc230691182 \h</w:instrText>
          </w:r>
          <w:r>
            <w:rPr>
              <w:rFonts w:hint="eastAsia"/>
              <w:b w:val="0"/>
              <w:bCs w:val="0"/>
              <w:color w:val="000000"/>
            </w:rPr>
            <w:instrText xml:space="preserve"> </w:instrText>
          </w:r>
          <w:r>
            <w:rPr>
              <w:rFonts w:hint="eastAsia"/>
              <w:b w:val="0"/>
              <w:bCs w:val="0"/>
              <w:color w:val="000000"/>
            </w:rPr>
            <w:fldChar w:fldCharType="separate"/>
          </w:r>
          <w:r>
            <w:rPr>
              <w:b w:val="0"/>
              <w:bCs w:val="0"/>
              <w:color w:val="000000"/>
            </w:rPr>
            <w:t>41</w:t>
          </w:r>
          <w:r>
            <w:rPr>
              <w:rFonts w:hint="eastAsia"/>
              <w:b w:val="0"/>
              <w:bCs w:val="0"/>
              <w:color w:val="000000"/>
            </w:rPr>
            <w:fldChar w:fldCharType="end"/>
          </w:r>
          <w:r>
            <w:rPr>
              <w:rFonts w:hint="eastAsia"/>
              <w:b w:val="0"/>
              <w:bCs w:val="0"/>
              <w:color w:val="000000"/>
            </w:rPr>
            <w:fldChar w:fldCharType="end"/>
          </w:r>
        </w:p>
        <w:p w14:paraId="03FB6903">
          <w:r>
            <w:rPr>
              <w:color w:val="000000"/>
            </w:rPr>
            <w:fldChar w:fldCharType="end"/>
          </w:r>
        </w:p>
      </w:sdtContent>
    </w:sdt>
    <w:p w14:paraId="5EF855C1"/>
    <w:p w14:paraId="77FEB9C2"/>
    <w:p w14:paraId="02292FDB">
      <w:pPr>
        <w:rPr>
          <w:rFonts w:hint="eastAsia" w:ascii="黑体" w:hAnsi="黑体" w:eastAsia="黑体"/>
          <w:b/>
          <w:sz w:val="44"/>
        </w:rPr>
      </w:pPr>
      <w:r>
        <w:rPr>
          <w:rFonts w:ascii="黑体" w:hAnsi="黑体" w:eastAsia="黑体"/>
          <w:b/>
          <w:sz w:val="44"/>
        </w:rPr>
        <w:br w:type="page"/>
      </w:r>
    </w:p>
    <w:p w14:paraId="011D9916">
      <w:pPr>
        <w:pStyle w:val="2"/>
        <w:jc w:val="center"/>
      </w:pPr>
      <w:bookmarkStart w:id="0" w:name="_Toc230691140"/>
      <w:bookmarkStart w:id="1" w:name="Transshield_TOC_abstract"/>
      <w:r>
        <w:rPr>
          <w:rFonts w:ascii="黑体" w:hAnsi="黑体" w:eastAsia="黑体"/>
        </w:rPr>
        <w:t>摘要</w:t>
      </w:r>
      <w:bookmarkEnd w:id="0"/>
      <w:bookmarkEnd w:id="1"/>
    </w:p>
    <w:p w14:paraId="0D4917D8">
      <w:pPr>
        <w:spacing w:line="360" w:lineRule="auto"/>
        <w:ind w:firstLine="480"/>
        <w:rPr>
          <w:rFonts w:hint="eastAsia" w:ascii="宋体" w:hAnsi="宋体"/>
          <w:sz w:val="24"/>
        </w:rPr>
      </w:pPr>
      <w:r>
        <w:rPr>
          <w:rFonts w:hint="eastAsia" w:ascii="宋体" w:hAnsi="宋体"/>
          <w:sz w:val="24"/>
        </w:rPr>
        <w:t>本作品面向医院侧数据与模型提供方参数同时敏感的协同推理场景，构建了一套可运行、可验证、可复现的双向隐私安全推理系统。针对传统单向隐私保护难以同时兼顾数据合规与模型知识产权保护的问题，本作品以 DynamicViT 为载体，将原始动态词元剪枝中的删除式控制流改写为固定图下可执行的密态语义，通过安全比较、安全选择与稳定排序机制，使动态剪枝能力能够进入两方安全计算链路。</w:t>
      </w:r>
    </w:p>
    <w:p w14:paraId="331D8074">
      <w:pPr>
        <w:spacing w:line="360" w:lineRule="auto"/>
        <w:ind w:firstLine="480"/>
        <w:rPr>
          <w:rFonts w:hint="eastAsia" w:ascii="宋体" w:hAnsi="宋体"/>
          <w:sz w:val="24"/>
        </w:rPr>
      </w:pPr>
      <w:r>
        <w:rPr>
          <w:rFonts w:hint="eastAsia" w:ascii="宋体" w:hAnsi="宋体"/>
          <w:sz w:val="24"/>
        </w:rPr>
        <w:t>在系统实现上，本作品将浏览器端本地预处理、秘密分享生成、服务端权威快检、SPU 密态前向计算与审计记录整合为端到端闭环。原始影像仅在终端侧处理，跨越信任边界后仅传输密态分片、结构化元数据与审计摘要；服务端在进入密态计算前完成协议、张量与质量摘要检查，从而避免将输入天然可信作为隐含前提。</w:t>
      </w:r>
    </w:p>
    <w:p w14:paraId="61E913D6">
      <w:pPr>
        <w:spacing w:line="360" w:lineRule="auto"/>
        <w:ind w:firstLine="480"/>
        <w:rPr>
          <w:rFonts w:hint="eastAsia" w:ascii="宋体" w:hAnsi="宋体"/>
          <w:sz w:val="24"/>
        </w:rPr>
      </w:pPr>
      <w:r>
        <w:rPr>
          <w:rFonts w:hint="eastAsia" w:ascii="宋体" w:hAnsi="宋体"/>
          <w:sz w:val="24"/>
        </w:rPr>
        <w:t>实验结果表明，本作品在 524 张医疗验证样本上取得 92.7481% 的阈值精度，较同仓固定结构静态对照线提升 0.7634 个百分点，较未经安全化边界重写的原始 DynamicViT 提升 17.3664 个百分点。端到端双向隐私原型在 32 条医疗部署验证样本上的平均时延为 89.06 秒/样本，双向总通信量为 84.47 GiB。系统还通过协议异常输入、重放与并发守卫等 17 类黑盒验证，为安全边界和原型可服务性提供了证据支撑。</w:t>
      </w:r>
    </w:p>
    <w:p w14:paraId="45AAE623">
      <w:pPr>
        <w:spacing w:line="360" w:lineRule="auto"/>
        <w:ind w:firstLine="480"/>
        <w:rPr>
          <w:rFonts w:hint="eastAsia" w:ascii="宋体" w:hAnsi="宋体"/>
          <w:sz w:val="24"/>
        </w:rPr>
      </w:pPr>
    </w:p>
    <w:p w14:paraId="484BAE0C">
      <w:pPr>
        <w:rPr>
          <w:rFonts w:hint="eastAsia" w:ascii="黑体" w:hAnsi="黑体" w:eastAsia="黑体"/>
          <w:b/>
          <w:sz w:val="44"/>
        </w:rPr>
      </w:pPr>
      <w:r>
        <w:rPr>
          <w:rFonts w:ascii="黑体" w:hAnsi="黑体" w:eastAsia="黑体"/>
          <w:b/>
          <w:sz w:val="44"/>
        </w:rPr>
        <w:br w:type="page"/>
      </w:r>
    </w:p>
    <w:p w14:paraId="1A60DA54">
      <w:pPr>
        <w:pStyle w:val="2"/>
        <w:jc w:val="center"/>
      </w:pPr>
      <w:bookmarkStart w:id="2" w:name="_Toc230691141"/>
      <w:bookmarkStart w:id="3" w:name="Transshield_TOC_chapter_1"/>
      <w:r>
        <w:rPr>
          <w:rFonts w:ascii="黑体" w:hAnsi="黑体" w:eastAsia="黑体"/>
        </w:rPr>
        <w:t>第一章 作品概述</w:t>
      </w:r>
      <w:bookmarkEnd w:id="2"/>
      <w:bookmarkEnd w:id="3"/>
    </w:p>
    <w:p w14:paraId="10A4856F">
      <w:pPr>
        <w:spacing w:line="360" w:lineRule="auto"/>
        <w:outlineLvl w:val="1"/>
      </w:pPr>
      <w:bookmarkStart w:id="4" w:name="_Toc230691142"/>
      <w:bookmarkStart w:id="5" w:name="Transshield_TOC_section_1_1"/>
      <w:r>
        <w:rPr>
          <w:rFonts w:ascii="黑体" w:hAnsi="黑体" w:eastAsia="黑体"/>
          <w:b/>
          <w:sz w:val="24"/>
        </w:rPr>
        <w:t>1.1 背景与目标</w:t>
      </w:r>
      <w:bookmarkEnd w:id="4"/>
      <w:bookmarkEnd w:id="5"/>
    </w:p>
    <w:p w14:paraId="129FC0A7">
      <w:pPr>
        <w:spacing w:line="360" w:lineRule="auto"/>
        <w:ind w:firstLine="480"/>
      </w:pPr>
      <w:r>
        <w:rPr>
          <w:rFonts w:ascii="宋体" w:hAnsi="宋体"/>
          <w:sz w:val="24"/>
        </w:rPr>
        <w:t>在医疗、金融等高敏感场景中，数据使用方通常不愿以明文形式交出原始数据，模型提供方也不愿直接暴露明文模型参数。单向隐私保护机制难以同时满足双方诉求：只强调输入侧保护会暴露模型知识产权，只强调模型侧保护则会引发数据合规风险。进一步地，若模型采用按样本动态变化的剪枝路径，则依赖明文删除、阈值比较和变长前向结构的决策链很难直接迁入安全计算图，这也是许多安全推理系统被迫退化为固定结构模型的重要原因。</w:t>
      </w:r>
    </w:p>
    <w:p w14:paraId="15AE8B88">
      <w:pPr>
        <w:spacing w:line="360" w:lineRule="auto"/>
        <w:ind w:firstLine="480"/>
      </w:pPr>
      <w:r>
        <w:rPr>
          <w:rFonts w:ascii="宋体" w:hAnsi="宋体"/>
          <w:sz w:val="24"/>
        </w:rPr>
        <w:t>本作品的设计目标不是单纯提升胸片分类精度，而是在双向隐私前提下保留动态剪枝能力，并将其落实到可运行的工程系统中。为此，本作品选择动态词元剪枝视觉 Transformer 方法 DynamicViT 作为主要载体，围绕词元打分、阈值比较、保留决策与安全执行语义之间的映射关系，完成从模型结构、协议路径到前后端控制面的联动设计。</w:t>
      </w:r>
    </w:p>
    <w:p w14:paraId="642B911C">
      <w:pPr>
        <w:spacing w:line="360" w:lineRule="auto"/>
        <w:outlineLvl w:val="1"/>
        <w:rPr>
          <w:rFonts w:hint="eastAsia" w:ascii="黑体" w:hAnsi="黑体" w:eastAsia="黑体"/>
          <w:b/>
          <w:sz w:val="24"/>
        </w:rPr>
      </w:pPr>
      <w:bookmarkStart w:id="6" w:name="_Toc230691143"/>
      <w:bookmarkStart w:id="7" w:name="Transshield_TOC_section_1_2"/>
      <w:r>
        <w:rPr>
          <w:rFonts w:ascii="黑体" w:hAnsi="黑体" w:eastAsia="黑体"/>
          <w:b/>
          <w:sz w:val="24"/>
        </w:rPr>
        <w:t>1.2 应用场景与交付边界</w:t>
      </w:r>
      <w:bookmarkEnd w:id="6"/>
      <w:bookmarkEnd w:id="7"/>
    </w:p>
    <w:p w14:paraId="766ABB8E">
      <w:pPr>
        <w:spacing w:line="360" w:lineRule="auto"/>
        <w:ind w:firstLine="480"/>
        <w:rPr>
          <w:rFonts w:hint="eastAsia" w:ascii="宋体" w:hAnsi="宋体"/>
          <w:sz w:val="24"/>
        </w:rPr>
      </w:pPr>
      <w:r>
        <w:rPr>
          <w:rFonts w:hint="eastAsia" w:ascii="宋体" w:hAnsi="宋体"/>
          <w:sz w:val="24"/>
        </w:rPr>
        <w:t>本作品面向医院侧数据与模型提供方参数同时敏感的协同推理场景，目标是在不暴露原始影像和明文模型参数的前提下完成医疗影像分类。系统的主要交付对象包括终端用户、医院侧部署环境、服务端控制面以及两方安全执行域。终端侧负责本地解码、预处理、质量评估与秘密分享生成；服务端负责协议预检、重放与并发守卫、审计落盘和密态推理调度；安全执行域负责完成双向隐私约束下的前向计算并返回最终分类结果。</w:t>
      </w:r>
    </w:p>
    <w:p w14:paraId="77AA355D">
      <w:pPr>
        <w:spacing w:line="360" w:lineRule="auto"/>
        <w:ind w:firstLine="480"/>
        <w:rPr>
          <w:rFonts w:hint="eastAsia" w:ascii="宋体" w:hAnsi="宋体"/>
          <w:sz w:val="24"/>
        </w:rPr>
      </w:pPr>
      <w:r>
        <w:rPr>
          <w:rFonts w:hint="eastAsia" w:ascii="宋体" w:hAnsi="宋体"/>
          <w:sz w:val="24"/>
        </w:rPr>
        <w:t>本作品的交付边界不包括生产级拒绝服务防护、恶意参与方串谋对抗、输出侧隐私泄露建模以及完整的多中心部署评估。本文的重点是证明：在双向隐私约束下，动态剪枝语义能够被安全化重写，并形成可运行、可验证、可复现实验闭环。</w:t>
      </w:r>
    </w:p>
    <w:p w14:paraId="57CE1783">
      <w:pPr>
        <w:spacing w:line="360" w:lineRule="auto"/>
        <w:outlineLvl w:val="1"/>
      </w:pPr>
      <w:bookmarkStart w:id="8" w:name="Transshield_TOC_section_1_3"/>
      <w:bookmarkStart w:id="9" w:name="_Toc230691144"/>
      <w:r>
        <w:rPr>
          <w:rFonts w:ascii="黑体" w:hAnsi="黑体" w:eastAsia="黑体"/>
          <w:b/>
          <w:sz w:val="24"/>
        </w:rPr>
        <w:t>1.3 核心贡献</w:t>
      </w:r>
      <w:bookmarkEnd w:id="8"/>
      <w:bookmarkEnd w:id="9"/>
    </w:p>
    <w:p w14:paraId="1868D7A1">
      <w:pPr>
        <w:spacing w:line="360" w:lineRule="auto"/>
        <w:ind w:firstLine="480"/>
        <w:rPr>
          <w:rFonts w:hint="eastAsia" w:ascii="宋体" w:hAnsi="宋体"/>
          <w:sz w:val="24"/>
        </w:rPr>
      </w:pPr>
      <w:r>
        <w:rPr>
          <w:rFonts w:hint="eastAsia" w:ascii="宋体" w:hAnsi="宋体"/>
          <w:sz w:val="24"/>
        </w:rPr>
        <w:t>本作品的核心贡献主要体现在三个方面。第一，在算法层面，将 DynamicViT 中依赖明文控制流的删除式剪枝路径重写为固定图下可执行的密态语义，使动态词元剪枝能够进入安全计算框架。第二，在系统层面，将浏览器工作线程、服务端权威快检、重放与并发守卫以及审计链整合为完整控制面闭环，保证输入、传输和执行三个阶段的边界清晰可验证。第三，在交付层面，给出可复现的实验流程、基线对比与消融验证，使系统不仅“能跑”，而且能够说明“为什么这样设计是必要的”。</w:t>
      </w:r>
    </w:p>
    <w:p w14:paraId="09250991">
      <w:pPr>
        <w:spacing w:line="360" w:lineRule="auto"/>
        <w:outlineLvl w:val="1"/>
        <w:rPr>
          <w:rFonts w:hint="eastAsia" w:ascii="黑体" w:hAnsi="黑体" w:eastAsia="黑体"/>
          <w:b/>
          <w:sz w:val="44"/>
        </w:rPr>
      </w:pPr>
      <w:bookmarkStart w:id="10" w:name="Transshield_TOC_section_1_4"/>
      <w:bookmarkStart w:id="11" w:name="_Toc230691145"/>
      <w:r>
        <w:rPr>
          <w:rFonts w:hint="eastAsia" w:ascii="黑体" w:hAnsi="黑体" w:eastAsia="黑体"/>
          <w:b/>
          <w:sz w:val="24"/>
        </w:rPr>
        <w:t>1.4 相关工作与技术定位</w:t>
      </w:r>
      <w:bookmarkEnd w:id="10"/>
      <w:bookmarkEnd w:id="11"/>
    </w:p>
    <w:p w14:paraId="6CECBD7D">
      <w:pPr>
        <w:spacing w:line="360" w:lineRule="auto"/>
        <w:ind w:firstLine="480"/>
        <w:rPr>
          <w:rFonts w:hint="eastAsia" w:ascii="宋体" w:hAnsi="宋体"/>
          <w:sz w:val="24"/>
        </w:rPr>
      </w:pPr>
      <w:r>
        <w:rPr>
          <w:rFonts w:hint="eastAsia" w:ascii="宋体" w:hAnsi="宋体"/>
          <w:sz w:val="24"/>
        </w:rPr>
        <w:t>在隐私保护视觉 Transformer 推理方向，已有研究开始关注如何在不暴露用户输入的前提下完成密态分类任务。其中，基于秘密共享的轻量级隐私保护 ViT 推理框架 SViT 是一条具有代表性的技术路线。该工作采用两个边缘服务器协同执行安全计算协议，并围绕 ViT-B/16 的关键非线性模块构建了 SExp、SDiv、SSqrt、SLayerNorm、SSoftmax、SGeLU 等协议，在保持原始 ViT-B/16 结构不变的前提下完成安全推理[13]。对于 ViT 路线，其核心注意力计算通常可写为式（1-1）：</w:t>
      </w:r>
    </w:p>
    <w:p w14:paraId="512E5EFE">
      <w:pPr>
        <w:spacing w:line="360" w:lineRule="auto"/>
        <w:ind w:firstLine="480"/>
        <w:rPr>
          <w:rFonts w:hint="eastAsia" w:ascii="宋体" w:hAnsi="宋体"/>
          <w:sz w:val="24"/>
        </w:rPr>
      </w:pPr>
      <m:oMathPara>
        <m:oMath>
          <m:r>
            <m:rPr>
              <m:sty m:val="p"/>
            </m:rPr>
            <w:rPr>
              <w:rFonts w:ascii="Cambria Math" w:hAnsi="Cambria Math"/>
              <w:sz w:val="24"/>
            </w:rPr>
            <m:t xml:space="preserve"> Attention</m:t>
          </m:r>
          <m:r>
            <m:rPr/>
            <w:rPr>
              <w:rFonts w:ascii="Cambria Math" w:hAnsi="Cambria Math"/>
              <w:sz w:val="24"/>
            </w:rPr>
            <m:t>(Q,K,V)=</m:t>
          </m:r>
          <m:r>
            <m:rPr>
              <m:sty m:val="p"/>
            </m:rPr>
            <w:rPr>
              <w:rFonts w:ascii="Cambria Math" w:hAnsi="Cambria Math"/>
              <w:sz w:val="24"/>
            </w:rPr>
            <m:t>Softmax</m:t>
          </m:r>
          <m:d>
            <m:dPr>
              <m:ctrlPr>
                <w:rPr>
                  <w:rFonts w:ascii="Cambria Math" w:hAnsi="Cambria Math"/>
                  <w:i/>
                  <w:sz w:val="24"/>
                </w:rPr>
              </m:ctrlPr>
            </m:dPr>
            <m:e>
              <m:f>
                <m:fPr>
                  <m:ctrlPr>
                    <w:rPr>
                      <w:rFonts w:ascii="Cambria Math" w:hAnsi="Cambria Math"/>
                      <w:i/>
                      <w:sz w:val="24"/>
                    </w:rPr>
                  </m:ctrlPr>
                </m:fPr>
                <m:num>
                  <m:r>
                    <m:rPr/>
                    <w:rPr>
                      <w:rFonts w:ascii="Cambria Math" w:hAnsi="Cambria Math"/>
                      <w:sz w:val="24"/>
                    </w:rPr>
                    <m:t>Q</m:t>
                  </m:r>
                  <m:sSup>
                    <m:sSupPr>
                      <m:ctrlPr>
                        <w:rPr>
                          <w:rFonts w:ascii="Cambria Math" w:hAnsi="Cambria Math"/>
                          <w:sz w:val="24"/>
                        </w:rPr>
                      </m:ctrlPr>
                    </m:sSupPr>
                    <m:e>
                      <m:r>
                        <m:rPr/>
                        <w:rPr>
                          <w:rFonts w:ascii="Cambria Math" w:hAnsi="Cambria Math"/>
                          <w:sz w:val="24"/>
                        </w:rPr>
                        <m:t>K</m:t>
                      </m:r>
                      <m:ctrlPr>
                        <w:rPr>
                          <w:rFonts w:ascii="Cambria Math" w:hAnsi="Cambria Math"/>
                          <w:sz w:val="24"/>
                        </w:rPr>
                      </m:ctrlPr>
                    </m:e>
                    <m:sup>
                      <m:r>
                        <m:rPr/>
                        <w:rPr>
                          <w:rFonts w:ascii="Cambria Math" w:hAnsi="Cambria Math"/>
                          <w:sz w:val="24"/>
                        </w:rPr>
                        <m:t>⊤</m:t>
                      </m:r>
                      <m:ctrlPr>
                        <w:rPr>
                          <w:rFonts w:ascii="Cambria Math" w:hAnsi="Cambria Math"/>
                          <w:sz w:val="24"/>
                        </w:rPr>
                      </m:ctrlPr>
                    </m:sup>
                  </m:sSup>
                  <m:ctrlPr>
                    <w:rPr>
                      <w:rFonts w:ascii="Cambria Math" w:hAnsi="Cambria Math"/>
                      <w:sz w:val="24"/>
                    </w:rPr>
                  </m:ctrlPr>
                </m:num>
                <m:den>
                  <m:rad>
                    <m:radPr>
                      <m:degHide m:val="1"/>
                      <m:ctrlPr>
                        <w:rPr>
                          <w:rFonts w:ascii="Cambria Math" w:hAnsi="Cambria Math"/>
                          <w:i/>
                          <w:sz w:val="24"/>
                        </w:rPr>
                      </m:ctrlPr>
                    </m:radPr>
                    <m:deg>
                      <m:ctrlPr>
                        <w:rPr>
                          <w:rFonts w:ascii="Cambria Math" w:hAnsi="Cambria Math"/>
                          <w:sz w:val="24"/>
                        </w:rPr>
                      </m:ctrlPr>
                    </m:deg>
                    <m:e>
                      <m:sSub>
                        <m:sSubPr>
                          <m:ctrlPr>
                            <w:rPr>
                              <w:rFonts w:ascii="Cambria Math" w:hAnsi="Cambria Math"/>
                              <w:sz w:val="24"/>
                            </w:rPr>
                          </m:ctrlPr>
                        </m:sSubPr>
                        <m:e>
                          <m:r>
                            <m:rPr/>
                            <w:rPr>
                              <w:rFonts w:ascii="Cambria Math" w:hAnsi="Cambria Math"/>
                              <w:sz w:val="24"/>
                            </w:rPr>
                            <m:t>d</m:t>
                          </m:r>
                          <m:ctrlPr>
                            <w:rPr>
                              <w:rFonts w:ascii="Cambria Math" w:hAnsi="Cambria Math"/>
                              <w:sz w:val="24"/>
                            </w:rPr>
                          </m:ctrlPr>
                        </m:e>
                        <m:sub>
                          <m:r>
                            <m:rPr/>
                            <w:rPr>
                              <w:rFonts w:ascii="Cambria Math" w:hAnsi="Cambria Math"/>
                              <w:sz w:val="24"/>
                            </w:rPr>
                            <m:t>k</m:t>
                          </m:r>
                          <m:ctrlPr>
                            <w:rPr>
                              <w:rFonts w:ascii="Cambria Math" w:hAnsi="Cambria Math"/>
                              <w:sz w:val="24"/>
                            </w:rPr>
                          </m:ctrlPr>
                        </m:sub>
                      </m:sSub>
                      <m:ctrlPr>
                        <w:rPr>
                          <w:rFonts w:ascii="Cambria Math" w:hAnsi="Cambria Math"/>
                          <w:sz w:val="24"/>
                        </w:rPr>
                      </m:ctrlPr>
                    </m:e>
                  </m:rad>
                  <m:ctrlPr>
                    <w:rPr>
                      <w:rFonts w:ascii="Cambria Math" w:hAnsi="Cambria Math"/>
                      <w:i/>
                      <w:sz w:val="24"/>
                    </w:rPr>
                  </m:ctrlPr>
                </m:den>
              </m:f>
              <m:ctrlPr>
                <w:rPr>
                  <w:rFonts w:ascii="Cambria Math" w:hAnsi="Cambria Math"/>
                  <w:i/>
                  <w:sz w:val="24"/>
                </w:rPr>
              </m:ctrlPr>
            </m:e>
          </m:d>
          <m:r>
            <m:rPr/>
            <w:rPr>
              <w:rFonts w:ascii="Cambria Math" w:hAnsi="Cambria Math"/>
              <w:sz w:val="24"/>
            </w:rPr>
            <m:t>V                (1−1)</m:t>
          </m:r>
          <m:r>
            <m:rPr>
              <m:sty m:val="p"/>
            </m:rPr>
            <w:rPr>
              <w:rFonts w:ascii="Cambria Math" w:hAnsi="Cambria Math"/>
              <w:sz w:val="24"/>
            </w:rPr>
            <m:t xml:space="preserve">   </m:t>
          </m:r>
        </m:oMath>
      </m:oMathPara>
    </w:p>
    <w:p w14:paraId="7AFF1667">
      <w:pPr>
        <w:spacing w:line="360" w:lineRule="auto"/>
        <w:ind w:firstLine="480"/>
        <w:rPr>
          <w:rFonts w:hint="eastAsia" w:ascii="宋体" w:hAnsi="宋体"/>
          <w:sz w:val="24"/>
        </w:rPr>
      </w:pPr>
      <w:r>
        <w:rPr>
          <w:rFonts w:hint="eastAsia" w:ascii="宋体" w:hAnsi="宋体"/>
          <w:sz w:val="24"/>
        </w:rPr>
        <w:t>该类工作的主要启发在于：对于隐私保护 ViT 系统，性能优化不一定只能依赖模型压缩或结构删减，也可以通过专门设计安全算子协议来降低在线计算与通信开销。文献[13]给出的结果表明，相比 CrypTen，其框架在计算效率和在线通信开销方面分别可提升约 2~6 倍和 4~14 倍，这说明“围绕算子协议进行优化”本身就是一条有效路线。</w:t>
      </w:r>
    </w:p>
    <w:p w14:paraId="270B6F58">
      <w:pPr>
        <w:spacing w:line="360" w:lineRule="auto"/>
        <w:ind w:firstLine="480"/>
        <w:rPr>
          <w:rFonts w:hint="eastAsia" w:ascii="宋体" w:hAnsi="宋体"/>
          <w:sz w:val="24"/>
        </w:rPr>
      </w:pPr>
      <w:r>
        <w:rPr>
          <w:rFonts w:hint="eastAsia" w:ascii="宋体" w:hAnsi="宋体"/>
          <w:sz w:val="24"/>
        </w:rPr>
        <w:t>但与本作品相比，SViT 的目标和系统边界并不完全相同。SViT 更强调在固定 ViT 结构下优化安全协议效率，采用的是两个边缘服务器加可信第三方离线辅助的体系；而本作品关注的是在不引入额外可信第三方的前提下，实现面向 DynamicViT 的双向隐私推理，并将动态词元剪枝边界重写为固定图下可执行的密态语义，同时补齐浏览器工作线程、服务端权威快检与审计链闭环。因此，SViT 更适合作为本作品的相关工作与技术参照，而不是对本作品主线的直接替代。</w:t>
      </w:r>
    </w:p>
    <w:p w14:paraId="7CBB5B9B">
      <w:pPr>
        <w:rPr>
          <w:rFonts w:hint="eastAsia" w:ascii="宋体" w:hAnsi="宋体"/>
          <w:sz w:val="24"/>
        </w:rPr>
      </w:pPr>
      <w:r>
        <w:rPr>
          <w:rFonts w:hint="eastAsia" w:ascii="宋体" w:hAnsi="宋体"/>
          <w:sz w:val="24"/>
        </w:rPr>
        <w:br w:type="page"/>
      </w:r>
    </w:p>
    <w:p w14:paraId="3AB644F1">
      <w:pPr>
        <w:pStyle w:val="2"/>
        <w:jc w:val="center"/>
      </w:pPr>
      <w:bookmarkStart w:id="12" w:name="Transshield_TOC_chapter_2"/>
      <w:bookmarkStart w:id="13" w:name="_Toc230691146"/>
      <w:r>
        <w:rPr>
          <w:rFonts w:ascii="黑体" w:hAnsi="黑体" w:eastAsia="黑体"/>
        </w:rPr>
        <w:t>第二章 系统设计</w:t>
      </w:r>
      <w:bookmarkEnd w:id="12"/>
      <w:bookmarkEnd w:id="13"/>
    </w:p>
    <w:p w14:paraId="7D7FA04C">
      <w:pPr>
        <w:spacing w:line="360" w:lineRule="auto"/>
        <w:outlineLvl w:val="1"/>
      </w:pPr>
      <w:bookmarkStart w:id="14" w:name="_Toc230691147"/>
      <w:bookmarkStart w:id="15" w:name="Transshield_TOC_section_2_1"/>
      <w:r>
        <w:rPr>
          <w:rFonts w:ascii="黑体" w:hAnsi="黑体" w:eastAsia="黑体"/>
          <w:b/>
          <w:sz w:val="24"/>
        </w:rPr>
        <w:t>2.1 总体架构</w:t>
      </w:r>
      <w:bookmarkEnd w:id="14"/>
      <w:bookmarkEnd w:id="15"/>
    </w:p>
    <w:p w14:paraId="24358024">
      <w:pPr>
        <w:spacing w:line="360" w:lineRule="auto"/>
        <w:ind w:firstLine="480"/>
      </w:pPr>
      <w:r>
        <w:rPr>
          <w:rFonts w:ascii="宋体" w:hAnsi="宋体"/>
          <w:sz w:val="24"/>
        </w:rPr>
        <w:t>系统由医院终端、本地浏览器工作线程、跨域传输通道、业务侧前置网关、服务端权威快检层和两方安全执行域共同组成。明文图像仅在浏览器工作线程中完成解码、裁剪、归一化、数据质量评估与分片生成，跨越信任边界后仅传输密态分片（share）、结构化元数据和审计摘要；服务端在进入 SPU 计算前完成协议与张量合法性检查，随后由两方安全执行链路联合输出最终分类结果。</w:t>
      </w:r>
    </w:p>
    <w:p w14:paraId="3381BAB9">
      <w:pPr>
        <w:spacing w:line="360" w:lineRule="auto"/>
        <w:ind w:firstLine="480"/>
      </w:pPr>
      <w:r>
        <w:rPr>
          <w:rFonts w:ascii="宋体" w:hAnsi="宋体"/>
          <w:sz w:val="24"/>
        </w:rPr>
        <w:t>图 2-1 采用按信任边界分区的部署拓扑：左侧为医院终端与本地明文处理域，中间为广域网与隔离缓冲区（wide area network / demilitarized zone, WAN/DMZ）传输边界，右侧为业务侧前置网关、服务端权威快检层与参与方安全执行域。图中显式标注了明文终止点和密态分片生成起点，并以差异化图例区分本地明文处理与跨边界密态通信。</w:t>
      </w:r>
    </w:p>
    <w:p w14:paraId="12E5164A">
      <w:pPr>
        <w:spacing w:line="360" w:lineRule="auto"/>
        <w:jc w:val="center"/>
      </w:pPr>
      <w:r>
        <w:rPr>
          <w:rFonts w:hint="eastAsia"/>
        </w:rPr>
        <w:drawing>
          <wp:inline distT="0" distB="0" distL="114300" distR="114300">
            <wp:extent cx="5597525" cy="3396615"/>
            <wp:effectExtent l="0" t="0" r="3175" b="6985"/>
            <wp:docPr id="15" name="图片 15" descr="f61d9f31-548b-44af-8295-9ae299dc2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61d9f31-548b-44af-8295-9ae299dc2848"/>
                    <pic:cNvPicPr>
                      <a:picLocks noChangeAspect="1"/>
                    </pic:cNvPicPr>
                  </pic:nvPicPr>
                  <pic:blipFill>
                    <a:blip r:embed="rId5"/>
                    <a:stretch>
                      <a:fillRect/>
                    </a:stretch>
                  </pic:blipFill>
                  <pic:spPr>
                    <a:xfrm>
                      <a:off x="0" y="0"/>
                      <a:ext cx="5597525" cy="3396615"/>
                    </a:xfrm>
                    <a:prstGeom prst="rect">
                      <a:avLst/>
                    </a:prstGeom>
                  </pic:spPr>
                </pic:pic>
              </a:graphicData>
            </a:graphic>
          </wp:inline>
        </w:drawing>
      </w:r>
    </w:p>
    <w:p w14:paraId="7994C881">
      <w:pPr>
        <w:spacing w:line="288" w:lineRule="auto"/>
        <w:jc w:val="center"/>
      </w:pPr>
      <w:r>
        <w:rPr>
          <w:rFonts w:ascii="宋体" w:hAnsi="宋体"/>
          <w:sz w:val="20"/>
        </w:rPr>
        <w:t>图2-1 系统物理与逻辑部署图：绿色实线表示本地明文处理，红色虚线与锁图标表示跨越信任边界的密态分片与张量通信。</w:t>
      </w:r>
    </w:p>
    <w:p w14:paraId="473B3F72">
      <w:pPr>
        <w:spacing w:line="360" w:lineRule="auto"/>
        <w:outlineLvl w:val="1"/>
        <w:rPr>
          <w:rFonts w:hint="eastAsia" w:ascii="黑体" w:hAnsi="黑体" w:eastAsia="黑体"/>
          <w:b/>
          <w:sz w:val="24"/>
        </w:rPr>
      </w:pPr>
      <w:bookmarkStart w:id="16" w:name="Transshield_TOC_section_2_3"/>
      <w:bookmarkStart w:id="17" w:name="_Toc230691149"/>
      <w:bookmarkStart w:id="18" w:name="Transshield_TOC_section_2_2"/>
      <w:bookmarkStart w:id="19" w:name="_Toc230691148"/>
      <w:r>
        <w:rPr>
          <w:rFonts w:ascii="黑体" w:hAnsi="黑体" w:eastAsia="黑体"/>
          <w:b/>
          <w:sz w:val="24"/>
        </w:rPr>
        <w:t>2.3 软件流程</w:t>
      </w:r>
      <w:bookmarkEnd w:id="16"/>
      <w:bookmarkEnd w:id="17"/>
    </w:p>
    <w:p w14:paraId="4D935318">
      <w:pPr>
        <w:spacing w:line="360" w:lineRule="auto"/>
        <w:ind w:firstLine="480"/>
      </w:pPr>
      <w:r>
        <w:rPr>
          <w:rFonts w:ascii="宋体" w:hAnsi="宋体"/>
          <w:sz w:val="24"/>
        </w:rPr>
        <w:t>图 2-2 给出了完整的软件流转时序。主线程仅负责本地影像加载、预览和请求编排；浏览器工作线程独立完成图像解码、裁剪、数据质量评估指标提取、审计链构建与分片序列化；服务端首先执行原始报文体、边界参数、报文头与多部件结构校验，再对结构化元数据、密态分片与重构张量进行权威快检，全部通过后方可进入 SPU 密态前向计算。最终结果回传时同时包含分类结论、质量裁决、审计摘要与控制面开销，使展示链路与安全链路保持一致。</w:t>
      </w:r>
    </w:p>
    <w:p w14:paraId="3B04B011">
      <w:pPr>
        <w:tabs>
          <w:tab w:val="center" w:pos="4470"/>
          <w:tab w:val="left" w:pos="5458"/>
        </w:tabs>
        <w:spacing w:line="360" w:lineRule="auto"/>
        <w:jc w:val="left"/>
      </w:pPr>
      <w:r>
        <w:rPr>
          <w:rFonts w:hint="eastAsia" w:ascii="宋体" w:hAnsi="宋体" w:cs="宋体"/>
          <w:sz w:val="24"/>
        </w:rPr>
        <w:tab/>
      </w:r>
      <w:r>
        <w:rPr>
          <w:rFonts w:hint="eastAsia" w:ascii="宋体" w:hAnsi="宋体" w:cs="宋体"/>
          <w:sz w:val="24"/>
        </w:rPr>
        <w:drawing>
          <wp:inline distT="0" distB="0" distL="114300" distR="114300">
            <wp:extent cx="5591175" cy="3324860"/>
            <wp:effectExtent l="0" t="0" r="9525" b="2540"/>
            <wp:docPr id="13" name="图片 13" descr="717c457a-18f2-42ee-8538-3022092e4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17c457a-18f2-42ee-8538-3022092e4dbf"/>
                    <pic:cNvPicPr>
                      <a:picLocks noChangeAspect="1"/>
                    </pic:cNvPicPr>
                  </pic:nvPicPr>
                  <pic:blipFill>
                    <a:blip r:embed="rId6"/>
                    <a:stretch>
                      <a:fillRect/>
                    </a:stretch>
                  </pic:blipFill>
                  <pic:spPr>
                    <a:xfrm>
                      <a:off x="0" y="0"/>
                      <a:ext cx="5591175" cy="3324860"/>
                    </a:xfrm>
                    <a:prstGeom prst="rect">
                      <a:avLst/>
                    </a:prstGeom>
                  </pic:spPr>
                </pic:pic>
              </a:graphicData>
            </a:graphic>
          </wp:inline>
        </w:drawing>
      </w:r>
      <w:r>
        <w:rPr>
          <w:rFonts w:hint="eastAsia" w:ascii="宋体" w:hAnsi="宋体" w:cs="宋体"/>
          <w:sz w:val="24"/>
        </w:rPr>
        <w:tab/>
      </w:r>
    </w:p>
    <w:p w14:paraId="0169C96B">
      <w:pPr>
        <w:spacing w:line="288" w:lineRule="auto"/>
        <w:jc w:val="left"/>
        <w:rPr>
          <w:sz w:val="24"/>
        </w:rPr>
      </w:pPr>
      <w:r>
        <w:rPr>
          <w:rFonts w:ascii="宋体" w:hAnsi="宋体"/>
          <w:sz w:val="24"/>
        </w:rPr>
        <w:t>图2-2 端到端软件流转时序图：明文仅停留在浏览器工作线程域内，跨域仅传输密态分片与审计摘要。</w:t>
      </w:r>
    </w:p>
    <w:p w14:paraId="5BDD02D5">
      <w:pPr>
        <w:spacing w:line="360" w:lineRule="auto"/>
        <w:outlineLvl w:val="1"/>
        <w:rPr>
          <w:rFonts w:hint="eastAsia" w:ascii="黑体" w:hAnsi="黑体" w:eastAsia="黑体"/>
          <w:b/>
          <w:sz w:val="24"/>
        </w:rPr>
      </w:pPr>
      <w:r>
        <w:rPr>
          <w:rFonts w:ascii="黑体" w:hAnsi="黑体" w:eastAsia="黑体"/>
          <w:b/>
          <w:sz w:val="24"/>
        </w:rPr>
        <w:t>2.2 威胁模型与安全边界</w:t>
      </w:r>
      <w:bookmarkEnd w:id="18"/>
      <w:bookmarkEnd w:id="19"/>
    </w:p>
    <w:p w14:paraId="48C29CE4">
      <w:pPr>
        <w:spacing w:line="360" w:lineRule="auto"/>
        <w:ind w:firstLine="480"/>
        <w:rPr>
          <w:rFonts w:hint="eastAsia" w:ascii="宋体" w:hAnsi="宋体"/>
          <w:sz w:val="24"/>
        </w:rPr>
      </w:pPr>
      <w:r>
        <w:rPr>
          <w:rFonts w:hint="eastAsia" w:ascii="宋体" w:hAnsi="宋体"/>
          <w:sz w:val="24"/>
        </w:rPr>
        <w:t>本作品采用两方半诚实威胁模型。系统中，医院终端持有原始输入数据，模型持有方与协同计算方分别持有安全执行域中的不同份额。参与方均遵循协议执行，但可能试图从交互过程中推断对方的隐私信息。系统假设两方不串谋，且不考虑恶意篡改协议、主动注入畸形中间值或侧信道攻击等更强对抗情形。</w:t>
      </w:r>
    </w:p>
    <w:p w14:paraId="6D09A5CD">
      <w:pPr>
        <w:spacing w:line="360" w:lineRule="auto"/>
        <w:ind w:firstLine="480"/>
        <w:rPr>
          <w:rFonts w:hint="eastAsia" w:ascii="宋体" w:hAnsi="宋体"/>
          <w:sz w:val="24"/>
        </w:rPr>
      </w:pPr>
      <w:r>
        <w:rPr>
          <w:rFonts w:hint="eastAsia" w:ascii="宋体" w:hAnsi="宋体"/>
          <w:sz w:val="24"/>
        </w:rPr>
        <w:t>本作品保护的对象包括：原始影像、模型参数、中间特征、动态剪枝路径以及最终推理结果；系统允许暴露的对象仅包括最小必要的结构化元数据、审计摘要和最终分类结论。本文不声称覆盖生产环境中所有攻击面，尤其不覆盖恶意共谋、模型抽取、物理侧信道和输出反推风险。</w:t>
      </w:r>
      <w:r>
        <w:rPr>
          <w:rFonts w:ascii="宋体" w:hAnsi="宋体" w:cs="宋体"/>
          <w:sz w:val="24"/>
        </w:rPr>
        <w:t>系统的威胁模型、保护对象与安全边界核心定义如表 1 所示。</w:t>
      </w:r>
    </w:p>
    <w:p w14:paraId="262A948C">
      <w:pPr>
        <w:spacing w:line="360" w:lineRule="auto"/>
        <w:jc w:val="center"/>
        <w:rPr>
          <w:rFonts w:hint="eastAsia" w:ascii="宋体" w:hAnsi="宋体"/>
          <w:sz w:val="24"/>
        </w:rPr>
      </w:pPr>
      <w:r>
        <w:rPr>
          <w:rFonts w:ascii="宋体" w:hAnsi="宋体" w:cs="宋体"/>
          <w:sz w:val="24"/>
        </w:rPr>
        <w:t>表 1 系统威胁模型与安全边界定义</w:t>
      </w:r>
    </w:p>
    <w:tbl>
      <w:tblPr>
        <w:tblStyle w:val="7"/>
        <w:tblW w:w="8820" w:type="dxa"/>
        <w:jc w:val="center"/>
        <w:tblLayout w:type="autofit"/>
        <w:tblCellMar>
          <w:top w:w="0" w:type="dxa"/>
          <w:left w:w="108" w:type="dxa"/>
          <w:bottom w:w="0" w:type="dxa"/>
          <w:right w:w="108" w:type="dxa"/>
        </w:tblCellMar>
      </w:tblPr>
      <w:tblGrid>
        <w:gridCol w:w="1436"/>
        <w:gridCol w:w="7384"/>
      </w:tblGrid>
      <w:tr w14:paraId="2B5EC4B1">
        <w:tblPrEx>
          <w:tblCellMar>
            <w:top w:w="0" w:type="dxa"/>
            <w:left w:w="108" w:type="dxa"/>
            <w:bottom w:w="0" w:type="dxa"/>
            <w:right w:w="108" w:type="dxa"/>
          </w:tblCellMar>
        </w:tblPrEx>
        <w:trPr>
          <w:tblHeader/>
          <w:jc w:val="center"/>
        </w:trPr>
        <w:tc>
          <w:tcPr>
            <w:tcW w:w="1436" w:type="dxa"/>
            <w:tcBorders>
              <w:top w:val="single" w:color="auto" w:sz="12" w:space="0"/>
              <w:left w:val="nil"/>
              <w:bottom w:val="nil"/>
              <w:right w:val="nil"/>
            </w:tcBorders>
            <w:tcMar>
              <w:top w:w="-1" w:type="dxa"/>
              <w:left w:w="-1" w:type="dxa"/>
              <w:bottom w:w="-1" w:type="dxa"/>
              <w:right w:w="-1" w:type="dxa"/>
            </w:tcMar>
            <w:vAlign w:val="center"/>
          </w:tcPr>
          <w:p w14:paraId="4A918810">
            <w:pPr>
              <w:keepNext/>
              <w:snapToGrid w:val="0"/>
              <w:jc w:val="center"/>
              <w:rPr>
                <w:rFonts w:ascii="宋体"/>
                <w:b/>
                <w:sz w:val="24"/>
              </w:rPr>
            </w:pPr>
            <w:r>
              <w:rPr>
                <w:rFonts w:ascii="宋体" w:hAnsi="宋体"/>
                <w:b/>
                <w:sz w:val="24"/>
              </w:rPr>
              <w:t>项目</w:t>
            </w:r>
          </w:p>
        </w:tc>
        <w:tc>
          <w:tcPr>
            <w:tcW w:w="7384" w:type="dxa"/>
            <w:tcBorders>
              <w:top w:val="single" w:color="auto" w:sz="12" w:space="0"/>
              <w:left w:val="nil"/>
              <w:bottom w:val="nil"/>
              <w:right w:val="nil"/>
            </w:tcBorders>
            <w:tcMar>
              <w:top w:w="-1" w:type="dxa"/>
              <w:left w:w="-1" w:type="dxa"/>
              <w:bottom w:w="-1" w:type="dxa"/>
              <w:right w:w="-1" w:type="dxa"/>
            </w:tcMar>
            <w:vAlign w:val="center"/>
          </w:tcPr>
          <w:p w14:paraId="4C1DB969">
            <w:pPr>
              <w:keepNext/>
              <w:snapToGrid w:val="0"/>
              <w:jc w:val="center"/>
              <w:rPr>
                <w:rFonts w:ascii="宋体"/>
                <w:b/>
                <w:sz w:val="24"/>
              </w:rPr>
            </w:pPr>
            <w:r>
              <w:rPr>
                <w:rFonts w:ascii="宋体" w:hAnsi="宋体"/>
                <w:b/>
                <w:sz w:val="24"/>
              </w:rPr>
              <w:t>说明</w:t>
            </w:r>
          </w:p>
        </w:tc>
      </w:tr>
      <w:tr w14:paraId="4645C191">
        <w:tblPrEx>
          <w:tblCellMar>
            <w:top w:w="0" w:type="dxa"/>
            <w:left w:w="108" w:type="dxa"/>
            <w:bottom w:w="0" w:type="dxa"/>
            <w:right w:w="108" w:type="dxa"/>
          </w:tblCellMar>
        </w:tblPrEx>
        <w:trPr>
          <w:jc w:val="center"/>
        </w:trPr>
        <w:tc>
          <w:tcPr>
            <w:tcW w:w="1436" w:type="dxa"/>
            <w:tcBorders>
              <w:top w:val="single" w:color="auto" w:sz="4" w:space="0"/>
              <w:left w:val="nil"/>
              <w:bottom w:val="nil"/>
              <w:right w:val="nil"/>
            </w:tcBorders>
            <w:tcMar>
              <w:top w:w="-1" w:type="dxa"/>
              <w:left w:w="-1" w:type="dxa"/>
              <w:bottom w:w="-1" w:type="dxa"/>
              <w:right w:w="-1" w:type="dxa"/>
            </w:tcMar>
            <w:vAlign w:val="center"/>
          </w:tcPr>
          <w:p w14:paraId="6DAC8214">
            <w:pPr>
              <w:keepNext/>
              <w:snapToGrid w:val="0"/>
              <w:jc w:val="center"/>
              <w:rPr>
                <w:rFonts w:ascii="宋体"/>
                <w:sz w:val="24"/>
              </w:rPr>
            </w:pPr>
            <w:r>
              <w:rPr>
                <w:rFonts w:ascii="宋体" w:hAnsi="宋体"/>
                <w:sz w:val="24"/>
              </w:rPr>
              <w:t>保护对象</w:t>
            </w:r>
          </w:p>
        </w:tc>
        <w:tc>
          <w:tcPr>
            <w:tcW w:w="7384" w:type="dxa"/>
            <w:tcBorders>
              <w:top w:val="single" w:color="auto" w:sz="4" w:space="0"/>
              <w:left w:val="nil"/>
              <w:bottom w:val="nil"/>
              <w:right w:val="nil"/>
            </w:tcBorders>
            <w:tcMar>
              <w:top w:w="-1" w:type="dxa"/>
              <w:left w:w="-1" w:type="dxa"/>
              <w:bottom w:w="-1" w:type="dxa"/>
              <w:right w:w="-1" w:type="dxa"/>
            </w:tcMar>
            <w:vAlign w:val="center"/>
          </w:tcPr>
          <w:p w14:paraId="0E0739EC">
            <w:pPr>
              <w:keepNext/>
              <w:snapToGrid w:val="0"/>
              <w:jc w:val="left"/>
              <w:rPr>
                <w:rFonts w:ascii="宋体"/>
                <w:sz w:val="24"/>
              </w:rPr>
            </w:pPr>
            <w:r>
              <w:rPr>
                <w:rFonts w:ascii="宋体" w:hAnsi="宋体"/>
                <w:sz w:val="24"/>
              </w:rPr>
              <w:t>用户输入数据、模型参数、中间动态决策状态、审计与控制面证据</w:t>
            </w:r>
          </w:p>
        </w:tc>
      </w:tr>
      <w:tr w14:paraId="526ADE28">
        <w:tblPrEx>
          <w:tblCellMar>
            <w:top w:w="0" w:type="dxa"/>
            <w:left w:w="108" w:type="dxa"/>
            <w:bottom w:w="0" w:type="dxa"/>
            <w:right w:w="108" w:type="dxa"/>
          </w:tblCellMar>
        </w:tblPrEx>
        <w:trPr>
          <w:jc w:val="center"/>
        </w:trPr>
        <w:tc>
          <w:tcPr>
            <w:tcW w:w="1436" w:type="dxa"/>
            <w:tcBorders>
              <w:top w:val="nil"/>
              <w:left w:val="nil"/>
              <w:bottom w:val="nil"/>
              <w:right w:val="nil"/>
            </w:tcBorders>
            <w:tcMar>
              <w:top w:w="-1" w:type="dxa"/>
              <w:left w:w="-1" w:type="dxa"/>
              <w:bottom w:w="-1" w:type="dxa"/>
              <w:right w:w="-1" w:type="dxa"/>
            </w:tcMar>
            <w:vAlign w:val="center"/>
          </w:tcPr>
          <w:p w14:paraId="7D1F9F4E">
            <w:pPr>
              <w:keepNext/>
              <w:snapToGrid w:val="0"/>
              <w:jc w:val="center"/>
              <w:rPr>
                <w:rFonts w:ascii="宋体"/>
                <w:sz w:val="24"/>
              </w:rPr>
            </w:pPr>
            <w:r>
              <w:rPr>
                <w:rFonts w:ascii="宋体" w:hAnsi="宋体"/>
                <w:sz w:val="24"/>
              </w:rPr>
              <w:t>参与方</w:t>
            </w:r>
          </w:p>
        </w:tc>
        <w:tc>
          <w:tcPr>
            <w:tcW w:w="7384" w:type="dxa"/>
            <w:tcBorders>
              <w:top w:val="nil"/>
              <w:left w:val="nil"/>
              <w:bottom w:val="nil"/>
              <w:right w:val="nil"/>
            </w:tcBorders>
            <w:tcMar>
              <w:top w:w="-1" w:type="dxa"/>
              <w:left w:w="-1" w:type="dxa"/>
              <w:bottom w:w="-1" w:type="dxa"/>
              <w:right w:w="-1" w:type="dxa"/>
            </w:tcMar>
            <w:vAlign w:val="center"/>
          </w:tcPr>
          <w:p w14:paraId="412F660D">
            <w:pPr>
              <w:keepNext/>
              <w:snapToGrid w:val="0"/>
              <w:jc w:val="left"/>
              <w:rPr>
                <w:rFonts w:ascii="宋体"/>
                <w:sz w:val="24"/>
              </w:rPr>
            </w:pPr>
            <w:r>
              <w:rPr>
                <w:rFonts w:ascii="宋体" w:hAnsi="宋体"/>
                <w:sz w:val="24"/>
              </w:rPr>
              <w:t>医院终端浏览器、浏览器工作线程、业务侧前置网关、服务端快检模块、两方 SPU 节点</w:t>
            </w:r>
          </w:p>
        </w:tc>
      </w:tr>
      <w:tr w14:paraId="70030A25">
        <w:tblPrEx>
          <w:tblCellMar>
            <w:top w:w="0" w:type="dxa"/>
            <w:left w:w="108" w:type="dxa"/>
            <w:bottom w:w="0" w:type="dxa"/>
            <w:right w:w="108" w:type="dxa"/>
          </w:tblCellMar>
        </w:tblPrEx>
        <w:trPr>
          <w:jc w:val="center"/>
        </w:trPr>
        <w:tc>
          <w:tcPr>
            <w:tcW w:w="1436" w:type="dxa"/>
            <w:tcBorders>
              <w:top w:val="nil"/>
              <w:left w:val="nil"/>
              <w:bottom w:val="nil"/>
              <w:right w:val="nil"/>
            </w:tcBorders>
            <w:tcMar>
              <w:top w:w="-1" w:type="dxa"/>
              <w:left w:w="-1" w:type="dxa"/>
              <w:bottom w:w="-1" w:type="dxa"/>
              <w:right w:w="-1" w:type="dxa"/>
            </w:tcMar>
            <w:vAlign w:val="center"/>
          </w:tcPr>
          <w:p w14:paraId="68D991C6">
            <w:pPr>
              <w:keepNext/>
              <w:snapToGrid w:val="0"/>
              <w:jc w:val="center"/>
              <w:rPr>
                <w:rFonts w:ascii="宋体"/>
                <w:sz w:val="24"/>
              </w:rPr>
            </w:pPr>
            <w:r>
              <w:rPr>
                <w:rFonts w:ascii="宋体" w:hAnsi="宋体"/>
                <w:sz w:val="24"/>
              </w:rPr>
              <w:t>攻击者能力</w:t>
            </w:r>
          </w:p>
        </w:tc>
        <w:tc>
          <w:tcPr>
            <w:tcW w:w="7384" w:type="dxa"/>
            <w:tcBorders>
              <w:top w:val="nil"/>
              <w:left w:val="nil"/>
              <w:bottom w:val="nil"/>
              <w:right w:val="nil"/>
            </w:tcBorders>
            <w:tcMar>
              <w:top w:w="-1" w:type="dxa"/>
              <w:left w:w="-1" w:type="dxa"/>
              <w:bottom w:w="-1" w:type="dxa"/>
              <w:right w:w="-1" w:type="dxa"/>
            </w:tcMar>
            <w:vAlign w:val="center"/>
          </w:tcPr>
          <w:p w14:paraId="7DBA52AF">
            <w:pPr>
              <w:keepNext/>
              <w:snapToGrid w:val="0"/>
              <w:jc w:val="left"/>
              <w:rPr>
                <w:rFonts w:ascii="宋体"/>
                <w:sz w:val="24"/>
              </w:rPr>
            </w:pPr>
            <w:r>
              <w:rPr>
                <w:rFonts w:ascii="宋体" w:hAnsi="宋体"/>
                <w:sz w:val="24"/>
              </w:rPr>
              <w:t>可监听网络、构造畸形多部件表单报文（multipart/form-data）、伪造结构化元数据、重放一次性随机标识（nonce）、提交异常密态分片、实施并发探测</w:t>
            </w:r>
          </w:p>
        </w:tc>
      </w:tr>
      <w:tr w14:paraId="6A8E4797">
        <w:tblPrEx>
          <w:tblCellMar>
            <w:top w:w="0" w:type="dxa"/>
            <w:left w:w="108" w:type="dxa"/>
            <w:bottom w:w="0" w:type="dxa"/>
            <w:right w:w="108" w:type="dxa"/>
          </w:tblCellMar>
        </w:tblPrEx>
        <w:trPr>
          <w:jc w:val="center"/>
        </w:trPr>
        <w:tc>
          <w:tcPr>
            <w:tcW w:w="1436" w:type="dxa"/>
            <w:tcBorders>
              <w:top w:val="nil"/>
              <w:left w:val="nil"/>
              <w:bottom w:val="nil"/>
              <w:right w:val="nil"/>
            </w:tcBorders>
            <w:tcMar>
              <w:top w:w="-1" w:type="dxa"/>
              <w:left w:w="-1" w:type="dxa"/>
              <w:bottom w:w="-1" w:type="dxa"/>
              <w:right w:w="-1" w:type="dxa"/>
            </w:tcMar>
            <w:vAlign w:val="center"/>
          </w:tcPr>
          <w:p w14:paraId="3FA90FF9">
            <w:pPr>
              <w:keepNext/>
              <w:snapToGrid w:val="0"/>
              <w:jc w:val="center"/>
              <w:rPr>
                <w:rFonts w:ascii="宋体"/>
                <w:sz w:val="24"/>
              </w:rPr>
            </w:pPr>
            <w:r>
              <w:rPr>
                <w:rFonts w:ascii="宋体" w:hAnsi="宋体"/>
                <w:sz w:val="24"/>
              </w:rPr>
              <w:t>安全假设</w:t>
            </w:r>
          </w:p>
        </w:tc>
        <w:tc>
          <w:tcPr>
            <w:tcW w:w="7384" w:type="dxa"/>
            <w:tcBorders>
              <w:top w:val="nil"/>
              <w:left w:val="nil"/>
              <w:bottom w:val="nil"/>
              <w:right w:val="nil"/>
            </w:tcBorders>
            <w:tcMar>
              <w:top w:w="-1" w:type="dxa"/>
              <w:left w:w="-1" w:type="dxa"/>
              <w:bottom w:w="-1" w:type="dxa"/>
              <w:right w:w="-1" w:type="dxa"/>
            </w:tcMar>
            <w:vAlign w:val="center"/>
          </w:tcPr>
          <w:p w14:paraId="53D697E6">
            <w:pPr>
              <w:keepNext/>
              <w:snapToGrid w:val="0"/>
              <w:jc w:val="left"/>
              <w:rPr>
                <w:rFonts w:ascii="宋体"/>
                <w:sz w:val="24"/>
              </w:rPr>
            </w:pPr>
            <w:r>
              <w:rPr>
                <w:rFonts w:ascii="宋体" w:hAnsi="宋体"/>
                <w:sz w:val="24"/>
              </w:rPr>
              <w:t>两方半诚实；不引入额外可信第三方；前端不作为可信根，关键裁决以服务端复算为准</w:t>
            </w:r>
          </w:p>
        </w:tc>
      </w:tr>
      <w:tr w14:paraId="7E17BB2C">
        <w:tblPrEx>
          <w:tblCellMar>
            <w:top w:w="0" w:type="dxa"/>
            <w:left w:w="108" w:type="dxa"/>
            <w:bottom w:w="0" w:type="dxa"/>
            <w:right w:w="108" w:type="dxa"/>
          </w:tblCellMar>
        </w:tblPrEx>
        <w:trPr>
          <w:jc w:val="center"/>
        </w:trPr>
        <w:tc>
          <w:tcPr>
            <w:tcW w:w="1436" w:type="dxa"/>
            <w:tcBorders>
              <w:top w:val="nil"/>
              <w:left w:val="nil"/>
              <w:bottom w:val="nil"/>
              <w:right w:val="nil"/>
            </w:tcBorders>
            <w:tcMar>
              <w:top w:w="-1" w:type="dxa"/>
              <w:left w:w="-1" w:type="dxa"/>
              <w:bottom w:w="-1" w:type="dxa"/>
              <w:right w:w="-1" w:type="dxa"/>
            </w:tcMar>
            <w:vAlign w:val="center"/>
          </w:tcPr>
          <w:p w14:paraId="6F5D616A">
            <w:pPr>
              <w:keepNext/>
              <w:snapToGrid w:val="0"/>
              <w:jc w:val="center"/>
              <w:rPr>
                <w:rFonts w:ascii="宋体"/>
                <w:sz w:val="24"/>
              </w:rPr>
            </w:pPr>
            <w:r>
              <w:rPr>
                <w:rFonts w:ascii="宋体" w:hAnsi="宋体"/>
                <w:sz w:val="24"/>
              </w:rPr>
              <w:t>不覆盖范围</w:t>
            </w:r>
          </w:p>
        </w:tc>
        <w:tc>
          <w:tcPr>
            <w:tcW w:w="7384" w:type="dxa"/>
            <w:tcBorders>
              <w:top w:val="nil"/>
              <w:left w:val="nil"/>
              <w:bottom w:val="nil"/>
              <w:right w:val="nil"/>
            </w:tcBorders>
            <w:tcMar>
              <w:top w:w="-1" w:type="dxa"/>
              <w:left w:w="-1" w:type="dxa"/>
              <w:bottom w:w="-1" w:type="dxa"/>
              <w:right w:w="-1" w:type="dxa"/>
            </w:tcMar>
            <w:vAlign w:val="center"/>
          </w:tcPr>
          <w:p w14:paraId="6C6F1F7C">
            <w:pPr>
              <w:keepNext/>
              <w:snapToGrid w:val="0"/>
              <w:jc w:val="left"/>
              <w:rPr>
                <w:rFonts w:ascii="宋体"/>
                <w:sz w:val="24"/>
              </w:rPr>
            </w:pPr>
            <w:r>
              <w:rPr>
                <w:rFonts w:ascii="宋体" w:hAnsi="宋体"/>
                <w:sz w:val="24"/>
              </w:rPr>
              <w:t>恶意参与方串谋、浏览器被完全控制、进入长耗时 SPU 后的主动断连感知、生产级分布式 DoS、防输出反演攻击</w:t>
            </w:r>
          </w:p>
        </w:tc>
      </w:tr>
      <w:tr w14:paraId="18F63004">
        <w:tblPrEx>
          <w:tblCellMar>
            <w:top w:w="0" w:type="dxa"/>
            <w:left w:w="108" w:type="dxa"/>
            <w:bottom w:w="0" w:type="dxa"/>
            <w:right w:w="108" w:type="dxa"/>
          </w:tblCellMar>
        </w:tblPrEx>
        <w:trPr>
          <w:jc w:val="center"/>
        </w:trPr>
        <w:tc>
          <w:tcPr>
            <w:tcW w:w="1436" w:type="dxa"/>
            <w:tcBorders>
              <w:top w:val="nil"/>
              <w:left w:val="nil"/>
              <w:bottom w:val="single" w:color="auto" w:sz="12" w:space="0"/>
              <w:right w:val="nil"/>
            </w:tcBorders>
            <w:tcMar>
              <w:top w:w="-1" w:type="dxa"/>
              <w:left w:w="-1" w:type="dxa"/>
              <w:bottom w:w="-1" w:type="dxa"/>
              <w:right w:w="-1" w:type="dxa"/>
            </w:tcMar>
            <w:vAlign w:val="center"/>
          </w:tcPr>
          <w:p w14:paraId="6F74932C">
            <w:pPr>
              <w:keepNext/>
              <w:snapToGrid w:val="0"/>
              <w:jc w:val="center"/>
              <w:rPr>
                <w:rFonts w:ascii="宋体"/>
                <w:sz w:val="24"/>
              </w:rPr>
            </w:pPr>
            <w:r>
              <w:rPr>
                <w:rFonts w:ascii="宋体" w:hAnsi="宋体"/>
                <w:sz w:val="24"/>
              </w:rPr>
              <w:t>防护证据</w:t>
            </w:r>
          </w:p>
        </w:tc>
        <w:tc>
          <w:tcPr>
            <w:tcW w:w="7384" w:type="dxa"/>
            <w:tcBorders>
              <w:top w:val="nil"/>
              <w:left w:val="nil"/>
              <w:bottom w:val="single" w:color="auto" w:sz="12" w:space="0"/>
              <w:right w:val="nil"/>
            </w:tcBorders>
            <w:tcMar>
              <w:top w:w="-1" w:type="dxa"/>
              <w:left w:w="-1" w:type="dxa"/>
              <w:bottom w:w="-1" w:type="dxa"/>
              <w:right w:w="-1" w:type="dxa"/>
            </w:tcMar>
            <w:vAlign w:val="center"/>
          </w:tcPr>
          <w:p w14:paraId="663EF97D">
            <w:pPr>
              <w:keepNext/>
              <w:snapToGrid w:val="0"/>
              <w:jc w:val="left"/>
              <w:rPr>
                <w:rFonts w:ascii="宋体"/>
                <w:sz w:val="24"/>
              </w:rPr>
            </w:pPr>
            <w:r>
              <w:rPr>
                <w:rFonts w:ascii="宋体" w:hAnsi="宋体"/>
                <w:sz w:val="24"/>
              </w:rPr>
              <w:t>协议层模糊测试、重放与并发守卫测试、服务端张量快检与审计落盘证据</w:t>
            </w:r>
          </w:p>
        </w:tc>
      </w:tr>
    </w:tbl>
    <w:p w14:paraId="379CC9BE">
      <w:pPr>
        <w:spacing w:line="360" w:lineRule="auto"/>
        <w:jc w:val="left"/>
        <w:rPr>
          <w:rFonts w:hint="eastAsia" w:ascii="宋体" w:hAnsi="宋体" w:cs="宋体"/>
          <w:sz w:val="24"/>
        </w:rPr>
      </w:pPr>
      <w:r>
        <w:rPr>
          <w:rFonts w:ascii="宋体" w:hAnsi="宋体" w:cs="宋体"/>
          <w:sz w:val="24"/>
        </w:rPr>
        <w:t>注：本表格基于两方半诚实威胁模型制定，仅覆盖原型系统设计范围内的安全假设与防护边界，不代表生产级系统的完整安全承诺</w:t>
      </w:r>
    </w:p>
    <w:p w14:paraId="14F45205">
      <w:pPr>
        <w:spacing w:line="360" w:lineRule="auto"/>
        <w:jc w:val="center"/>
        <w:rPr>
          <w:rFonts w:hint="eastAsia" w:ascii="宋体" w:hAnsi="宋体"/>
          <w:sz w:val="24"/>
        </w:rPr>
      </w:pPr>
      <w:r>
        <w:rPr>
          <w:rFonts w:ascii="宋体" w:hAnsi="宋体" w:cs="宋体"/>
          <w:sz w:val="24"/>
        </w:rPr>
        <w:t>表 2 系统各维度安全边界覆盖情况</w:t>
      </w:r>
    </w:p>
    <w:tbl>
      <w:tblPr>
        <w:tblStyle w:val="7"/>
        <w:tblW w:w="8820" w:type="dxa"/>
        <w:jc w:val="center"/>
        <w:tblLayout w:type="autofit"/>
        <w:tblCellMar>
          <w:top w:w="0" w:type="dxa"/>
          <w:left w:w="108" w:type="dxa"/>
          <w:bottom w:w="0" w:type="dxa"/>
          <w:right w:w="108" w:type="dxa"/>
        </w:tblCellMar>
      </w:tblPr>
      <w:tblGrid>
        <w:gridCol w:w="1536"/>
        <w:gridCol w:w="4356"/>
        <w:gridCol w:w="2928"/>
      </w:tblGrid>
      <w:tr w14:paraId="284B364A">
        <w:tblPrEx>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7BFB550B">
            <w:pPr>
              <w:snapToGrid w:val="0"/>
              <w:jc w:val="center"/>
              <w:rPr>
                <w:rFonts w:ascii="宋体"/>
                <w:b/>
                <w:sz w:val="24"/>
              </w:rPr>
            </w:pPr>
            <w:r>
              <w:rPr>
                <w:rFonts w:ascii="宋体" w:hAnsi="宋体"/>
                <w:b/>
                <w:sz w:val="24"/>
              </w:rPr>
              <w:t>边界项</w:t>
            </w:r>
          </w:p>
        </w:tc>
        <w:tc>
          <w:tcPr>
            <w:tcW w:w="4356" w:type="dxa"/>
            <w:tcBorders>
              <w:top w:val="single" w:color="auto" w:sz="12" w:space="0"/>
              <w:left w:val="nil"/>
              <w:bottom w:val="nil"/>
              <w:right w:val="nil"/>
            </w:tcBorders>
            <w:tcMar>
              <w:top w:w="-1" w:type="dxa"/>
              <w:left w:w="-1" w:type="dxa"/>
              <w:bottom w:w="-1" w:type="dxa"/>
              <w:right w:w="-1" w:type="dxa"/>
            </w:tcMar>
            <w:vAlign w:val="center"/>
          </w:tcPr>
          <w:p w14:paraId="73FA6EEB">
            <w:pPr>
              <w:snapToGrid w:val="0"/>
              <w:jc w:val="center"/>
              <w:rPr>
                <w:rFonts w:ascii="宋体"/>
                <w:b/>
                <w:sz w:val="24"/>
              </w:rPr>
            </w:pPr>
            <w:r>
              <w:rPr>
                <w:rFonts w:ascii="宋体" w:hAnsi="宋体"/>
                <w:b/>
                <w:sz w:val="24"/>
              </w:rPr>
              <w:t>当前覆盖</w:t>
            </w:r>
          </w:p>
        </w:tc>
        <w:tc>
          <w:tcPr>
            <w:tcW w:w="2928" w:type="dxa"/>
            <w:tcBorders>
              <w:top w:val="single" w:color="auto" w:sz="12" w:space="0"/>
              <w:left w:val="nil"/>
              <w:bottom w:val="nil"/>
              <w:right w:val="nil"/>
            </w:tcBorders>
            <w:tcMar>
              <w:top w:w="-1" w:type="dxa"/>
              <w:left w:w="-1" w:type="dxa"/>
              <w:bottom w:w="-1" w:type="dxa"/>
              <w:right w:w="-1" w:type="dxa"/>
            </w:tcMar>
            <w:vAlign w:val="center"/>
          </w:tcPr>
          <w:p w14:paraId="697E2B2C">
            <w:pPr>
              <w:snapToGrid w:val="0"/>
              <w:jc w:val="center"/>
              <w:rPr>
                <w:rFonts w:ascii="宋体"/>
                <w:b/>
                <w:sz w:val="24"/>
              </w:rPr>
            </w:pPr>
            <w:r>
              <w:rPr>
                <w:rFonts w:ascii="宋体" w:hAnsi="宋体"/>
                <w:b/>
                <w:sz w:val="24"/>
              </w:rPr>
              <w:t>当前不覆盖或限制</w:t>
            </w:r>
          </w:p>
        </w:tc>
      </w:tr>
      <w:tr w14:paraId="77669474">
        <w:tblPrEx>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686E7FA9">
            <w:pPr>
              <w:snapToGrid w:val="0"/>
              <w:jc w:val="center"/>
              <w:rPr>
                <w:rFonts w:ascii="宋体"/>
                <w:sz w:val="24"/>
              </w:rPr>
            </w:pPr>
            <w:r>
              <w:rPr>
                <w:rFonts w:ascii="宋体" w:hAnsi="宋体"/>
                <w:sz w:val="24"/>
              </w:rPr>
              <w:t>输入明文保护</w:t>
            </w:r>
          </w:p>
        </w:tc>
        <w:tc>
          <w:tcPr>
            <w:tcW w:w="4356" w:type="dxa"/>
            <w:tcBorders>
              <w:top w:val="single" w:color="auto" w:sz="4" w:space="0"/>
              <w:left w:val="nil"/>
              <w:bottom w:val="nil"/>
              <w:right w:val="nil"/>
            </w:tcBorders>
            <w:tcMar>
              <w:top w:w="-1" w:type="dxa"/>
              <w:left w:w="-1" w:type="dxa"/>
              <w:bottom w:w="-1" w:type="dxa"/>
              <w:right w:w="-1" w:type="dxa"/>
            </w:tcMar>
            <w:vAlign w:val="center"/>
          </w:tcPr>
          <w:p w14:paraId="72245ADF">
            <w:pPr>
              <w:snapToGrid w:val="0"/>
              <w:jc w:val="center"/>
              <w:rPr>
                <w:rFonts w:ascii="宋体"/>
                <w:sz w:val="24"/>
              </w:rPr>
            </w:pPr>
            <w:r>
              <w:rPr>
                <w:rFonts w:ascii="宋体" w:hAnsi="宋体"/>
                <w:sz w:val="24"/>
              </w:rPr>
              <w:t>明文图像只在浏览器工作线程内解码、裁剪与分片，服务端仅接收密态 share 与结构化元数据</w:t>
            </w:r>
          </w:p>
        </w:tc>
        <w:tc>
          <w:tcPr>
            <w:tcW w:w="2928" w:type="dxa"/>
            <w:tcBorders>
              <w:top w:val="single" w:color="auto" w:sz="4" w:space="0"/>
              <w:left w:val="nil"/>
              <w:bottom w:val="nil"/>
              <w:right w:val="nil"/>
            </w:tcBorders>
            <w:tcMar>
              <w:top w:w="-1" w:type="dxa"/>
              <w:left w:w="-1" w:type="dxa"/>
              <w:bottom w:w="-1" w:type="dxa"/>
              <w:right w:w="-1" w:type="dxa"/>
            </w:tcMar>
            <w:vAlign w:val="center"/>
          </w:tcPr>
          <w:p w14:paraId="77BF0D1A">
            <w:pPr>
              <w:snapToGrid w:val="0"/>
              <w:jc w:val="left"/>
              <w:rPr>
                <w:rFonts w:ascii="宋体"/>
                <w:sz w:val="24"/>
              </w:rPr>
            </w:pPr>
            <w:r>
              <w:rPr>
                <w:rFonts w:ascii="宋体" w:hAnsi="宋体"/>
                <w:sz w:val="24"/>
              </w:rPr>
              <w:t>不覆盖浏览器被完全控制或本地终端失陷后的明文窃取</w:t>
            </w:r>
          </w:p>
        </w:tc>
      </w:tr>
      <w:tr w14:paraId="08D0EE23">
        <w:tblPrEx>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55A29A4">
            <w:pPr>
              <w:snapToGrid w:val="0"/>
              <w:jc w:val="center"/>
              <w:rPr>
                <w:rFonts w:ascii="宋体"/>
                <w:sz w:val="24"/>
              </w:rPr>
            </w:pPr>
            <w:r>
              <w:rPr>
                <w:rFonts w:ascii="宋体" w:hAnsi="宋体"/>
                <w:sz w:val="24"/>
              </w:rPr>
              <w:t>模型参数保护</w:t>
            </w:r>
          </w:p>
        </w:tc>
        <w:tc>
          <w:tcPr>
            <w:tcW w:w="4356" w:type="dxa"/>
            <w:tcBorders>
              <w:top w:val="nil"/>
              <w:left w:val="nil"/>
              <w:bottom w:val="nil"/>
              <w:right w:val="nil"/>
            </w:tcBorders>
            <w:tcMar>
              <w:top w:w="-1" w:type="dxa"/>
              <w:left w:w="-1" w:type="dxa"/>
              <w:bottom w:w="-1" w:type="dxa"/>
              <w:right w:w="-1" w:type="dxa"/>
            </w:tcMar>
            <w:vAlign w:val="center"/>
          </w:tcPr>
          <w:p w14:paraId="5EFC4A06">
            <w:pPr>
              <w:snapToGrid w:val="0"/>
              <w:jc w:val="center"/>
              <w:rPr>
                <w:rFonts w:ascii="宋体"/>
                <w:sz w:val="24"/>
              </w:rPr>
            </w:pPr>
            <w:r>
              <w:rPr>
                <w:rFonts w:ascii="宋体" w:hAnsi="宋体"/>
                <w:sz w:val="24"/>
              </w:rPr>
              <w:t>模型参数不向数据使用方以明文暴露，仅在两方安全执行域内参与计算</w:t>
            </w:r>
          </w:p>
        </w:tc>
        <w:tc>
          <w:tcPr>
            <w:tcW w:w="2928" w:type="dxa"/>
            <w:tcBorders>
              <w:top w:val="nil"/>
              <w:left w:val="nil"/>
              <w:bottom w:val="nil"/>
              <w:right w:val="nil"/>
            </w:tcBorders>
            <w:tcMar>
              <w:top w:w="-1" w:type="dxa"/>
              <w:left w:w="-1" w:type="dxa"/>
              <w:bottom w:w="-1" w:type="dxa"/>
              <w:right w:w="-1" w:type="dxa"/>
            </w:tcMar>
            <w:vAlign w:val="center"/>
          </w:tcPr>
          <w:p w14:paraId="0FB0B308">
            <w:pPr>
              <w:snapToGrid w:val="0"/>
              <w:jc w:val="left"/>
              <w:rPr>
                <w:rFonts w:ascii="宋体"/>
                <w:sz w:val="24"/>
              </w:rPr>
            </w:pPr>
            <w:r>
              <w:rPr>
                <w:rFonts w:ascii="宋体" w:hAnsi="宋体"/>
                <w:sz w:val="24"/>
              </w:rPr>
              <w:t>不覆盖恶意参与方串谋、模型抽取与生产级侧信道分析</w:t>
            </w:r>
          </w:p>
        </w:tc>
      </w:tr>
      <w:tr w14:paraId="31F0F366">
        <w:tblPrEx>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24C58FB">
            <w:pPr>
              <w:snapToGrid w:val="0"/>
              <w:jc w:val="center"/>
              <w:rPr>
                <w:rFonts w:ascii="宋体"/>
                <w:sz w:val="24"/>
              </w:rPr>
            </w:pPr>
            <w:r>
              <w:rPr>
                <w:rFonts w:ascii="宋体" w:hAnsi="宋体"/>
                <w:sz w:val="24"/>
              </w:rPr>
              <w:t>动态决策隐私</w:t>
            </w:r>
          </w:p>
        </w:tc>
        <w:tc>
          <w:tcPr>
            <w:tcW w:w="4356" w:type="dxa"/>
            <w:tcBorders>
              <w:top w:val="nil"/>
              <w:left w:val="nil"/>
              <w:bottom w:val="nil"/>
              <w:right w:val="nil"/>
            </w:tcBorders>
            <w:tcMar>
              <w:top w:w="-1" w:type="dxa"/>
              <w:left w:w="-1" w:type="dxa"/>
              <w:bottom w:w="-1" w:type="dxa"/>
              <w:right w:w="-1" w:type="dxa"/>
            </w:tcMar>
            <w:vAlign w:val="center"/>
          </w:tcPr>
          <w:p w14:paraId="55FE6BBA">
            <w:pPr>
              <w:snapToGrid w:val="0"/>
              <w:jc w:val="center"/>
              <w:rPr>
                <w:rFonts w:ascii="宋体"/>
                <w:sz w:val="24"/>
              </w:rPr>
            </w:pPr>
            <w:r>
              <w:rPr>
                <w:rFonts w:ascii="宋体" w:hAnsi="宋体"/>
                <w:sz w:val="24"/>
              </w:rPr>
              <w:t>PredictorLG、阈值判断与并列分数决断保留在安全执行域内</w:t>
            </w:r>
          </w:p>
        </w:tc>
        <w:tc>
          <w:tcPr>
            <w:tcW w:w="2928" w:type="dxa"/>
            <w:tcBorders>
              <w:top w:val="nil"/>
              <w:left w:val="nil"/>
              <w:bottom w:val="nil"/>
              <w:right w:val="nil"/>
            </w:tcBorders>
            <w:tcMar>
              <w:top w:w="-1" w:type="dxa"/>
              <w:left w:w="-1" w:type="dxa"/>
              <w:bottom w:w="-1" w:type="dxa"/>
              <w:right w:w="-1" w:type="dxa"/>
            </w:tcMar>
            <w:vAlign w:val="center"/>
          </w:tcPr>
          <w:p w14:paraId="1C77908B">
            <w:pPr>
              <w:snapToGrid w:val="0"/>
              <w:jc w:val="left"/>
              <w:rPr>
                <w:rFonts w:ascii="宋体"/>
                <w:sz w:val="24"/>
              </w:rPr>
            </w:pPr>
            <w:r>
              <w:rPr>
                <w:rFonts w:ascii="宋体" w:hAnsi="宋体"/>
                <w:sz w:val="24"/>
              </w:rPr>
              <w:t>不覆盖进入安全图后的主动任务取消、长连接断开感知与更强攻击模型</w:t>
            </w:r>
          </w:p>
        </w:tc>
      </w:tr>
      <w:tr w14:paraId="1A6DB90A">
        <w:tblPrEx>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3B64DCD">
            <w:pPr>
              <w:snapToGrid w:val="0"/>
              <w:jc w:val="center"/>
              <w:rPr>
                <w:rFonts w:ascii="宋体"/>
                <w:sz w:val="24"/>
              </w:rPr>
            </w:pPr>
            <w:r>
              <w:rPr>
                <w:rFonts w:ascii="宋体" w:hAnsi="宋体"/>
                <w:sz w:val="24"/>
              </w:rPr>
              <w:t>协议与输入防护</w:t>
            </w:r>
          </w:p>
        </w:tc>
        <w:tc>
          <w:tcPr>
            <w:tcW w:w="4356" w:type="dxa"/>
            <w:tcBorders>
              <w:top w:val="nil"/>
              <w:left w:val="nil"/>
              <w:bottom w:val="nil"/>
              <w:right w:val="nil"/>
            </w:tcBorders>
            <w:tcMar>
              <w:top w:w="-1" w:type="dxa"/>
              <w:left w:w="-1" w:type="dxa"/>
              <w:bottom w:w="-1" w:type="dxa"/>
              <w:right w:w="-1" w:type="dxa"/>
            </w:tcMar>
            <w:vAlign w:val="center"/>
          </w:tcPr>
          <w:p w14:paraId="03D3585D">
            <w:pPr>
              <w:snapToGrid w:val="0"/>
              <w:jc w:val="center"/>
              <w:rPr>
                <w:rFonts w:ascii="宋体"/>
                <w:sz w:val="24"/>
              </w:rPr>
            </w:pPr>
            <w:r>
              <w:rPr>
                <w:rFonts w:ascii="宋体" w:hAnsi="宋体"/>
                <w:sz w:val="24"/>
              </w:rPr>
              <w:t>原始多部件表单预检、JSON（JavaScript Object Notation）字节门、share 哈希与张量合法性快检、重放与并发守卫已落地</w:t>
            </w:r>
          </w:p>
        </w:tc>
        <w:tc>
          <w:tcPr>
            <w:tcW w:w="2928" w:type="dxa"/>
            <w:tcBorders>
              <w:top w:val="nil"/>
              <w:left w:val="nil"/>
              <w:bottom w:val="nil"/>
              <w:right w:val="nil"/>
            </w:tcBorders>
            <w:tcMar>
              <w:top w:w="-1" w:type="dxa"/>
              <w:left w:w="-1" w:type="dxa"/>
              <w:bottom w:w="-1" w:type="dxa"/>
              <w:right w:w="-1" w:type="dxa"/>
            </w:tcMar>
            <w:vAlign w:val="center"/>
          </w:tcPr>
          <w:p w14:paraId="5DF1A5AD">
            <w:pPr>
              <w:snapToGrid w:val="0"/>
              <w:jc w:val="left"/>
              <w:rPr>
                <w:rFonts w:ascii="宋体"/>
                <w:sz w:val="24"/>
              </w:rPr>
            </w:pPr>
            <w:r>
              <w:rPr>
                <w:rFonts w:ascii="宋体" w:hAnsi="宋体"/>
                <w:sz w:val="24"/>
              </w:rPr>
              <w:t>不覆盖生产级分布式 DoS、跨节点全局限流与外部 WAF/网关联动</w:t>
            </w:r>
          </w:p>
        </w:tc>
      </w:tr>
      <w:tr w14:paraId="1E2119E6">
        <w:tblPrEx>
          <w:tblCellMar>
            <w:top w:w="0" w:type="dxa"/>
            <w:left w:w="108" w:type="dxa"/>
            <w:bottom w:w="0" w:type="dxa"/>
            <w:right w:w="108" w:type="dxa"/>
          </w:tblCellMar>
        </w:tblPrEx>
        <w:trPr>
          <w:jc w:val="center"/>
        </w:trPr>
        <w:tc>
          <w:tcPr>
            <w:tcW w:w="1536" w:type="dxa"/>
            <w:tcBorders>
              <w:top w:val="nil"/>
              <w:left w:val="nil"/>
              <w:bottom w:val="single" w:color="auto" w:sz="12" w:space="0"/>
              <w:right w:val="nil"/>
            </w:tcBorders>
            <w:tcMar>
              <w:top w:w="-1" w:type="dxa"/>
              <w:left w:w="-1" w:type="dxa"/>
              <w:bottom w:w="-1" w:type="dxa"/>
              <w:right w:w="-1" w:type="dxa"/>
            </w:tcMar>
            <w:vAlign w:val="center"/>
          </w:tcPr>
          <w:p w14:paraId="7E606A47">
            <w:pPr>
              <w:snapToGrid w:val="0"/>
              <w:jc w:val="center"/>
              <w:rPr>
                <w:rFonts w:ascii="宋体"/>
                <w:sz w:val="24"/>
              </w:rPr>
            </w:pPr>
            <w:r>
              <w:rPr>
                <w:rFonts w:ascii="宋体" w:hAnsi="宋体"/>
                <w:sz w:val="24"/>
              </w:rPr>
              <w:t>审计与复现</w:t>
            </w:r>
          </w:p>
        </w:tc>
        <w:tc>
          <w:tcPr>
            <w:tcW w:w="4356" w:type="dxa"/>
            <w:tcBorders>
              <w:top w:val="nil"/>
              <w:left w:val="nil"/>
              <w:bottom w:val="single" w:color="auto" w:sz="12" w:space="0"/>
              <w:right w:val="nil"/>
            </w:tcBorders>
            <w:tcMar>
              <w:top w:w="-1" w:type="dxa"/>
              <w:left w:w="-1" w:type="dxa"/>
              <w:bottom w:w="-1" w:type="dxa"/>
              <w:right w:w="-1" w:type="dxa"/>
            </w:tcMar>
            <w:vAlign w:val="center"/>
          </w:tcPr>
          <w:p w14:paraId="53DA2818">
            <w:pPr>
              <w:snapToGrid w:val="0"/>
              <w:jc w:val="center"/>
              <w:rPr>
                <w:rFonts w:ascii="宋体"/>
                <w:sz w:val="24"/>
              </w:rPr>
            </w:pPr>
            <w:r>
              <w:rPr>
                <w:rFonts w:ascii="宋体" w:hAnsi="宋体"/>
                <w:sz w:val="24"/>
              </w:rPr>
              <w:t>nonce、请求载荷（payload）、质量摘要与审计事件落盘，报告与脚本可回溯</w:t>
            </w:r>
          </w:p>
        </w:tc>
        <w:tc>
          <w:tcPr>
            <w:tcW w:w="2928" w:type="dxa"/>
            <w:tcBorders>
              <w:top w:val="nil"/>
              <w:left w:val="nil"/>
              <w:bottom w:val="single" w:color="auto" w:sz="12" w:space="0"/>
              <w:right w:val="nil"/>
            </w:tcBorders>
            <w:tcMar>
              <w:top w:w="-1" w:type="dxa"/>
              <w:left w:w="-1" w:type="dxa"/>
              <w:bottom w:w="-1" w:type="dxa"/>
              <w:right w:w="-1" w:type="dxa"/>
            </w:tcMar>
            <w:vAlign w:val="center"/>
          </w:tcPr>
          <w:p w14:paraId="7340F5C2">
            <w:pPr>
              <w:snapToGrid w:val="0"/>
              <w:jc w:val="left"/>
              <w:rPr>
                <w:rFonts w:ascii="宋体"/>
                <w:sz w:val="24"/>
              </w:rPr>
            </w:pPr>
            <w:r>
              <w:rPr>
                <w:rFonts w:ascii="宋体" w:hAnsi="宋体"/>
                <w:sz w:val="24"/>
              </w:rPr>
              <w:t>不覆盖长期合规归档平台、外部 SIEM 集成与跨系统追责链</w:t>
            </w:r>
          </w:p>
        </w:tc>
      </w:tr>
    </w:tbl>
    <w:p w14:paraId="76EB614C">
      <w:pPr>
        <w:spacing w:line="360" w:lineRule="auto"/>
        <w:rPr>
          <w:rFonts w:hint="eastAsia" w:ascii="宋体" w:hAnsi="宋体"/>
          <w:sz w:val="24"/>
        </w:rPr>
      </w:pPr>
      <w:r>
        <w:rPr>
          <w:rFonts w:ascii="宋体" w:hAnsi="宋体" w:cs="宋体"/>
          <w:sz w:val="24"/>
        </w:rPr>
        <w:t>注："当前覆盖" 项均已通过黑盒验证并留存审计证据；"当前不覆盖或限制" 项为原型系统明确不承诺的防护能力，需在生产部署中补充对应机制。</w:t>
      </w:r>
    </w:p>
    <w:p w14:paraId="3F008B28">
      <w:pPr>
        <w:spacing w:line="360" w:lineRule="auto"/>
        <w:ind w:firstLine="480"/>
        <w:rPr>
          <w:rFonts w:ascii="宋体" w:hAnsi="宋体"/>
          <w:sz w:val="24"/>
        </w:rPr>
      </w:pPr>
      <w:r>
        <w:rPr>
          <w:rFonts w:ascii="宋体" w:hAnsi="宋体" w:cs="宋体"/>
          <w:sz w:val="24"/>
        </w:rPr>
        <w:t>各维度安全边界的具体覆盖情况与明确未覆盖范围如表 2所示</w:t>
      </w:r>
      <w:r>
        <w:rPr>
          <w:rFonts w:hint="eastAsia" w:ascii="宋体" w:hAnsi="宋体"/>
          <w:sz w:val="24"/>
        </w:rPr>
        <w:t>，</w:t>
      </w:r>
      <w:r>
        <w:rPr>
          <w:rFonts w:ascii="宋体" w:hAnsi="宋体"/>
          <w:sz w:val="24"/>
        </w:rPr>
        <w:t>上述边界说明用于避免将原型级控制面夸大为生产级防御体系。更完整的未覆盖范围、输出侧风险与原型部署边界，统一放在第 5.5 节“当前局限性”中说明。</w:t>
      </w:r>
    </w:p>
    <w:p w14:paraId="0BE73849">
      <w:pPr>
        <w:spacing w:line="360" w:lineRule="auto"/>
        <w:ind w:firstLine="480"/>
        <w:rPr>
          <w:rFonts w:ascii="宋体" w:hAnsi="宋体"/>
          <w:sz w:val="24"/>
        </w:rPr>
      </w:pPr>
      <w:r>
        <w:rPr>
          <w:rFonts w:hint="eastAsia" w:ascii="宋体" w:hAnsi="宋体"/>
          <w:sz w:val="24"/>
        </w:rPr>
        <w:t>为便于从步骤层面概括端到端链路，算法1给出本作品从终端预处理、秘密分享、服务端预检到密态推理与结果回传的完整流程。该流程与图2-2所示时序一致，强调了明文仅停留在终端侧、跨域仅传输密态分片与审计摘要的边界约束。</w:t>
      </w:r>
    </w:p>
    <w:p w14:paraId="5658C896">
      <w:pPr>
        <w:spacing w:line="360" w:lineRule="auto"/>
        <w:ind w:firstLine="480"/>
        <w:rPr>
          <w:rFonts w:ascii="宋体" w:hAnsi="宋体"/>
          <w:sz w:val="24"/>
        </w:rPr>
      </w:pPr>
      <w:r>
        <w:drawing>
          <wp:inline distT="0" distB="0" distL="114300" distR="114300">
            <wp:extent cx="4474210" cy="2821940"/>
            <wp:effectExtent l="0" t="0" r="8890" b="1016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7"/>
                    <a:stretch>
                      <a:fillRect/>
                    </a:stretch>
                  </pic:blipFill>
                  <pic:spPr>
                    <a:xfrm>
                      <a:off x="0" y="0"/>
                      <a:ext cx="4474210" cy="2821940"/>
                    </a:xfrm>
                    <a:prstGeom prst="rect">
                      <a:avLst/>
                    </a:prstGeom>
                    <a:noFill/>
                    <a:ln>
                      <a:noFill/>
                    </a:ln>
                  </pic:spPr>
                </pic:pic>
              </a:graphicData>
            </a:graphic>
          </wp:inline>
        </w:drawing>
      </w:r>
    </w:p>
    <w:p w14:paraId="1639BC59">
      <w:pPr>
        <w:spacing w:line="360" w:lineRule="auto"/>
        <w:outlineLvl w:val="1"/>
        <w:rPr>
          <w:rFonts w:hint="eastAsia" w:ascii="黑体" w:hAnsi="黑体" w:eastAsia="黑体"/>
          <w:b/>
          <w:sz w:val="24"/>
        </w:rPr>
      </w:pPr>
      <w:bookmarkStart w:id="20" w:name="Transshield_TOC_section_2_4"/>
      <w:bookmarkStart w:id="21" w:name="_Toc230691150"/>
      <w:r>
        <w:rPr>
          <w:rFonts w:ascii="黑体" w:hAnsi="黑体" w:eastAsia="黑体"/>
          <w:b/>
          <w:sz w:val="24"/>
        </w:rPr>
        <w:t>2.4 DynamicViT 密态改写</w:t>
      </w:r>
      <w:bookmarkEnd w:id="20"/>
      <w:bookmarkEnd w:id="21"/>
    </w:p>
    <w:p w14:paraId="3FFB55BC">
      <w:pPr>
        <w:spacing w:line="360" w:lineRule="auto"/>
        <w:rPr>
          <w:rFonts w:hint="eastAsia" w:ascii="宋体" w:hAnsi="宋体" w:cs="宋体"/>
          <w:sz w:val="24"/>
        </w:rPr>
      </w:pPr>
      <w:r>
        <w:rPr>
          <w:rFonts w:ascii="宋体" w:hAnsi="宋体" w:cs="宋体"/>
          <w:sz w:val="24"/>
        </w:rPr>
        <w:t>原始 DynamicViT 中四类核心操作的安全计算困难点、本作品的改写方案、代价与验证方式如表 3 所示。</w:t>
      </w:r>
    </w:p>
    <w:p w14:paraId="2814D801">
      <w:pPr>
        <w:spacing w:line="360" w:lineRule="auto"/>
        <w:jc w:val="center"/>
        <w:rPr>
          <w:rFonts w:hint="eastAsia" w:ascii="黑体" w:hAnsi="黑体" w:eastAsia="黑体"/>
          <w:b/>
          <w:sz w:val="24"/>
        </w:rPr>
      </w:pPr>
      <w:r>
        <w:rPr>
          <w:rFonts w:ascii="宋体" w:hAnsi="宋体" w:cs="宋体"/>
          <w:sz w:val="24"/>
        </w:rPr>
        <w:t>表 3 DynamicViT 原始操作与密态语义改写对照表</w:t>
      </w:r>
    </w:p>
    <w:tbl>
      <w:tblPr>
        <w:tblStyle w:val="7"/>
        <w:tblW w:w="5376" w:type="pct"/>
        <w:jc w:val="center"/>
        <w:tblLayout w:type="autofit"/>
        <w:tblCellMar>
          <w:top w:w="0" w:type="dxa"/>
          <w:left w:w="108" w:type="dxa"/>
          <w:bottom w:w="0" w:type="dxa"/>
          <w:right w:w="108" w:type="dxa"/>
        </w:tblCellMar>
      </w:tblPr>
      <w:tblGrid>
        <w:gridCol w:w="1685"/>
        <w:gridCol w:w="1721"/>
        <w:gridCol w:w="3080"/>
        <w:gridCol w:w="1289"/>
        <w:gridCol w:w="1941"/>
      </w:tblGrid>
      <w:tr w14:paraId="6C7C4B55">
        <w:tblPrEx>
          <w:tblCellMar>
            <w:top w:w="0" w:type="dxa"/>
            <w:left w:w="108" w:type="dxa"/>
            <w:bottom w:w="0" w:type="dxa"/>
            <w:right w:w="108" w:type="dxa"/>
          </w:tblCellMar>
        </w:tblPrEx>
        <w:trPr>
          <w:tblHeader/>
          <w:jc w:val="center"/>
        </w:trPr>
        <w:tc>
          <w:tcPr>
            <w:tcW w:w="867" w:type="pct"/>
            <w:tcBorders>
              <w:top w:val="single" w:color="auto" w:sz="12" w:space="0"/>
              <w:left w:val="nil"/>
              <w:bottom w:val="nil"/>
              <w:right w:val="nil"/>
            </w:tcBorders>
            <w:tcMar>
              <w:top w:w="-1" w:type="dxa"/>
              <w:left w:w="-1" w:type="dxa"/>
              <w:bottom w:w="-1" w:type="dxa"/>
              <w:right w:w="-1" w:type="dxa"/>
            </w:tcMar>
            <w:vAlign w:val="center"/>
          </w:tcPr>
          <w:p w14:paraId="42AF5583">
            <w:pPr>
              <w:snapToGrid w:val="0"/>
              <w:jc w:val="center"/>
              <w:rPr>
                <w:rFonts w:ascii="宋体"/>
                <w:b/>
                <w:sz w:val="24"/>
              </w:rPr>
            </w:pPr>
            <w:r>
              <w:rPr>
                <w:rFonts w:ascii="宋体" w:hAnsi="宋体"/>
                <w:b/>
                <w:sz w:val="24"/>
              </w:rPr>
              <w:t>原始DynamicViT操作</w:t>
            </w:r>
          </w:p>
        </w:tc>
        <w:tc>
          <w:tcPr>
            <w:tcW w:w="885" w:type="pct"/>
            <w:tcBorders>
              <w:top w:val="single" w:color="auto" w:sz="12" w:space="0"/>
              <w:left w:val="nil"/>
              <w:bottom w:val="nil"/>
              <w:right w:val="nil"/>
            </w:tcBorders>
            <w:tcMar>
              <w:top w:w="-1" w:type="dxa"/>
              <w:left w:w="-1" w:type="dxa"/>
              <w:bottom w:w="-1" w:type="dxa"/>
              <w:right w:w="-1" w:type="dxa"/>
            </w:tcMar>
            <w:vAlign w:val="center"/>
          </w:tcPr>
          <w:p w14:paraId="5B705070">
            <w:pPr>
              <w:snapToGrid w:val="0"/>
              <w:jc w:val="center"/>
              <w:rPr>
                <w:rFonts w:ascii="宋体"/>
                <w:b/>
                <w:sz w:val="24"/>
              </w:rPr>
            </w:pPr>
            <w:r>
              <w:rPr>
                <w:rFonts w:ascii="宋体" w:hAnsi="宋体"/>
                <w:b/>
                <w:sz w:val="24"/>
              </w:rPr>
              <w:t>安全计算困难</w:t>
            </w:r>
          </w:p>
        </w:tc>
        <w:tc>
          <w:tcPr>
            <w:tcW w:w="1584" w:type="pct"/>
            <w:tcBorders>
              <w:top w:val="single" w:color="auto" w:sz="12" w:space="0"/>
              <w:left w:val="nil"/>
              <w:bottom w:val="nil"/>
              <w:right w:val="nil"/>
            </w:tcBorders>
            <w:tcMar>
              <w:top w:w="-1" w:type="dxa"/>
              <w:left w:w="-1" w:type="dxa"/>
              <w:bottom w:w="-1" w:type="dxa"/>
              <w:right w:w="-1" w:type="dxa"/>
            </w:tcMar>
            <w:vAlign w:val="center"/>
          </w:tcPr>
          <w:p w14:paraId="7ECACE52">
            <w:pPr>
              <w:snapToGrid w:val="0"/>
              <w:jc w:val="center"/>
              <w:rPr>
                <w:rFonts w:ascii="宋体"/>
                <w:b/>
                <w:sz w:val="24"/>
              </w:rPr>
            </w:pPr>
            <w:r>
              <w:rPr>
                <w:rFonts w:ascii="宋体" w:hAnsi="宋体"/>
                <w:b/>
                <w:sz w:val="24"/>
              </w:rPr>
              <w:t>本作品改写方式</w:t>
            </w:r>
          </w:p>
        </w:tc>
        <w:tc>
          <w:tcPr>
            <w:tcW w:w="663" w:type="pct"/>
            <w:tcBorders>
              <w:top w:val="single" w:color="auto" w:sz="12" w:space="0"/>
              <w:left w:val="nil"/>
              <w:bottom w:val="nil"/>
              <w:right w:val="nil"/>
            </w:tcBorders>
            <w:tcMar>
              <w:top w:w="-1" w:type="dxa"/>
              <w:left w:w="-1" w:type="dxa"/>
              <w:bottom w:w="-1" w:type="dxa"/>
              <w:right w:w="-1" w:type="dxa"/>
            </w:tcMar>
            <w:vAlign w:val="center"/>
          </w:tcPr>
          <w:p w14:paraId="455A26BC">
            <w:pPr>
              <w:snapToGrid w:val="0"/>
              <w:jc w:val="center"/>
              <w:rPr>
                <w:rFonts w:ascii="宋体"/>
                <w:b/>
                <w:sz w:val="24"/>
              </w:rPr>
            </w:pPr>
            <w:r>
              <w:rPr>
                <w:rFonts w:ascii="宋体" w:hAnsi="宋体"/>
                <w:b/>
                <w:sz w:val="24"/>
              </w:rPr>
              <w:t>代价</w:t>
            </w:r>
          </w:p>
        </w:tc>
        <w:tc>
          <w:tcPr>
            <w:tcW w:w="998" w:type="pct"/>
            <w:tcBorders>
              <w:top w:val="single" w:color="auto" w:sz="12" w:space="0"/>
              <w:left w:val="nil"/>
              <w:bottom w:val="nil"/>
              <w:right w:val="nil"/>
            </w:tcBorders>
            <w:tcMar>
              <w:top w:w="-1" w:type="dxa"/>
              <w:left w:w="-1" w:type="dxa"/>
              <w:bottom w:w="-1" w:type="dxa"/>
              <w:right w:w="-1" w:type="dxa"/>
            </w:tcMar>
            <w:vAlign w:val="center"/>
          </w:tcPr>
          <w:p w14:paraId="2E8CD962">
            <w:pPr>
              <w:snapToGrid w:val="0"/>
              <w:jc w:val="center"/>
              <w:rPr>
                <w:rFonts w:ascii="宋体"/>
                <w:b/>
                <w:sz w:val="24"/>
              </w:rPr>
            </w:pPr>
            <w:r>
              <w:rPr>
                <w:rFonts w:ascii="宋体" w:hAnsi="宋体"/>
                <w:b/>
                <w:sz w:val="24"/>
              </w:rPr>
              <w:t>验证方式</w:t>
            </w:r>
          </w:p>
        </w:tc>
      </w:tr>
      <w:tr w14:paraId="5DB09135">
        <w:tblPrEx>
          <w:tblCellMar>
            <w:top w:w="0" w:type="dxa"/>
            <w:left w:w="108" w:type="dxa"/>
            <w:bottom w:w="0" w:type="dxa"/>
            <w:right w:w="108" w:type="dxa"/>
          </w:tblCellMar>
        </w:tblPrEx>
        <w:trPr>
          <w:jc w:val="center"/>
        </w:trPr>
        <w:tc>
          <w:tcPr>
            <w:tcW w:w="867" w:type="pct"/>
            <w:tcBorders>
              <w:top w:val="single" w:color="auto" w:sz="4" w:space="0"/>
              <w:left w:val="nil"/>
              <w:bottom w:val="nil"/>
              <w:right w:val="nil"/>
            </w:tcBorders>
            <w:tcMar>
              <w:top w:w="-1" w:type="dxa"/>
              <w:left w:w="-1" w:type="dxa"/>
              <w:bottom w:w="-1" w:type="dxa"/>
              <w:right w:w="-1" w:type="dxa"/>
            </w:tcMar>
            <w:vAlign w:val="center"/>
          </w:tcPr>
          <w:p w14:paraId="7762E7B3">
            <w:pPr>
              <w:snapToGrid w:val="0"/>
              <w:jc w:val="center"/>
              <w:rPr>
                <w:rFonts w:ascii="宋体"/>
                <w:sz w:val="24"/>
              </w:rPr>
            </w:pPr>
            <w:r>
              <w:rPr>
                <w:rFonts w:ascii="宋体" w:hAnsi="宋体"/>
                <w:sz w:val="24"/>
              </w:rPr>
              <w:t>直接删除 token</w:t>
            </w:r>
          </w:p>
        </w:tc>
        <w:tc>
          <w:tcPr>
            <w:tcW w:w="885" w:type="pct"/>
            <w:tcBorders>
              <w:top w:val="single" w:color="auto" w:sz="4" w:space="0"/>
              <w:left w:val="nil"/>
              <w:bottom w:val="nil"/>
              <w:right w:val="nil"/>
            </w:tcBorders>
            <w:tcMar>
              <w:top w:w="-1" w:type="dxa"/>
              <w:left w:w="-1" w:type="dxa"/>
              <w:bottom w:w="-1" w:type="dxa"/>
              <w:right w:w="-1" w:type="dxa"/>
            </w:tcMar>
            <w:vAlign w:val="center"/>
          </w:tcPr>
          <w:p w14:paraId="285FA68E">
            <w:pPr>
              <w:snapToGrid w:val="0"/>
              <w:jc w:val="center"/>
              <w:rPr>
                <w:rFonts w:ascii="宋体"/>
                <w:sz w:val="24"/>
              </w:rPr>
            </w:pPr>
            <w:r>
              <w:rPr>
                <w:rFonts w:ascii="宋体" w:hAnsi="宋体"/>
                <w:sz w:val="24"/>
              </w:rPr>
              <w:t>变长结构难以进入固定图安全执行，且会暴露路径</w:t>
            </w:r>
          </w:p>
        </w:tc>
        <w:tc>
          <w:tcPr>
            <w:tcW w:w="1584" w:type="pct"/>
            <w:tcBorders>
              <w:top w:val="single" w:color="auto" w:sz="4" w:space="0"/>
              <w:left w:val="nil"/>
              <w:bottom w:val="nil"/>
              <w:right w:val="nil"/>
            </w:tcBorders>
            <w:tcMar>
              <w:top w:w="-1" w:type="dxa"/>
              <w:left w:w="-1" w:type="dxa"/>
              <w:bottom w:w="-1" w:type="dxa"/>
              <w:right w:w="-1" w:type="dxa"/>
            </w:tcMar>
            <w:vAlign w:val="center"/>
          </w:tcPr>
          <w:p w14:paraId="7885580B">
            <w:pPr>
              <w:snapToGrid w:val="0"/>
              <w:jc w:val="center"/>
              <w:rPr>
                <w:rFonts w:ascii="宋体"/>
                <w:sz w:val="24"/>
              </w:rPr>
            </w:pPr>
            <w:r>
              <w:rPr>
                <w:rFonts w:ascii="宋体" w:hAnsi="宋体"/>
                <w:sz w:val="24"/>
              </w:rPr>
              <w:t>改写为保留/置零的掩码化表达（keep/zero），由安全选择完成保留决策</w:t>
            </w:r>
          </w:p>
        </w:tc>
        <w:tc>
          <w:tcPr>
            <w:tcW w:w="663" w:type="pct"/>
            <w:tcBorders>
              <w:top w:val="single" w:color="auto" w:sz="4" w:space="0"/>
              <w:left w:val="nil"/>
              <w:bottom w:val="nil"/>
              <w:right w:val="nil"/>
            </w:tcBorders>
            <w:tcMar>
              <w:top w:w="-1" w:type="dxa"/>
              <w:left w:w="-1" w:type="dxa"/>
              <w:bottom w:w="-1" w:type="dxa"/>
              <w:right w:w="-1" w:type="dxa"/>
            </w:tcMar>
            <w:vAlign w:val="center"/>
          </w:tcPr>
          <w:p w14:paraId="2E8FA29F">
            <w:pPr>
              <w:snapToGrid w:val="0"/>
              <w:jc w:val="center"/>
              <w:rPr>
                <w:rFonts w:ascii="宋体"/>
                <w:sz w:val="24"/>
              </w:rPr>
            </w:pPr>
            <w:r>
              <w:rPr>
                <w:rFonts w:ascii="宋体" w:hAnsi="宋体"/>
                <w:sz w:val="24"/>
              </w:rPr>
              <w:t>保留了部分冗余计算</w:t>
            </w:r>
          </w:p>
        </w:tc>
        <w:tc>
          <w:tcPr>
            <w:tcW w:w="998" w:type="pct"/>
            <w:tcBorders>
              <w:top w:val="single" w:color="auto" w:sz="4" w:space="0"/>
              <w:left w:val="nil"/>
              <w:bottom w:val="nil"/>
              <w:right w:val="nil"/>
            </w:tcBorders>
            <w:tcMar>
              <w:top w:w="-1" w:type="dxa"/>
              <w:left w:w="-1" w:type="dxa"/>
              <w:bottom w:w="-1" w:type="dxa"/>
              <w:right w:w="-1" w:type="dxa"/>
            </w:tcMar>
            <w:vAlign w:val="center"/>
          </w:tcPr>
          <w:p w14:paraId="575E74B8">
            <w:pPr>
              <w:snapToGrid w:val="0"/>
              <w:jc w:val="center"/>
              <w:rPr>
                <w:rFonts w:ascii="宋体"/>
                <w:sz w:val="24"/>
              </w:rPr>
            </w:pPr>
            <w:r>
              <w:rPr>
                <w:rFonts w:ascii="宋体" w:hAnsi="宋体"/>
                <w:sz w:val="24"/>
              </w:rPr>
              <w:t>本地明文参考路径与 secure replay 一致性对齐</w:t>
            </w:r>
          </w:p>
        </w:tc>
      </w:tr>
      <w:tr w14:paraId="441B9A6B">
        <w:tblPrEx>
          <w:tblCellMar>
            <w:top w:w="0" w:type="dxa"/>
            <w:left w:w="108" w:type="dxa"/>
            <w:bottom w:w="0" w:type="dxa"/>
            <w:right w:w="108" w:type="dxa"/>
          </w:tblCellMar>
        </w:tblPrEx>
        <w:trPr>
          <w:jc w:val="center"/>
        </w:trPr>
        <w:tc>
          <w:tcPr>
            <w:tcW w:w="867" w:type="pct"/>
            <w:tcBorders>
              <w:top w:val="nil"/>
              <w:left w:val="nil"/>
              <w:bottom w:val="nil"/>
              <w:right w:val="nil"/>
            </w:tcBorders>
            <w:tcMar>
              <w:top w:w="-1" w:type="dxa"/>
              <w:left w:w="-1" w:type="dxa"/>
              <w:bottom w:w="-1" w:type="dxa"/>
              <w:right w:w="-1" w:type="dxa"/>
            </w:tcMar>
            <w:vAlign w:val="center"/>
          </w:tcPr>
          <w:p w14:paraId="59BF7A57">
            <w:pPr>
              <w:snapToGrid w:val="0"/>
              <w:jc w:val="center"/>
              <w:rPr>
                <w:rFonts w:ascii="宋体"/>
                <w:sz w:val="24"/>
              </w:rPr>
            </w:pPr>
            <w:r>
              <w:rPr>
                <w:rFonts w:ascii="宋体" w:hAnsi="宋体"/>
                <w:sz w:val="24"/>
              </w:rPr>
              <w:t>明文阈值比较</w:t>
            </w:r>
          </w:p>
        </w:tc>
        <w:tc>
          <w:tcPr>
            <w:tcW w:w="885" w:type="pct"/>
            <w:tcBorders>
              <w:top w:val="nil"/>
              <w:left w:val="nil"/>
              <w:bottom w:val="nil"/>
              <w:right w:val="nil"/>
            </w:tcBorders>
            <w:tcMar>
              <w:top w:w="-1" w:type="dxa"/>
              <w:left w:w="-1" w:type="dxa"/>
              <w:bottom w:w="-1" w:type="dxa"/>
              <w:right w:w="-1" w:type="dxa"/>
            </w:tcMar>
            <w:vAlign w:val="center"/>
          </w:tcPr>
          <w:p w14:paraId="21C53E83">
            <w:pPr>
              <w:snapToGrid w:val="0"/>
              <w:jc w:val="center"/>
              <w:rPr>
                <w:rFonts w:ascii="宋体"/>
                <w:sz w:val="24"/>
              </w:rPr>
            </w:pPr>
            <w:r>
              <w:rPr>
                <w:rFonts w:ascii="宋体" w:hAnsi="宋体"/>
                <w:sz w:val="24"/>
              </w:rPr>
              <w:t>数据相关分支会泄露剪枝边界</w:t>
            </w:r>
          </w:p>
        </w:tc>
        <w:tc>
          <w:tcPr>
            <w:tcW w:w="1584" w:type="pct"/>
            <w:tcBorders>
              <w:top w:val="nil"/>
              <w:left w:val="nil"/>
              <w:bottom w:val="nil"/>
              <w:right w:val="nil"/>
            </w:tcBorders>
            <w:tcMar>
              <w:top w:w="-1" w:type="dxa"/>
              <w:left w:w="-1" w:type="dxa"/>
              <w:bottom w:w="-1" w:type="dxa"/>
              <w:right w:w="-1" w:type="dxa"/>
            </w:tcMar>
            <w:vAlign w:val="center"/>
          </w:tcPr>
          <w:p w14:paraId="26FBF870">
            <w:pPr>
              <w:snapToGrid w:val="0"/>
              <w:jc w:val="center"/>
              <w:rPr>
                <w:rFonts w:ascii="宋体"/>
                <w:sz w:val="24"/>
              </w:rPr>
            </w:pPr>
            <w:r>
              <w:rPr>
                <w:rFonts w:ascii="宋体" w:hAnsi="宋体"/>
                <w:sz w:val="24"/>
              </w:rPr>
              <w:t>将比较逻辑改写为安全比较语义</w:t>
            </w:r>
          </w:p>
        </w:tc>
        <w:tc>
          <w:tcPr>
            <w:tcW w:w="663" w:type="pct"/>
            <w:tcBorders>
              <w:top w:val="nil"/>
              <w:left w:val="nil"/>
              <w:bottom w:val="nil"/>
              <w:right w:val="nil"/>
            </w:tcBorders>
            <w:tcMar>
              <w:top w:w="-1" w:type="dxa"/>
              <w:left w:w="-1" w:type="dxa"/>
              <w:bottom w:w="-1" w:type="dxa"/>
              <w:right w:w="-1" w:type="dxa"/>
            </w:tcMar>
            <w:vAlign w:val="center"/>
          </w:tcPr>
          <w:p w14:paraId="2B76BA27">
            <w:pPr>
              <w:snapToGrid w:val="0"/>
              <w:jc w:val="center"/>
              <w:rPr>
                <w:rFonts w:ascii="宋体"/>
                <w:sz w:val="24"/>
              </w:rPr>
            </w:pPr>
            <w:r>
              <w:rPr>
                <w:rFonts w:ascii="宋体" w:hAnsi="宋体"/>
                <w:sz w:val="24"/>
              </w:rPr>
              <w:t>增加比较通信与控制流复杂度</w:t>
            </w:r>
          </w:p>
        </w:tc>
        <w:tc>
          <w:tcPr>
            <w:tcW w:w="998" w:type="pct"/>
            <w:tcBorders>
              <w:top w:val="nil"/>
              <w:left w:val="nil"/>
              <w:bottom w:val="nil"/>
              <w:right w:val="nil"/>
            </w:tcBorders>
            <w:tcMar>
              <w:top w:w="-1" w:type="dxa"/>
              <w:left w:w="-1" w:type="dxa"/>
              <w:bottom w:w="-1" w:type="dxa"/>
              <w:right w:w="-1" w:type="dxa"/>
            </w:tcMar>
            <w:vAlign w:val="center"/>
          </w:tcPr>
          <w:p w14:paraId="04D03F5E">
            <w:pPr>
              <w:snapToGrid w:val="0"/>
              <w:jc w:val="center"/>
              <w:rPr>
                <w:rFonts w:ascii="宋体"/>
                <w:sz w:val="24"/>
              </w:rPr>
            </w:pPr>
            <w:r>
              <w:rPr>
                <w:rFonts w:ascii="宋体" w:hAnsi="宋体"/>
                <w:sz w:val="24"/>
              </w:rPr>
              <w:t>部署阈值回代与输出一致性验证</w:t>
            </w:r>
          </w:p>
        </w:tc>
      </w:tr>
      <w:tr w14:paraId="1E186895">
        <w:tblPrEx>
          <w:tblCellMar>
            <w:top w:w="0" w:type="dxa"/>
            <w:left w:w="108" w:type="dxa"/>
            <w:bottom w:w="0" w:type="dxa"/>
            <w:right w:w="108" w:type="dxa"/>
          </w:tblCellMar>
        </w:tblPrEx>
        <w:trPr>
          <w:jc w:val="center"/>
        </w:trPr>
        <w:tc>
          <w:tcPr>
            <w:tcW w:w="867" w:type="pct"/>
            <w:tcBorders>
              <w:top w:val="nil"/>
              <w:left w:val="nil"/>
              <w:bottom w:val="nil"/>
              <w:right w:val="nil"/>
            </w:tcBorders>
            <w:tcMar>
              <w:top w:w="-1" w:type="dxa"/>
              <w:left w:w="-1" w:type="dxa"/>
              <w:bottom w:w="-1" w:type="dxa"/>
              <w:right w:w="-1" w:type="dxa"/>
            </w:tcMar>
            <w:vAlign w:val="center"/>
          </w:tcPr>
          <w:p w14:paraId="71FFC738">
            <w:pPr>
              <w:snapToGrid w:val="0"/>
              <w:jc w:val="center"/>
              <w:rPr>
                <w:rFonts w:ascii="宋体"/>
                <w:sz w:val="24"/>
              </w:rPr>
            </w:pPr>
            <w:r>
              <w:rPr>
                <w:rFonts w:ascii="宋体" w:hAnsi="宋体"/>
                <w:sz w:val="24"/>
              </w:rPr>
              <w:t>数据相关 Top-</w:t>
            </w:r>
            <m:oMath>
              <m:r>
                <m:rPr/>
                <w:rPr>
                  <w:rFonts w:ascii="Cambria Math" w:hAnsi="Cambria Math"/>
                  <w:sz w:val="24"/>
                </w:rPr>
                <m:t>K</m:t>
              </m:r>
            </m:oMath>
            <w:r>
              <w:rPr>
                <w:rFonts w:ascii="宋体" w:hAnsi="宋体"/>
                <w:sz w:val="24"/>
              </w:rPr>
              <w:t>选择</w:t>
            </w:r>
          </w:p>
        </w:tc>
        <w:tc>
          <w:tcPr>
            <w:tcW w:w="885" w:type="pct"/>
            <w:tcBorders>
              <w:top w:val="nil"/>
              <w:left w:val="nil"/>
              <w:bottom w:val="nil"/>
              <w:right w:val="nil"/>
            </w:tcBorders>
            <w:tcMar>
              <w:top w:w="-1" w:type="dxa"/>
              <w:left w:w="-1" w:type="dxa"/>
              <w:bottom w:w="-1" w:type="dxa"/>
              <w:right w:w="-1" w:type="dxa"/>
            </w:tcMar>
            <w:vAlign w:val="center"/>
          </w:tcPr>
          <w:p w14:paraId="7C8AB310">
            <w:pPr>
              <w:snapToGrid w:val="0"/>
              <w:jc w:val="center"/>
              <w:rPr>
                <w:rFonts w:ascii="宋体"/>
                <w:sz w:val="24"/>
              </w:rPr>
            </w:pPr>
            <w:r>
              <w:rPr>
                <w:rFonts w:ascii="宋体" w:hAnsi="宋体"/>
                <w:sz w:val="24"/>
              </w:rPr>
              <w:t>动态索引与并列分数处理不稳定</w:t>
            </w:r>
          </w:p>
        </w:tc>
        <w:tc>
          <w:tcPr>
            <w:tcW w:w="1584" w:type="pct"/>
            <w:tcBorders>
              <w:top w:val="nil"/>
              <w:left w:val="nil"/>
              <w:bottom w:val="nil"/>
              <w:right w:val="nil"/>
            </w:tcBorders>
            <w:tcMar>
              <w:top w:w="-1" w:type="dxa"/>
              <w:left w:w="-1" w:type="dxa"/>
              <w:bottom w:w="-1" w:type="dxa"/>
              <w:right w:w="-1" w:type="dxa"/>
            </w:tcMar>
            <w:vAlign w:val="center"/>
          </w:tcPr>
          <w:p w14:paraId="7004799A">
            <w:pPr>
              <w:snapToGrid w:val="0"/>
              <w:jc w:val="center"/>
              <w:rPr>
                <w:rFonts w:ascii="宋体"/>
                <w:sz w:val="24"/>
              </w:rPr>
            </w:pPr>
            <w:r>
              <w:rPr>
                <w:rFonts w:ascii="宋体" w:hAnsi="宋体"/>
                <w:sz w:val="24"/>
              </w:rPr>
              <w:t>采用编码索引跟踪与排序网络构造保留掩码（keep-mask）</w:t>
            </w:r>
          </w:p>
        </w:tc>
        <w:tc>
          <w:tcPr>
            <w:tcW w:w="663" w:type="pct"/>
            <w:tcBorders>
              <w:top w:val="nil"/>
              <w:left w:val="nil"/>
              <w:bottom w:val="nil"/>
              <w:right w:val="nil"/>
            </w:tcBorders>
            <w:tcMar>
              <w:top w:w="-1" w:type="dxa"/>
              <w:left w:w="-1" w:type="dxa"/>
              <w:bottom w:w="-1" w:type="dxa"/>
              <w:right w:w="-1" w:type="dxa"/>
            </w:tcMar>
            <w:vAlign w:val="center"/>
          </w:tcPr>
          <w:p w14:paraId="76B9EE78">
            <w:pPr>
              <w:snapToGrid w:val="0"/>
              <w:jc w:val="center"/>
              <w:rPr>
                <w:rFonts w:ascii="宋体"/>
                <w:sz w:val="24"/>
              </w:rPr>
            </w:pPr>
            <w:r>
              <w:rPr>
                <w:rFonts w:ascii="宋体" w:hAnsi="宋体"/>
                <w:sz w:val="24"/>
              </w:rPr>
              <w:t>排序代价上升</w:t>
            </w:r>
          </w:p>
        </w:tc>
        <w:tc>
          <w:tcPr>
            <w:tcW w:w="998" w:type="pct"/>
            <w:tcBorders>
              <w:top w:val="nil"/>
              <w:left w:val="nil"/>
              <w:bottom w:val="nil"/>
              <w:right w:val="nil"/>
            </w:tcBorders>
            <w:tcMar>
              <w:top w:w="-1" w:type="dxa"/>
              <w:left w:w="-1" w:type="dxa"/>
              <w:bottom w:w="-1" w:type="dxa"/>
              <w:right w:w="-1" w:type="dxa"/>
            </w:tcMar>
            <w:vAlign w:val="center"/>
          </w:tcPr>
          <w:p w14:paraId="55FE7697">
            <w:pPr>
              <w:snapToGrid w:val="0"/>
              <w:jc w:val="center"/>
              <w:rPr>
                <w:rFonts w:ascii="宋体"/>
                <w:sz w:val="24"/>
              </w:rPr>
            </w:pPr>
            <w:r>
              <w:rPr>
                <w:rFonts w:ascii="宋体" w:hAnsi="宋体"/>
                <w:sz w:val="24"/>
              </w:rPr>
              <w:t>排序结果与后续决策链功能验证</w:t>
            </w:r>
          </w:p>
        </w:tc>
      </w:tr>
      <w:tr w14:paraId="3DED7260">
        <w:tblPrEx>
          <w:tblCellMar>
            <w:top w:w="0" w:type="dxa"/>
            <w:left w:w="108" w:type="dxa"/>
            <w:bottom w:w="0" w:type="dxa"/>
            <w:right w:w="108" w:type="dxa"/>
          </w:tblCellMar>
        </w:tblPrEx>
        <w:trPr>
          <w:jc w:val="center"/>
        </w:trPr>
        <w:tc>
          <w:tcPr>
            <w:tcW w:w="867" w:type="pct"/>
            <w:tcBorders>
              <w:top w:val="nil"/>
              <w:left w:val="nil"/>
              <w:bottom w:val="single" w:color="auto" w:sz="12" w:space="0"/>
              <w:right w:val="nil"/>
            </w:tcBorders>
            <w:tcMar>
              <w:top w:w="-1" w:type="dxa"/>
              <w:left w:w="-1" w:type="dxa"/>
              <w:bottom w:w="-1" w:type="dxa"/>
              <w:right w:w="-1" w:type="dxa"/>
            </w:tcMar>
            <w:vAlign w:val="center"/>
          </w:tcPr>
          <w:p w14:paraId="2970DAEC">
            <w:pPr>
              <w:snapToGrid w:val="0"/>
              <w:jc w:val="center"/>
              <w:rPr>
                <w:rFonts w:ascii="宋体"/>
                <w:sz w:val="24"/>
              </w:rPr>
            </w:pPr>
            <w:r>
              <w:rPr>
                <w:rFonts w:ascii="宋体" w:hAnsi="宋体"/>
                <w:sz w:val="24"/>
              </w:rPr>
              <w:t>外部明文决定 keep-mask</w:t>
            </w:r>
          </w:p>
        </w:tc>
        <w:tc>
          <w:tcPr>
            <w:tcW w:w="885" w:type="pct"/>
            <w:tcBorders>
              <w:top w:val="nil"/>
              <w:left w:val="nil"/>
              <w:bottom w:val="single" w:color="auto" w:sz="12" w:space="0"/>
              <w:right w:val="nil"/>
            </w:tcBorders>
            <w:tcMar>
              <w:top w:w="-1" w:type="dxa"/>
              <w:left w:w="-1" w:type="dxa"/>
              <w:bottom w:w="-1" w:type="dxa"/>
              <w:right w:w="-1" w:type="dxa"/>
            </w:tcMar>
            <w:vAlign w:val="center"/>
          </w:tcPr>
          <w:p w14:paraId="698B4B73">
            <w:pPr>
              <w:snapToGrid w:val="0"/>
              <w:jc w:val="center"/>
              <w:rPr>
                <w:rFonts w:ascii="宋体"/>
                <w:sz w:val="24"/>
              </w:rPr>
            </w:pPr>
            <w:r>
              <w:rPr>
                <w:rFonts w:ascii="宋体" w:hAnsi="宋体"/>
                <w:sz w:val="24"/>
              </w:rPr>
              <w:t>会退化为半隐私运行</w:t>
            </w:r>
          </w:p>
        </w:tc>
        <w:tc>
          <w:tcPr>
            <w:tcW w:w="1584" w:type="pct"/>
            <w:tcBorders>
              <w:top w:val="nil"/>
              <w:left w:val="nil"/>
              <w:bottom w:val="single" w:color="auto" w:sz="12" w:space="0"/>
              <w:right w:val="nil"/>
            </w:tcBorders>
            <w:tcMar>
              <w:top w:w="-1" w:type="dxa"/>
              <w:left w:w="-1" w:type="dxa"/>
              <w:bottom w:w="-1" w:type="dxa"/>
              <w:right w:w="-1" w:type="dxa"/>
            </w:tcMar>
            <w:vAlign w:val="center"/>
          </w:tcPr>
          <w:p w14:paraId="1FDA7211">
            <w:pPr>
              <w:snapToGrid w:val="0"/>
              <w:jc w:val="center"/>
              <w:rPr>
                <w:rFonts w:ascii="宋体"/>
                <w:sz w:val="24"/>
              </w:rPr>
            </w:pPr>
            <w:r>
              <w:rPr>
                <w:rFonts w:ascii="宋体" w:hAnsi="宋体"/>
                <w:sz w:val="24"/>
              </w:rPr>
              <w:t>将 PredictorLG、阈值判断和并列分数决断（tie）保留在安全执行域内</w:t>
            </w:r>
          </w:p>
        </w:tc>
        <w:tc>
          <w:tcPr>
            <w:tcW w:w="663" w:type="pct"/>
            <w:tcBorders>
              <w:top w:val="nil"/>
              <w:left w:val="nil"/>
              <w:bottom w:val="single" w:color="auto" w:sz="12" w:space="0"/>
              <w:right w:val="nil"/>
            </w:tcBorders>
            <w:tcMar>
              <w:top w:w="-1" w:type="dxa"/>
              <w:left w:w="-1" w:type="dxa"/>
              <w:bottom w:w="-1" w:type="dxa"/>
              <w:right w:w="-1" w:type="dxa"/>
            </w:tcMar>
            <w:vAlign w:val="center"/>
          </w:tcPr>
          <w:p w14:paraId="1A56B03F">
            <w:pPr>
              <w:snapToGrid w:val="0"/>
              <w:jc w:val="center"/>
              <w:rPr>
                <w:rFonts w:ascii="宋体"/>
                <w:sz w:val="24"/>
              </w:rPr>
            </w:pPr>
            <w:r>
              <w:rPr>
                <w:rFonts w:ascii="宋体" w:hAnsi="宋体"/>
                <w:sz w:val="24"/>
              </w:rPr>
              <w:t>图规模扩大、执行时间增长</w:t>
            </w:r>
          </w:p>
        </w:tc>
        <w:tc>
          <w:tcPr>
            <w:tcW w:w="998" w:type="pct"/>
            <w:tcBorders>
              <w:top w:val="nil"/>
              <w:left w:val="nil"/>
              <w:bottom w:val="single" w:color="auto" w:sz="12" w:space="0"/>
              <w:right w:val="nil"/>
            </w:tcBorders>
            <w:tcMar>
              <w:top w:w="-1" w:type="dxa"/>
              <w:left w:w="-1" w:type="dxa"/>
              <w:bottom w:w="-1" w:type="dxa"/>
              <w:right w:w="-1" w:type="dxa"/>
            </w:tcMar>
            <w:vAlign w:val="center"/>
          </w:tcPr>
          <w:p w14:paraId="0AB431F6">
            <w:pPr>
              <w:snapToGrid w:val="0"/>
              <w:jc w:val="center"/>
              <w:rPr>
                <w:rFonts w:ascii="宋体"/>
                <w:sz w:val="24"/>
              </w:rPr>
            </w:pPr>
            <w:r>
              <w:rPr>
                <w:rFonts w:ascii="宋体" w:hAnsi="宋体"/>
                <w:sz w:val="24"/>
              </w:rPr>
              <w:t>双向隐私运行链与前端控制面联调</w:t>
            </w:r>
          </w:p>
        </w:tc>
      </w:tr>
    </w:tbl>
    <w:p w14:paraId="594995B4">
      <w:pPr>
        <w:spacing w:line="360" w:lineRule="auto"/>
        <w:rPr>
          <w:rFonts w:hint="eastAsia" w:ascii="宋体" w:hAnsi="宋体"/>
          <w:sz w:val="24"/>
        </w:rPr>
      </w:pPr>
      <w:r>
        <w:rPr>
          <w:rFonts w:ascii="宋体" w:hAnsi="宋体" w:cs="宋体"/>
          <w:sz w:val="24"/>
        </w:rPr>
        <w:t>注：所有改写操作均在 SecretFlow SPU 0.9.3.dev20241118 框架下实现，验证方式包含本地明文参考对齐与密态执行一致性校验。</w:t>
      </w:r>
    </w:p>
    <w:p w14:paraId="77010982">
      <w:pPr>
        <w:spacing w:line="360" w:lineRule="auto"/>
        <w:ind w:firstLine="480"/>
      </w:pPr>
      <w:r>
        <w:rPr>
          <w:rFonts w:ascii="宋体" w:hAnsi="宋体"/>
          <w:sz w:val="24"/>
        </w:rPr>
        <w:t>为便于从工程层面理解本节中的协议友好重写，图 2-3 将原始 DynamicViT 的删除式剪枝路径与本作品的掩码化密态语义重写并列展示。其核心差异在于：正式交付链路不再直接删除词元，而是以 keep-mask 表达保留边界，从而在固定图安全执行约束下保留动态剪枝能力。</w:t>
      </w:r>
    </w:p>
    <w:p w14:paraId="7DD6A860">
      <w:pPr>
        <w:spacing w:line="360" w:lineRule="auto"/>
        <w:jc w:val="center"/>
      </w:pPr>
      <w:r>
        <w:drawing>
          <wp:inline distT="0" distB="0" distL="114300" distR="114300">
            <wp:extent cx="5600065" cy="3063240"/>
            <wp:effectExtent l="0" t="0" r="635"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600065" cy="3063240"/>
                    </a:xfrm>
                    <a:prstGeom prst="rect">
                      <a:avLst/>
                    </a:prstGeom>
                    <a:noFill/>
                    <a:ln>
                      <a:noFill/>
                    </a:ln>
                  </pic:spPr>
                </pic:pic>
              </a:graphicData>
            </a:graphic>
          </wp:inline>
        </w:drawing>
      </w:r>
    </w:p>
    <w:p w14:paraId="2F06574C">
      <w:pPr>
        <w:spacing w:line="288" w:lineRule="auto"/>
        <w:jc w:val="center"/>
      </w:pPr>
      <w:r>
        <w:rPr>
          <w:rFonts w:ascii="宋体" w:hAnsi="宋体"/>
          <w:sz w:val="20"/>
        </w:rPr>
        <w:t>图2-3 DynamicViT 密态改写前后对照图：左侧为原始删除式剪枝，右侧为本作品的掩码化重写与固定图密态前向。</w:t>
      </w:r>
    </w:p>
    <w:p w14:paraId="214FD228">
      <w:pPr>
        <w:spacing w:line="360" w:lineRule="auto"/>
        <w:outlineLvl w:val="1"/>
        <w:rPr>
          <w:rFonts w:hint="eastAsia" w:ascii="黑体" w:hAnsi="黑体" w:eastAsia="黑体"/>
          <w:b/>
          <w:sz w:val="24"/>
        </w:rPr>
      </w:pPr>
      <w:bookmarkStart w:id="22" w:name="_Toc230691151"/>
      <w:bookmarkStart w:id="23" w:name="Transshield_TOC_section_2_5"/>
      <w:r>
        <w:rPr>
          <w:rFonts w:ascii="黑体" w:hAnsi="黑体" w:eastAsia="黑体"/>
          <w:b/>
          <w:sz w:val="24"/>
        </w:rPr>
        <w:t>2.5 硬件部署与软件基准</w:t>
      </w:r>
      <w:bookmarkEnd w:id="22"/>
      <w:bookmarkEnd w:id="23"/>
    </w:p>
    <w:p w14:paraId="0E3E1051">
      <w:pPr>
        <w:spacing w:line="360" w:lineRule="auto"/>
        <w:ind w:firstLine="480" w:firstLineChars="200"/>
        <w:rPr>
          <w:rFonts w:hint="eastAsia" w:ascii="宋体" w:hAnsi="宋体" w:cs="宋体"/>
          <w:sz w:val="24"/>
        </w:rPr>
      </w:pPr>
      <w:r>
        <w:rPr>
          <w:rFonts w:ascii="宋体" w:hAnsi="宋体" w:cs="宋体"/>
          <w:sz w:val="24"/>
        </w:rPr>
        <w:t>本作品所有实验与性能测试均在统一的硬件与软件环境下执行，具体配置基准如表 4 所示。</w:t>
      </w:r>
    </w:p>
    <w:p w14:paraId="7E04A759">
      <w:pPr>
        <w:spacing w:line="360" w:lineRule="auto"/>
        <w:ind w:firstLine="480" w:firstLineChars="200"/>
        <w:jc w:val="center"/>
        <w:rPr>
          <w:rFonts w:hint="eastAsia" w:ascii="宋体" w:hAnsi="宋体" w:cs="宋体"/>
          <w:sz w:val="24"/>
        </w:rPr>
      </w:pPr>
      <w:r>
        <w:rPr>
          <w:rFonts w:ascii="宋体" w:hAnsi="宋体" w:cs="宋体"/>
          <w:sz w:val="24"/>
        </w:rPr>
        <w:t>表 4 原型系统硬件部署与软件环境基准</w:t>
      </w:r>
    </w:p>
    <w:tbl>
      <w:tblPr>
        <w:tblStyle w:val="7"/>
        <w:tblW w:w="8820" w:type="dxa"/>
        <w:jc w:val="center"/>
        <w:tblLayout w:type="autofit"/>
        <w:tblCellMar>
          <w:top w:w="0" w:type="dxa"/>
          <w:left w:w="108" w:type="dxa"/>
          <w:bottom w:w="0" w:type="dxa"/>
          <w:right w:w="108" w:type="dxa"/>
        </w:tblCellMar>
      </w:tblPr>
      <w:tblGrid>
        <w:gridCol w:w="1270"/>
        <w:gridCol w:w="7550"/>
      </w:tblGrid>
      <w:tr w14:paraId="66D7D754">
        <w:tblPrEx>
          <w:tblCellMar>
            <w:top w:w="0" w:type="dxa"/>
            <w:left w:w="108" w:type="dxa"/>
            <w:bottom w:w="0" w:type="dxa"/>
            <w:right w:w="108" w:type="dxa"/>
          </w:tblCellMar>
        </w:tblPrEx>
        <w:trPr>
          <w:tblHeader/>
          <w:jc w:val="center"/>
        </w:trPr>
        <w:tc>
          <w:tcPr>
            <w:tcW w:w="1270" w:type="dxa"/>
            <w:tcBorders>
              <w:top w:val="single" w:color="auto" w:sz="12" w:space="0"/>
              <w:left w:val="nil"/>
              <w:bottom w:val="nil"/>
              <w:right w:val="nil"/>
            </w:tcBorders>
            <w:tcMar>
              <w:top w:w="-1" w:type="dxa"/>
              <w:left w:w="-1" w:type="dxa"/>
              <w:bottom w:w="-1" w:type="dxa"/>
              <w:right w:w="-1" w:type="dxa"/>
            </w:tcMar>
          </w:tcPr>
          <w:p w14:paraId="1394FCD1">
            <w:pPr>
              <w:snapToGrid w:val="0"/>
              <w:jc w:val="center"/>
              <w:rPr>
                <w:sz w:val="24"/>
              </w:rPr>
            </w:pPr>
            <w:r>
              <w:rPr>
                <w:rFonts w:ascii="宋体" w:hAnsi="宋体"/>
                <w:b/>
                <w:sz w:val="24"/>
              </w:rPr>
              <w:t>项目</w:t>
            </w:r>
          </w:p>
        </w:tc>
        <w:tc>
          <w:tcPr>
            <w:tcW w:w="7550" w:type="dxa"/>
            <w:tcBorders>
              <w:top w:val="single" w:color="auto" w:sz="12" w:space="0"/>
              <w:left w:val="nil"/>
              <w:bottom w:val="nil"/>
              <w:right w:val="nil"/>
            </w:tcBorders>
            <w:tcMar>
              <w:top w:w="-1" w:type="dxa"/>
              <w:left w:w="-1" w:type="dxa"/>
              <w:bottom w:w="-1" w:type="dxa"/>
              <w:right w:w="-1" w:type="dxa"/>
            </w:tcMar>
          </w:tcPr>
          <w:p w14:paraId="55B39E97">
            <w:pPr>
              <w:snapToGrid w:val="0"/>
              <w:jc w:val="center"/>
              <w:rPr>
                <w:sz w:val="24"/>
              </w:rPr>
            </w:pPr>
            <w:r>
              <w:rPr>
                <w:rFonts w:ascii="宋体" w:hAnsi="宋体"/>
                <w:b/>
                <w:sz w:val="24"/>
              </w:rPr>
              <w:t>配置</w:t>
            </w:r>
          </w:p>
        </w:tc>
      </w:tr>
      <w:tr w14:paraId="6E6285BB">
        <w:tblPrEx>
          <w:tblCellMar>
            <w:top w:w="0" w:type="dxa"/>
            <w:left w:w="108" w:type="dxa"/>
            <w:bottom w:w="0" w:type="dxa"/>
            <w:right w:w="108" w:type="dxa"/>
          </w:tblCellMar>
        </w:tblPrEx>
        <w:trPr>
          <w:tblHeader/>
          <w:jc w:val="center"/>
        </w:trPr>
        <w:tc>
          <w:tcPr>
            <w:tcW w:w="1270" w:type="dxa"/>
            <w:tcBorders>
              <w:top w:val="single" w:color="auto" w:sz="4" w:space="0"/>
              <w:left w:val="nil"/>
              <w:bottom w:val="nil"/>
              <w:right w:val="nil"/>
            </w:tcBorders>
            <w:tcMar>
              <w:top w:w="-1" w:type="dxa"/>
              <w:left w:w="-1" w:type="dxa"/>
              <w:bottom w:w="-1" w:type="dxa"/>
              <w:right w:w="-1" w:type="dxa"/>
            </w:tcMar>
          </w:tcPr>
          <w:p w14:paraId="016C8E81">
            <w:pPr>
              <w:snapToGrid w:val="0"/>
              <w:rPr>
                <w:sz w:val="24"/>
              </w:rPr>
            </w:pPr>
            <w:r>
              <w:rPr>
                <w:rFonts w:ascii="宋体" w:hAnsi="宋体"/>
                <w:sz w:val="24"/>
              </w:rPr>
              <w:t>CPU</w:t>
            </w:r>
          </w:p>
        </w:tc>
        <w:tc>
          <w:tcPr>
            <w:tcW w:w="7550" w:type="dxa"/>
            <w:tcBorders>
              <w:top w:val="single" w:color="auto" w:sz="4" w:space="0"/>
              <w:left w:val="nil"/>
              <w:bottom w:val="nil"/>
              <w:right w:val="nil"/>
            </w:tcBorders>
            <w:tcMar>
              <w:top w:w="-1" w:type="dxa"/>
              <w:left w:w="-1" w:type="dxa"/>
              <w:bottom w:w="-1" w:type="dxa"/>
              <w:right w:w="-1" w:type="dxa"/>
            </w:tcMar>
          </w:tcPr>
          <w:p w14:paraId="3CA3AE4D">
            <w:pPr>
              <w:snapToGrid w:val="0"/>
              <w:rPr>
                <w:sz w:val="24"/>
              </w:rPr>
            </w:pPr>
            <w:r>
              <w:rPr>
                <w:rFonts w:ascii="宋体" w:hAnsi="宋体"/>
                <w:sz w:val="24"/>
              </w:rPr>
              <w:t>Intel Xeon Gold 6148 @ 2.40GHz，80 逻辑核（2 路，每路 20 核，超线程开启）</w:t>
            </w:r>
          </w:p>
        </w:tc>
      </w:tr>
      <w:tr w14:paraId="00E8EF78">
        <w:tblPrEx>
          <w:tblCellMar>
            <w:top w:w="0" w:type="dxa"/>
            <w:left w:w="108" w:type="dxa"/>
            <w:bottom w:w="0" w:type="dxa"/>
            <w:right w:w="108" w:type="dxa"/>
          </w:tblCellMar>
        </w:tblPrEx>
        <w:trPr>
          <w:tblHeader/>
          <w:jc w:val="center"/>
        </w:trPr>
        <w:tc>
          <w:tcPr>
            <w:tcW w:w="1270" w:type="dxa"/>
            <w:tcBorders>
              <w:top w:val="nil"/>
              <w:left w:val="nil"/>
              <w:bottom w:val="nil"/>
              <w:right w:val="nil"/>
            </w:tcBorders>
            <w:tcMar>
              <w:top w:w="-1" w:type="dxa"/>
              <w:left w:w="-1" w:type="dxa"/>
              <w:bottom w:w="-1" w:type="dxa"/>
              <w:right w:w="-1" w:type="dxa"/>
            </w:tcMar>
          </w:tcPr>
          <w:p w14:paraId="54B1405B">
            <w:pPr>
              <w:snapToGrid w:val="0"/>
              <w:rPr>
                <w:sz w:val="24"/>
              </w:rPr>
            </w:pPr>
            <w:r>
              <w:rPr>
                <w:rFonts w:ascii="宋体" w:hAnsi="宋体"/>
                <w:sz w:val="24"/>
              </w:rPr>
              <w:t>物理内存</w:t>
            </w:r>
          </w:p>
        </w:tc>
        <w:tc>
          <w:tcPr>
            <w:tcW w:w="7550" w:type="dxa"/>
            <w:tcBorders>
              <w:top w:val="nil"/>
              <w:left w:val="nil"/>
              <w:bottom w:val="nil"/>
              <w:right w:val="nil"/>
            </w:tcBorders>
            <w:tcMar>
              <w:top w:w="-1" w:type="dxa"/>
              <w:left w:w="-1" w:type="dxa"/>
              <w:bottom w:w="-1" w:type="dxa"/>
              <w:right w:w="-1" w:type="dxa"/>
            </w:tcMar>
          </w:tcPr>
          <w:p w14:paraId="2EFED2C7">
            <w:pPr>
              <w:snapToGrid w:val="0"/>
              <w:rPr>
                <w:sz w:val="24"/>
              </w:rPr>
            </w:pPr>
            <w:r>
              <w:rPr>
                <w:rFonts w:ascii="宋体" w:hAnsi="宋体"/>
                <w:sz w:val="24"/>
              </w:rPr>
              <w:t>62 GiB</w:t>
            </w:r>
          </w:p>
        </w:tc>
      </w:tr>
      <w:tr w14:paraId="2B82C3B8">
        <w:tblPrEx>
          <w:tblCellMar>
            <w:top w:w="0" w:type="dxa"/>
            <w:left w:w="108" w:type="dxa"/>
            <w:bottom w:w="0" w:type="dxa"/>
            <w:right w:w="108" w:type="dxa"/>
          </w:tblCellMar>
        </w:tblPrEx>
        <w:trPr>
          <w:tblHeader/>
          <w:jc w:val="center"/>
        </w:trPr>
        <w:tc>
          <w:tcPr>
            <w:tcW w:w="1270" w:type="dxa"/>
            <w:tcBorders>
              <w:top w:val="nil"/>
              <w:left w:val="nil"/>
              <w:bottom w:val="nil"/>
              <w:right w:val="nil"/>
            </w:tcBorders>
            <w:tcMar>
              <w:top w:w="-1" w:type="dxa"/>
              <w:left w:w="-1" w:type="dxa"/>
              <w:bottom w:w="-1" w:type="dxa"/>
              <w:right w:w="-1" w:type="dxa"/>
            </w:tcMar>
          </w:tcPr>
          <w:p w14:paraId="0337738A">
            <w:pPr>
              <w:snapToGrid w:val="0"/>
              <w:rPr>
                <w:sz w:val="24"/>
              </w:rPr>
            </w:pPr>
            <w:r>
              <w:rPr>
                <w:rFonts w:ascii="宋体" w:hAnsi="宋体"/>
                <w:sz w:val="24"/>
              </w:rPr>
              <w:t>操作系统</w:t>
            </w:r>
          </w:p>
        </w:tc>
        <w:tc>
          <w:tcPr>
            <w:tcW w:w="7550" w:type="dxa"/>
            <w:tcBorders>
              <w:top w:val="nil"/>
              <w:left w:val="nil"/>
              <w:bottom w:val="nil"/>
              <w:right w:val="nil"/>
            </w:tcBorders>
            <w:tcMar>
              <w:top w:w="-1" w:type="dxa"/>
              <w:left w:w="-1" w:type="dxa"/>
              <w:bottom w:w="-1" w:type="dxa"/>
              <w:right w:w="-1" w:type="dxa"/>
            </w:tcMar>
          </w:tcPr>
          <w:p w14:paraId="0158174E">
            <w:pPr>
              <w:snapToGrid w:val="0"/>
              <w:rPr>
                <w:sz w:val="24"/>
              </w:rPr>
            </w:pPr>
            <w:r>
              <w:rPr>
                <w:rFonts w:ascii="宋体" w:hAnsi="宋体"/>
                <w:sz w:val="24"/>
              </w:rPr>
              <w:t>Ubuntu 20.04.6 LTS</w:t>
            </w:r>
          </w:p>
        </w:tc>
      </w:tr>
      <w:tr w14:paraId="3FE23394">
        <w:tblPrEx>
          <w:tblCellMar>
            <w:top w:w="0" w:type="dxa"/>
            <w:left w:w="108" w:type="dxa"/>
            <w:bottom w:w="0" w:type="dxa"/>
            <w:right w:w="108" w:type="dxa"/>
          </w:tblCellMar>
        </w:tblPrEx>
        <w:trPr>
          <w:tblHeader/>
          <w:jc w:val="center"/>
        </w:trPr>
        <w:tc>
          <w:tcPr>
            <w:tcW w:w="1270" w:type="dxa"/>
            <w:tcBorders>
              <w:top w:val="nil"/>
              <w:left w:val="nil"/>
              <w:bottom w:val="nil"/>
              <w:right w:val="nil"/>
            </w:tcBorders>
            <w:tcMar>
              <w:top w:w="-1" w:type="dxa"/>
              <w:left w:w="-1" w:type="dxa"/>
              <w:bottom w:w="-1" w:type="dxa"/>
              <w:right w:w="-1" w:type="dxa"/>
            </w:tcMar>
          </w:tcPr>
          <w:p w14:paraId="529B33C5">
            <w:pPr>
              <w:snapToGrid w:val="0"/>
              <w:rPr>
                <w:sz w:val="24"/>
              </w:rPr>
            </w:pPr>
            <w:r>
              <w:rPr>
                <w:rFonts w:ascii="宋体" w:hAnsi="宋体"/>
                <w:sz w:val="24"/>
              </w:rPr>
              <w:t>内核版本</w:t>
            </w:r>
          </w:p>
        </w:tc>
        <w:tc>
          <w:tcPr>
            <w:tcW w:w="7550" w:type="dxa"/>
            <w:tcBorders>
              <w:top w:val="nil"/>
              <w:left w:val="nil"/>
              <w:bottom w:val="nil"/>
              <w:right w:val="nil"/>
            </w:tcBorders>
            <w:tcMar>
              <w:top w:w="-1" w:type="dxa"/>
              <w:left w:w="-1" w:type="dxa"/>
              <w:bottom w:w="-1" w:type="dxa"/>
              <w:right w:w="-1" w:type="dxa"/>
            </w:tcMar>
          </w:tcPr>
          <w:p w14:paraId="271DDE34">
            <w:pPr>
              <w:snapToGrid w:val="0"/>
              <w:rPr>
                <w:sz w:val="24"/>
              </w:rPr>
            </w:pPr>
            <w:r>
              <w:rPr>
                <w:rFonts w:ascii="宋体" w:hAnsi="宋体"/>
                <w:sz w:val="24"/>
              </w:rPr>
              <w:t>Linux 5.15.0-139-generic</w:t>
            </w:r>
          </w:p>
        </w:tc>
      </w:tr>
      <w:tr w14:paraId="40FEFA99">
        <w:tblPrEx>
          <w:tblCellMar>
            <w:top w:w="0" w:type="dxa"/>
            <w:left w:w="108" w:type="dxa"/>
            <w:bottom w:w="0" w:type="dxa"/>
            <w:right w:w="108" w:type="dxa"/>
          </w:tblCellMar>
        </w:tblPrEx>
        <w:trPr>
          <w:tblHeader/>
          <w:jc w:val="center"/>
        </w:trPr>
        <w:tc>
          <w:tcPr>
            <w:tcW w:w="1270" w:type="dxa"/>
            <w:tcBorders>
              <w:top w:val="nil"/>
              <w:left w:val="nil"/>
              <w:bottom w:val="nil"/>
              <w:right w:val="nil"/>
            </w:tcBorders>
            <w:tcMar>
              <w:top w:w="-1" w:type="dxa"/>
              <w:left w:w="-1" w:type="dxa"/>
              <w:bottom w:w="-1" w:type="dxa"/>
              <w:right w:w="-1" w:type="dxa"/>
            </w:tcMar>
          </w:tcPr>
          <w:p w14:paraId="63E18191">
            <w:pPr>
              <w:snapToGrid w:val="0"/>
              <w:rPr>
                <w:sz w:val="24"/>
              </w:rPr>
            </w:pPr>
            <w:r>
              <w:rPr>
                <w:rFonts w:ascii="宋体" w:hAnsi="宋体"/>
                <w:sz w:val="24"/>
              </w:rPr>
              <w:t>Python</w:t>
            </w:r>
          </w:p>
        </w:tc>
        <w:tc>
          <w:tcPr>
            <w:tcW w:w="7550" w:type="dxa"/>
            <w:tcBorders>
              <w:top w:val="nil"/>
              <w:left w:val="nil"/>
              <w:bottom w:val="nil"/>
              <w:right w:val="nil"/>
            </w:tcBorders>
            <w:tcMar>
              <w:top w:w="-1" w:type="dxa"/>
              <w:left w:w="-1" w:type="dxa"/>
              <w:bottom w:w="-1" w:type="dxa"/>
              <w:right w:w="-1" w:type="dxa"/>
            </w:tcMar>
          </w:tcPr>
          <w:p w14:paraId="5D34787B">
            <w:pPr>
              <w:snapToGrid w:val="0"/>
              <w:rPr>
                <w:sz w:val="24"/>
              </w:rPr>
            </w:pPr>
            <w:r>
              <w:rPr>
                <w:rFonts w:ascii="宋体" w:hAnsi="宋体"/>
                <w:sz w:val="24"/>
              </w:rPr>
              <w:t>Python 3.9.25</w:t>
            </w:r>
          </w:p>
        </w:tc>
      </w:tr>
      <w:tr w14:paraId="0CBF54C9">
        <w:tblPrEx>
          <w:tblCellMar>
            <w:top w:w="0" w:type="dxa"/>
            <w:left w:w="108" w:type="dxa"/>
            <w:bottom w:w="0" w:type="dxa"/>
            <w:right w:w="108" w:type="dxa"/>
          </w:tblCellMar>
        </w:tblPrEx>
        <w:trPr>
          <w:tblHeader/>
          <w:jc w:val="center"/>
        </w:trPr>
        <w:tc>
          <w:tcPr>
            <w:tcW w:w="1270" w:type="dxa"/>
            <w:tcBorders>
              <w:top w:val="nil"/>
              <w:left w:val="nil"/>
              <w:bottom w:val="nil"/>
              <w:right w:val="nil"/>
            </w:tcBorders>
            <w:tcMar>
              <w:top w:w="-1" w:type="dxa"/>
              <w:left w:w="-1" w:type="dxa"/>
              <w:bottom w:w="-1" w:type="dxa"/>
              <w:right w:w="-1" w:type="dxa"/>
            </w:tcMar>
          </w:tcPr>
          <w:p w14:paraId="10E09959">
            <w:pPr>
              <w:snapToGrid w:val="0"/>
              <w:rPr>
                <w:sz w:val="24"/>
              </w:rPr>
            </w:pPr>
            <w:r>
              <w:rPr>
                <w:rFonts w:ascii="宋体" w:hAnsi="宋体"/>
                <w:sz w:val="24"/>
              </w:rPr>
              <w:t>安全计算底座</w:t>
            </w:r>
          </w:p>
        </w:tc>
        <w:tc>
          <w:tcPr>
            <w:tcW w:w="7550" w:type="dxa"/>
            <w:tcBorders>
              <w:top w:val="nil"/>
              <w:left w:val="nil"/>
              <w:bottom w:val="nil"/>
              <w:right w:val="nil"/>
            </w:tcBorders>
            <w:tcMar>
              <w:top w:w="-1" w:type="dxa"/>
              <w:left w:w="-1" w:type="dxa"/>
              <w:bottom w:w="-1" w:type="dxa"/>
              <w:right w:w="-1" w:type="dxa"/>
            </w:tcMar>
          </w:tcPr>
          <w:p w14:paraId="1367B60A">
            <w:pPr>
              <w:snapToGrid w:val="0"/>
              <w:rPr>
                <w:sz w:val="24"/>
              </w:rPr>
            </w:pPr>
            <w:r>
              <w:rPr>
                <w:rFonts w:ascii="宋体" w:hAnsi="宋体"/>
                <w:sz w:val="24"/>
              </w:rPr>
              <w:t>SecretFlow SPU 0.9.3.dev20241118（Apache License 2.0）</w:t>
            </w:r>
          </w:p>
        </w:tc>
      </w:tr>
      <w:tr w14:paraId="58F70B15">
        <w:tblPrEx>
          <w:tblCellMar>
            <w:top w:w="0" w:type="dxa"/>
            <w:left w:w="108" w:type="dxa"/>
            <w:bottom w:w="0" w:type="dxa"/>
            <w:right w:w="108" w:type="dxa"/>
          </w:tblCellMar>
        </w:tblPrEx>
        <w:trPr>
          <w:tblHeader/>
          <w:jc w:val="center"/>
        </w:trPr>
        <w:tc>
          <w:tcPr>
            <w:tcW w:w="1270" w:type="dxa"/>
            <w:tcBorders>
              <w:top w:val="nil"/>
              <w:left w:val="nil"/>
              <w:bottom w:val="nil"/>
              <w:right w:val="nil"/>
            </w:tcBorders>
            <w:tcMar>
              <w:top w:w="-1" w:type="dxa"/>
              <w:left w:w="-1" w:type="dxa"/>
              <w:bottom w:w="-1" w:type="dxa"/>
              <w:right w:w="-1" w:type="dxa"/>
            </w:tcMar>
          </w:tcPr>
          <w:p w14:paraId="23244A82">
            <w:pPr>
              <w:snapToGrid w:val="0"/>
              <w:rPr>
                <w:sz w:val="24"/>
              </w:rPr>
            </w:pPr>
            <w:r>
              <w:rPr>
                <w:rFonts w:ascii="宋体" w:hAnsi="宋体"/>
                <w:sz w:val="24"/>
              </w:rPr>
              <w:t>原型运行模式</w:t>
            </w:r>
          </w:p>
        </w:tc>
        <w:tc>
          <w:tcPr>
            <w:tcW w:w="7550" w:type="dxa"/>
            <w:tcBorders>
              <w:top w:val="nil"/>
              <w:left w:val="nil"/>
              <w:bottom w:val="nil"/>
              <w:right w:val="nil"/>
            </w:tcBorders>
            <w:tcMar>
              <w:top w:w="-1" w:type="dxa"/>
              <w:left w:w="-1" w:type="dxa"/>
              <w:bottom w:w="-1" w:type="dxa"/>
              <w:right w:w="-1" w:type="dxa"/>
            </w:tcMar>
          </w:tcPr>
          <w:p w14:paraId="424B2C80">
            <w:pPr>
              <w:snapToGrid w:val="0"/>
              <w:rPr>
                <w:sz w:val="24"/>
              </w:rPr>
            </w:pPr>
            <w:r>
              <w:rPr>
                <w:rFonts w:ascii="宋体" w:hAnsi="宋体"/>
                <w:sz w:val="24"/>
              </w:rPr>
              <w:t>两方 2PC colocated localhost 原型链路，通信量来自同配置 fresh rerun 的 SPU LinkDetails 计数器</w:t>
            </w:r>
          </w:p>
        </w:tc>
      </w:tr>
      <w:tr w14:paraId="5EED7B8C">
        <w:tblPrEx>
          <w:tblCellMar>
            <w:top w:w="0" w:type="dxa"/>
            <w:left w:w="108" w:type="dxa"/>
            <w:bottom w:w="0" w:type="dxa"/>
            <w:right w:w="108" w:type="dxa"/>
          </w:tblCellMar>
        </w:tblPrEx>
        <w:trPr>
          <w:tblHeader/>
          <w:jc w:val="center"/>
        </w:trPr>
        <w:tc>
          <w:tcPr>
            <w:tcW w:w="1270" w:type="dxa"/>
            <w:tcBorders>
              <w:top w:val="nil"/>
              <w:left w:val="nil"/>
              <w:bottom w:val="single" w:color="auto" w:sz="12" w:space="0"/>
              <w:right w:val="nil"/>
            </w:tcBorders>
            <w:tcMar>
              <w:top w:w="-1" w:type="dxa"/>
              <w:left w:w="-1" w:type="dxa"/>
              <w:bottom w:w="-1" w:type="dxa"/>
              <w:right w:w="-1" w:type="dxa"/>
            </w:tcMar>
          </w:tcPr>
          <w:p w14:paraId="187103A4">
            <w:pPr>
              <w:snapToGrid w:val="0"/>
              <w:rPr>
                <w:rFonts w:hint="eastAsia" w:ascii="宋体" w:hAnsi="宋体"/>
                <w:sz w:val="24"/>
              </w:rPr>
            </w:pPr>
            <w:r>
              <w:rPr>
                <w:rFonts w:hint="eastAsia" w:ascii="宋体" w:hAnsi="宋体"/>
                <w:sz w:val="24"/>
              </w:rPr>
              <w:t>GPU</w:t>
            </w:r>
          </w:p>
        </w:tc>
        <w:tc>
          <w:tcPr>
            <w:tcW w:w="7550" w:type="dxa"/>
            <w:tcBorders>
              <w:top w:val="nil"/>
              <w:left w:val="nil"/>
              <w:bottom w:val="single" w:color="auto" w:sz="12" w:space="0"/>
              <w:right w:val="nil"/>
            </w:tcBorders>
            <w:tcMar>
              <w:top w:w="-1" w:type="dxa"/>
              <w:left w:w="-1" w:type="dxa"/>
              <w:bottom w:w="-1" w:type="dxa"/>
              <w:right w:w="-1" w:type="dxa"/>
            </w:tcMar>
          </w:tcPr>
          <w:p w14:paraId="42A56A58">
            <w:pPr>
              <w:snapToGrid w:val="0"/>
              <w:rPr>
                <w:rFonts w:hint="eastAsia" w:ascii="宋体" w:hAnsi="宋体"/>
                <w:sz w:val="24"/>
              </w:rPr>
            </w:pPr>
            <w:r>
              <w:rPr>
                <w:rFonts w:hint="eastAsia" w:ascii="宋体" w:hAnsi="宋体"/>
                <w:sz w:val="24"/>
              </w:rPr>
              <w:t>服务器侧配备 4 张 NVIDIA GeForce RTX 3090 GPU，单卡显存 24576 MiB（约 24 GiB），驱动版本为 570.133.07，CUDA 版本为 12.8。</w:t>
            </w:r>
          </w:p>
        </w:tc>
      </w:tr>
    </w:tbl>
    <w:p w14:paraId="57A991EF">
      <w:pPr>
        <w:rPr>
          <w:rFonts w:hint="eastAsia" w:ascii="黑体" w:hAnsi="黑体" w:eastAsia="黑体"/>
          <w:b/>
          <w:sz w:val="44"/>
        </w:rPr>
      </w:pPr>
      <w:r>
        <w:rPr>
          <w:rFonts w:ascii="黑体" w:hAnsi="黑体" w:eastAsia="黑体"/>
          <w:b/>
          <w:sz w:val="44"/>
        </w:rPr>
        <w:br w:type="page"/>
      </w:r>
    </w:p>
    <w:p>
      <w:pPr>
        <w:spacing w:line="360" w:lineRule="auto"/>
        <w:rPr>
          <w:rFonts w:hint="eastAsia" w:ascii="黑体" w:hAnsi="黑体" w:eastAsia="黑体"/>
          <w:b/>
          <w:sz w:val="24"/>
        </w:rPr>
        <w:outlineLvl w:val="1"/>
      </w:pPr>
      <w:bookmarkStart w:id="87" w:name="_TocTransshieldSection26"/>
      <w:r>
        <w:rPr>
          <w:rFonts w:ascii="黑体" w:hAnsi="黑体" w:eastAsia="黑体"/>
          <w:b/>
          <w:sz w:val="24"/>
        </w:rPr>
        <w:t>2.6 展示样例与真实部署框架</w:t>
      </w:r>
      <w:bookmarkEnd w:id="87"/>
    </w:p>
    <w:p>
      <w:pPr>
        <w:spacing w:line="360" w:lineRule="auto"/>
        <w:ind w:firstLineChars="200" w:firstLine="480"/>
        <w:rPr>
          <w:rFonts w:hint="eastAsia" w:ascii="宋体" w:hAnsi="宋体" w:cs="宋体"/>
          <w:sz w:val="24"/>
        </w:rPr>
      </w:pPr>
      <w:r>
        <w:rPr>
          <w:rFonts w:ascii="宋体" w:hAnsi="宋体" w:eastAsia="宋体"/>
          <w:sz w:val="24"/>
        </w:rPr>
        <w:t>为区分原型演示与后续部署边界，本作品在工程实现中将系统形态划分为“本机展示样例”和“真实部署框架”两类。本机展示样例用于验证端到端流程：系统在一台机器上启动本地双节点安全处理器单元（Secure Processing Unit, SPU），由展示站前端完成图像选择、预处理与分片生成，后端完成协议校验、审计记录和密态前向计算，形成可运行、可追踪的闭环。</w:t>
      </w:r>
    </w:p>
    <w:p>
      <w:pPr>
        <w:spacing w:line="360" w:lineRule="auto"/>
        <w:ind w:firstLineChars="200" w:firstLine="480"/>
        <w:rPr>
          <w:rFonts w:hint="eastAsia" w:ascii="宋体" w:hAnsi="宋体" w:cs="宋体"/>
          <w:sz w:val="24"/>
        </w:rPr>
      </w:pPr>
      <w:r>
        <w:rPr>
          <w:rFonts w:ascii="宋体" w:hAnsi="宋体" w:eastAsia="宋体"/>
          <w:sz w:val="24"/>
        </w:rPr>
        <w:t>真实部署框架面向医院侧与模型提供方分离部署。该框架保留了 public manifest、P1/P2 party manifest、单方 share 加载、远程 2PC 配置生成、医院侧/AI 侧/协调侧三类网关角色以及部署包生成脚本。医院侧负责原始影像接收、预处理与 P1 share 留存，AI 或模型提供方负责 P2 share 与模型 manifest 管理，协调侧负责公开任务状态、运行编排和最终可公开结果的返回。</w:t>
      </w:r>
    </w:p>
    <w:p>
      <w:pPr>
        <w:spacing w:line="360" w:lineRule="auto"/>
        <w:ind w:firstLineChars="200" w:firstLine="480"/>
        <w:rPr>
          <w:rFonts w:hint="eastAsia" w:ascii="宋体" w:hAnsi="宋体" w:cs="宋体"/>
          <w:sz w:val="24"/>
        </w:rPr>
      </w:pPr>
      <w:r>
        <w:rPr>
          <w:rFonts w:ascii="宋体" w:hAnsi="宋体" w:eastAsia="宋体"/>
          <w:sz w:val="24"/>
        </w:rPr>
        <w:t>二者对应同一安全推理思想下的不同交付层次：本机展示样例证明流程可运行、可审计、可复现；真实部署框架提供向两方部署迁移的接口、配置和脚本骨架。当前框架提供的是部署迁移基础，不直接覆盖生产环境中的医院 HIS/PACS 接入、机构身份认证、TLS/VPN、长期审计、任务队列、密钥管理和模型私有加载策略，相关内容需要在具体医院与模型提供方环境中按现场规范继续集成。</w:t>
      </w:r>
    </w:p>
    <w:p w14:paraId="1F506321">
      <w:pPr>
        <w:pStyle w:val="2"/>
        <w:jc w:val="center"/>
      </w:pPr>
      <w:bookmarkStart w:id="24" w:name="Transshield_TOC_chapter_3"/>
      <w:bookmarkStart w:id="25" w:name="_Toc230691152"/>
      <w:r>
        <w:rPr>
          <w:rFonts w:ascii="黑体" w:hAnsi="黑体" w:eastAsia="黑体"/>
        </w:rPr>
        <w:t>第三章 系统实现</w:t>
      </w:r>
      <w:bookmarkEnd w:id="24"/>
      <w:bookmarkEnd w:id="25"/>
    </w:p>
    <w:p w14:paraId="69F7B2A4">
      <w:pPr>
        <w:spacing w:line="360" w:lineRule="auto"/>
        <w:outlineLvl w:val="1"/>
      </w:pPr>
      <w:bookmarkStart w:id="26" w:name="_Toc230691153"/>
      <w:bookmarkStart w:id="27" w:name="Transshield_TOC_section_3_1"/>
      <w:r>
        <w:rPr>
          <w:rFonts w:ascii="黑体" w:hAnsi="黑体" w:eastAsia="黑体"/>
          <w:b/>
          <w:sz w:val="24"/>
        </w:rPr>
        <w:t>3.1 模型改造与两方安全推理链路</w:t>
      </w:r>
      <w:bookmarkEnd w:id="26"/>
      <w:bookmarkEnd w:id="27"/>
    </w:p>
    <w:p w14:paraId="5E8D2C9F">
      <w:pPr>
        <w:spacing w:line="360" w:lineRule="auto"/>
        <w:ind w:firstLine="480"/>
      </w:pPr>
      <w:r>
        <w:rPr>
          <w:rFonts w:ascii="宋体" w:hAnsi="宋体"/>
          <w:sz w:val="24"/>
        </w:rPr>
        <w:t>模型实现遵循“明文训练、密态执行语义重写、双向隐私推理落地”三层结构。训练阶段保留 DynamicViT 的词元打分与样本级动态边界能力；部署阶段将删除式剪枝语义改写为固定图可执行的掩码化表达；推理阶段由 SPU 与 OpenBumbleBee 两方安全推理集成层承担密态执行，仅对外返回最终分类结果。该实现路径的目标不是复现一条完全等价的可变长明文执行图，而是在固定图安全执行约束下尽可能保留动态剪枝边界的判别价值。</w:t>
      </w:r>
    </w:p>
    <w:p w14:paraId="68F5B0F1">
      <w:pPr>
        <w:spacing w:line="360" w:lineRule="auto"/>
        <w:ind w:firstLine="480"/>
      </w:pPr>
      <w:r>
        <w:rPr>
          <w:rFonts w:ascii="宋体" w:hAnsi="宋体"/>
          <w:sz w:val="24"/>
        </w:rPr>
        <w:t>对应到动态词元剪枝的核心计算关系，正式主线不再直接删除词元，而是先确定当前 stage 的保留边界，再生成固定形状的 keep-mask，并据此完成后续安全选择。关键关系见式（3-1）至式（3-2e）：</w:t>
      </w:r>
    </w:p>
    <w:p w14:paraId="3491FDF2">
      <w:pPr>
        <w:tabs>
          <w:tab w:val="center" w:pos="4536"/>
          <w:tab w:val="right" w:pos="8712"/>
        </w:tabs>
        <w:spacing w:before="40" w:after="60"/>
        <w:jc w:val="left"/>
      </w:pPr>
      <w:r>
        <w:tab/>
      </w:r>
      <m:oMath>
        <m:sSup>
          <m:sSupPr>
            <m:ctrlPr>
              <w:rPr>
                <w:rFonts w:ascii="Cambria Math" w:hAnsi="Cambria Math"/>
              </w:rPr>
            </m:ctrlPr>
          </m:sSupPr>
          <m:e>
            <m:r>
              <m:rPr/>
              <w:rPr>
                <w:rFonts w:ascii="Cambria Math" w:hAnsi="Cambria Math"/>
              </w:rPr>
              <m:t>τ</m:t>
            </m:r>
            <m:ctrlPr>
              <w:rPr>
                <w:rFonts w:ascii="Cambria Math" w:hAnsi="Cambria Math"/>
              </w:rPr>
            </m:ctrlPr>
          </m:e>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r>
          <m:rPr>
            <m:sty m:val="p"/>
          </m:rPr>
          <w:rPr>
            <w:rFonts w:ascii="Cambria Math" w:hAnsi="Cambria Math"/>
          </w:rPr>
          <m:t>=TopKBoundary</m:t>
        </m:r>
        <m:d>
          <m:dPr>
            <m:ctrlPr>
              <w:rPr>
                <w:rFonts w:ascii="Cambria Math" w:hAnsi="Cambria Math"/>
              </w:rPr>
            </m:ctrlPr>
          </m:dPr>
          <m:e>
            <m:sSup>
              <m:sSupPr>
                <m:ctrlPr>
                  <w:rPr>
                    <w:rFonts w:ascii="Cambria Math" w:hAnsi="Cambria Math"/>
                  </w:rPr>
                </m:ctrlPr>
              </m:sSupPr>
              <m:e>
                <m:r>
                  <m:rPr/>
                  <w:rPr>
                    <w:rFonts w:ascii="Cambria Math" w:hAnsi="Cambria Math"/>
                  </w:rPr>
                  <m:t>s</m:t>
                </m:r>
                <m:ctrlPr>
                  <w:rPr>
                    <w:rFonts w:ascii="Cambria Math" w:hAnsi="Cambria Math"/>
                  </w:rPr>
                </m:ctrlPr>
              </m:e>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r>
              <m:rPr>
                <m:sty m:val="p"/>
              </m:rPr>
              <w:rPr>
                <w:rFonts w:ascii="Cambria Math" w:hAnsi="Cambria Math"/>
              </w:rPr>
              <m:t>,</m:t>
            </m:r>
            <m:sSup>
              <m:sSupPr>
                <m:ctrlPr>
                  <w:rPr>
                    <w:rFonts w:ascii="Cambria Math" w:hAnsi="Cambria Math"/>
                  </w:rPr>
                </m:ctrlPr>
              </m:sSupPr>
              <m:e>
                <m:r>
                  <m:rPr/>
                  <w:rPr>
                    <w:rFonts w:ascii="Cambria Math" w:hAnsi="Cambria Math"/>
                  </w:rPr>
                  <m:t>K</m:t>
                </m:r>
                <m:ctrlPr>
                  <w:rPr>
                    <w:rFonts w:ascii="Cambria Math" w:hAnsi="Cambria Math"/>
                  </w:rPr>
                </m:ctrlPr>
              </m:e>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ctrlPr>
              <w:rPr>
                <w:rFonts w:ascii="Cambria Math" w:hAnsi="Cambria Math"/>
              </w:rPr>
            </m:ctrlPr>
          </m:e>
        </m:d>
        <m:r>
          <m:rPr>
            <m:sty m:val="p"/>
          </m:rPr>
          <w:rPr>
            <w:rFonts w:ascii="Cambria Math" w:hAnsi="Cambria Math"/>
          </w:rPr>
          <m:t>, </m:t>
        </m:r>
        <m:sSubSup>
          <m:sSubSupPr>
            <m:ctrlPr>
              <w:rPr>
                <w:rFonts w:ascii="Cambria Math" w:hAnsi="Cambria Math"/>
              </w:rPr>
            </m:ctrlPr>
          </m:sSubSup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bSup>
        <m:r>
          <m:rPr>
            <m:sty m:val="p"/>
          </m:rPr>
          <w:rPr>
            <w:rFonts w:ascii="Cambria Math" w:hAnsi="Cambria Math"/>
          </w:rPr>
          <m:t>=1</m:t>
        </m:r>
        <m:d>
          <m:dPr>
            <m:begChr m:val="["/>
            <m:endChr m:val="]"/>
            <m:ctrlPr>
              <w:rPr>
                <w:rFonts w:ascii="Cambria Math" w:hAnsi="Cambria Math"/>
              </w:rPr>
            </m:ctrlPr>
          </m:dPr>
          <m:e>
            <m:d>
              <m:dPr>
                <m:ctrlPr>
                  <w:rPr>
                    <w:rFonts w:ascii="Cambria Math" w:hAnsi="Cambria Math"/>
                  </w:rPr>
                </m:ctrlPr>
              </m:dPr>
              <m:e>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bSup>
                <m:r>
                  <m:rPr>
                    <m:sty m:val="p"/>
                  </m:rPr>
                  <w:rPr>
                    <w:rFonts w:ascii="Cambria Math" w:hAnsi="Cambria Math"/>
                  </w:rPr>
                  <m:t>,</m:t>
                </m:r>
                <m:r>
                  <m:rPr/>
                  <w:rPr>
                    <w:rFonts w:ascii="Cambria Math" w:hAnsi="Cambria Math"/>
                  </w:rPr>
                  <m:t>i</m:t>
                </m:r>
                <m:ctrlPr>
                  <w:rPr>
                    <w:rFonts w:ascii="Cambria Math" w:hAnsi="Cambria Math"/>
                  </w:rPr>
                </m:ctrlPr>
              </m:e>
            </m:d>
            <m:r>
              <m:rPr>
                <m:sty m:val="p"/>
              </m:rPr>
              <w:rPr>
                <w:rFonts w:ascii="Cambria Math" w:hAnsi="Cambria Math"/>
              </w:rPr>
              <m:t>≥</m:t>
            </m:r>
            <m:sSup>
              <m:sSupPr>
                <m:ctrlPr>
                  <w:rPr>
                    <w:rFonts w:ascii="Cambria Math" w:hAnsi="Cambria Math"/>
                  </w:rPr>
                </m:ctrlPr>
              </m:sSupPr>
              <m:e>
                <m:r>
                  <m:rPr/>
                  <w:rPr>
                    <w:rFonts w:ascii="Cambria Math" w:hAnsi="Cambria Math"/>
                  </w:rPr>
                  <m:t>τ</m:t>
                </m:r>
                <m:ctrlPr>
                  <w:rPr>
                    <w:rFonts w:ascii="Cambria Math" w:hAnsi="Cambria Math"/>
                  </w:rPr>
                </m:ctrlPr>
              </m:e>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ctrlPr>
              <w:rPr>
                <w:rFonts w:ascii="Cambria Math" w:hAnsi="Cambria Math"/>
              </w:rPr>
            </m:ctrlPr>
          </m:e>
        </m:d>
      </m:oMath>
      <w:r>
        <w:rPr>
          <w:rFonts w:eastAsia="Times New Roman"/>
        </w:rPr>
        <w:tab/>
      </w:r>
      <w:r>
        <w:rPr>
          <w:rFonts w:eastAsia="Times New Roman"/>
        </w:rPr>
        <w:t>(3-1)</w:t>
      </w:r>
    </w:p>
    <w:p w14:paraId="5FC7F212">
      <w:pPr>
        <w:tabs>
          <w:tab w:val="center" w:pos="4536"/>
          <w:tab w:val="right" w:pos="8712"/>
        </w:tabs>
        <w:spacing w:before="40" w:after="60"/>
        <w:jc w:val="left"/>
      </w:pPr>
      <w:r>
        <w:tab/>
      </w:r>
      <m:oMath>
        <m:sSubSup>
          <m:sSubSupPr>
            <m:ctrlPr>
              <w:rPr>
                <w:rFonts w:ascii="Cambria Math" w:hAnsi="Cambria Math"/>
              </w:rPr>
            </m:ctrlPr>
          </m:sSubSupPr>
          <m:e>
            <m:acc>
              <m:accPr>
                <m:chr m:val="̃"/>
                <m:ctrlPr>
                  <w:rPr>
                    <w:rFonts w:ascii="Cambria Math" w:hAnsi="Cambria Math"/>
                  </w:rPr>
                </m:ctrlPr>
              </m:accPr>
              <m:e>
                <m:r>
                  <m:rPr/>
                  <w:rPr>
                    <w:rFonts w:ascii="Cambria Math" w:hAnsi="Cambria Math"/>
                  </w:rPr>
                  <m:t>h</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bSup>
      </m:oMath>
      <w:r>
        <w:rPr>
          <w:rFonts w:eastAsia="Times New Roman"/>
        </w:rPr>
        <w:tab/>
      </w:r>
      <w:r>
        <w:rPr>
          <w:rFonts w:eastAsia="Times New Roman"/>
        </w:rPr>
        <w:t>(3-2)</w:t>
      </w:r>
    </w:p>
    <w:p w14:paraId="149E8F7B">
      <w:pPr>
        <w:tabs>
          <w:tab w:val="center" w:pos="4536"/>
          <w:tab w:val="right" w:pos="8712"/>
        </w:tabs>
        <w:spacing w:before="40" w:after="60"/>
        <w:jc w:val="left"/>
      </w:pPr>
      <w:r>
        <w:tab/>
      </w:r>
      <m:oMath>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bSup>
        <m:r>
          <m:rPr>
            <m:sty m:val="p"/>
          </m:rPr>
          <w:rPr>
            <w:rFonts w:ascii="Cambria Math" w:hAnsi="Cambria Math"/>
          </w:rPr>
          <m:t>−ε·</m:t>
        </m:r>
        <m:r>
          <m:rPr/>
          <w:rPr>
            <w:rFonts w:ascii="Cambria Math" w:hAnsi="Cambria Math"/>
          </w:rPr>
          <m:t>i</m:t>
        </m:r>
      </m:oMath>
      <w:r>
        <w:rPr>
          <w:rFonts w:eastAsia="Times New Roman"/>
        </w:rPr>
        <w:tab/>
      </w:r>
      <w:r>
        <w:rPr>
          <w:rFonts w:eastAsia="Times New Roman"/>
        </w:rPr>
        <w:t>(3-2a)</w:t>
      </w:r>
    </w:p>
    <w:p w14:paraId="21F32D97">
      <w:pPr>
        <w:tabs>
          <w:tab w:val="center" w:pos="4536"/>
          <w:tab w:val="right" w:pos="8712"/>
        </w:tabs>
        <w:spacing w:before="40" w:after="60"/>
        <w:jc w:val="left"/>
      </w:pPr>
      <w:r>
        <w:tab/>
      </w:r>
      <m:oMath>
        <m:sSup>
          <m:sSupPr>
            <m:ctrlPr>
              <w:rPr>
                <w:rFonts w:ascii="Cambria Math" w:hAnsi="Cambria Math"/>
              </w:rPr>
            </m:ctrlPr>
          </m:sSupPr>
          <m:e>
            <m:r>
              <m:rPr/>
              <w:rPr>
                <w:rFonts w:ascii="Cambria Math" w:hAnsi="Cambria Math"/>
              </w:rPr>
              <m:t>π</m:t>
            </m:r>
            <m:ctrlPr>
              <w:rPr>
                <w:rFonts w:ascii="Cambria Math" w:hAnsi="Cambria Math"/>
              </w:rPr>
            </m:ctrlPr>
          </m:e>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r>
          <m:rPr>
            <m:sty m:val="p"/>
          </m:rPr>
          <w:rPr>
            <w:rFonts w:ascii="Cambria Math" w:hAnsi="Cambria Math"/>
          </w:rPr>
          <m:t>=BitonicSortDesc</m:t>
        </m:r>
        <m:d>
          <m:dPr>
            <m:ctrlPr>
              <w:rPr>
                <w:rFonts w:ascii="Cambria Math" w:hAnsi="Cambria Math"/>
              </w:rPr>
            </m:ctrlPr>
          </m:dPr>
          <m:e>
            <m:sSup>
              <m:sSupPr>
                <m:ctrlPr>
                  <w:rPr>
                    <w:rFonts w:ascii="Cambria Math" w:hAnsi="Cambria Math"/>
                  </w:rPr>
                </m:ctrlPr>
              </m:sSupPr>
              <m:e>
                <m:r>
                  <m:rPr/>
                  <w:rPr>
                    <w:rFonts w:ascii="Cambria Math" w:hAnsi="Cambria Math"/>
                  </w:rPr>
                  <m:t>e</m:t>
                </m:r>
                <m:ctrlPr>
                  <w:rPr>
                    <w:rFonts w:ascii="Cambria Math" w:hAnsi="Cambria Math"/>
                  </w:rPr>
                </m:ctrlPr>
              </m:e>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ctrlPr>
              <w:rPr>
                <w:rFonts w:ascii="Cambria Math" w:hAnsi="Cambria Math"/>
              </w:rPr>
            </m:ctrlPr>
          </m:e>
        </m:d>
        <m:r>
          <m:rPr>
            <m:sty m:val="p"/>
          </m:rPr>
          <w:rPr>
            <w:rFonts w:ascii="Cambria Math" w:hAnsi="Cambria Math"/>
          </w:rPr>
          <m:t>, </m:t>
        </m:r>
        <m:sSubSup>
          <m:sSubSupPr>
            <m:ctrlPr>
              <w:rPr>
                <w:rFonts w:ascii="Cambria Math" w:hAnsi="Cambria Math"/>
              </w:rPr>
            </m:ctrlPr>
          </m:sSubSup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bSup>
        <m:r>
          <m:rPr>
            <m:sty m:val="p"/>
          </m:rPr>
          <w:rPr>
            <w:rFonts w:ascii="Cambria Math" w:hAnsi="Cambria Math"/>
          </w:rPr>
          <m:t>=1</m:t>
        </m:r>
        <m:d>
          <m:dPr>
            <m:begChr m:val="["/>
            <m:endChr m:val="]"/>
            <m:ctrlPr>
              <w:rPr>
                <w:rFonts w:ascii="Cambria Math" w:hAnsi="Cambria Math"/>
              </w:rPr>
            </m:ctrlPr>
          </m:dPr>
          <m:e>
            <m:r>
              <m:rPr/>
              <w:rPr>
                <w:rFonts w:ascii="Cambria Math" w:hAnsi="Cambria Math"/>
              </w:rPr>
              <m:t>i</m:t>
            </m:r>
            <m:r>
              <m:rPr>
                <m:sty m:val="p"/>
              </m:rPr>
              <w:rPr>
                <w:rFonts w:ascii="Cambria Math" w:hAnsi="Cambria Math"/>
              </w:rPr>
              <m:t>∈</m:t>
            </m:r>
            <m:sSub>
              <m:sSubPr>
                <m:ctrlPr>
                  <w:rPr>
                    <w:rFonts w:ascii="Cambria Math" w:hAnsi="Cambria Math"/>
                  </w:rPr>
                </m:ctrlPr>
              </m:sSubPr>
              <m:e>
                <m:sSup>
                  <m:sSupPr>
                    <m:ctrlPr>
                      <w:rPr>
                        <w:rFonts w:ascii="Cambria Math" w:hAnsi="Cambria Math"/>
                      </w:rPr>
                    </m:ctrlPr>
                  </m:sSupPr>
                  <m:e>
                    <m:r>
                      <m:rPr/>
                      <w:rPr>
                        <w:rFonts w:ascii="Cambria Math" w:hAnsi="Cambria Math"/>
                      </w:rPr>
                      <m:t>π</m:t>
                    </m:r>
                    <m:ctrlPr>
                      <w:rPr>
                        <w:rFonts w:ascii="Cambria Math" w:hAnsi="Cambria Math"/>
                      </w:rPr>
                    </m:ctrlPr>
                  </m:e>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ctrlPr>
                  <w:rPr>
                    <w:rFonts w:ascii="Cambria Math" w:hAnsi="Cambria Math"/>
                  </w:rPr>
                </m:ctrlPr>
              </m:e>
              <m:sub>
                <m:r>
                  <m:rPr>
                    <m:sty m:val="p"/>
                  </m:rPr>
                  <w:rPr>
                    <w:rFonts w:ascii="Cambria Math" w:hAnsi="Cambria Math"/>
                  </w:rPr>
                  <m:t>1:</m:t>
                </m:r>
                <m:sSup>
                  <m:sSupPr>
                    <m:ctrlPr>
                      <w:rPr>
                        <w:rFonts w:ascii="Cambria Math" w:hAnsi="Cambria Math"/>
                      </w:rPr>
                    </m:ctrlPr>
                  </m:sSupPr>
                  <m:e>
                    <m:r>
                      <m:rPr/>
                      <w:rPr>
                        <w:rFonts w:ascii="Cambria Math" w:hAnsi="Cambria Math"/>
                      </w:rPr>
                      <m:t>K</m:t>
                    </m:r>
                    <m:ctrlPr>
                      <w:rPr>
                        <w:rFonts w:ascii="Cambria Math" w:hAnsi="Cambria Math"/>
                      </w:rPr>
                    </m:ctrlPr>
                  </m:e>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ctrlPr>
                  <w:rPr>
                    <w:rFonts w:ascii="Cambria Math" w:hAnsi="Cambria Math"/>
                  </w:rPr>
                </m:ctrlPr>
              </m:sub>
            </m:sSub>
            <m:ctrlPr>
              <w:rPr>
                <w:rFonts w:ascii="Cambria Math" w:hAnsi="Cambria Math"/>
              </w:rPr>
            </m:ctrlPr>
          </m:e>
        </m:d>
      </m:oMath>
      <w:r>
        <w:rPr>
          <w:rFonts w:eastAsia="Times New Roman"/>
        </w:rPr>
        <w:tab/>
      </w:r>
      <w:r>
        <w:rPr>
          <w:rFonts w:eastAsia="Times New Roman"/>
        </w:rPr>
        <w:t>(3-2b)</w:t>
      </w:r>
    </w:p>
    <w:p w14:paraId="0928AD69">
      <w:pPr>
        <w:spacing w:line="360" w:lineRule="auto"/>
        <w:ind w:firstLine="480"/>
      </w:pPr>
      <w:r>
        <w:rPr>
          <w:rFonts w:ascii="宋体" w:hAnsi="宋体"/>
          <w:sz w:val="24"/>
        </w:rPr>
        <w:t>其中，</w:t>
      </w:r>
      <m:oMath>
        <m:sSup>
          <m:sSupPr>
            <m:ctrlPr>
              <w:rPr>
                <w:rFonts w:ascii="Cambria Math" w:hAnsi="Cambria Math"/>
              </w:rPr>
            </m:ctrlPr>
          </m:sSupPr>
          <m:e>
            <m:r>
              <m:rPr/>
              <w:rPr>
                <w:rFonts w:ascii="Cambria Math" w:hAnsi="Cambria Math"/>
              </w:rPr>
              <m:t>s</m:t>
            </m:r>
            <m:ctrlPr>
              <w:rPr>
                <w:rFonts w:ascii="Cambria Math" w:hAnsi="Cambria Math"/>
              </w:rPr>
            </m:ctrlPr>
          </m:e>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oMath>
      <w:r>
        <w:rPr>
          <w:rFonts w:ascii="宋体" w:hAnsi="宋体"/>
          <w:sz w:val="24"/>
        </w:rPr>
        <w:t xml:space="preserve"> 表示第 l 个剪枝 stage 的词元得分向量，</w:t>
      </w:r>
      <m:oMath>
        <m:sSup>
          <m:sSupPr>
            <m:ctrlPr>
              <w:rPr>
                <w:rFonts w:ascii="Cambria Math" w:hAnsi="Cambria Math"/>
              </w:rPr>
            </m:ctrlPr>
          </m:sSupPr>
          <m:e>
            <m:r>
              <m:rPr/>
              <w:rPr>
                <w:rFonts w:ascii="Cambria Math" w:hAnsi="Cambria Math"/>
              </w:rPr>
              <m:t>K</m:t>
            </m:r>
            <m:ctrlPr>
              <w:rPr>
                <w:rFonts w:ascii="Cambria Math" w:hAnsi="Cambria Math"/>
              </w:rPr>
            </m:ctrlPr>
          </m:e>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oMath>
      <w:r>
        <w:rPr>
          <w:rFonts w:ascii="宋体" w:hAnsi="宋体"/>
          <w:sz w:val="24"/>
        </w:rPr>
        <w:t xml:space="preserve"> 表示该 stage 允许保留的词元数，</w:t>
      </w:r>
      <m:oMath>
        <m:sSup>
          <m:sSupPr>
            <m:ctrlPr>
              <w:rPr>
                <w:rFonts w:ascii="Cambria Math" w:hAnsi="Cambria Math"/>
              </w:rPr>
            </m:ctrlPr>
          </m:sSupPr>
          <m:e>
            <m:r>
              <m:rPr/>
              <w:rPr>
                <w:rFonts w:ascii="Cambria Math" w:hAnsi="Cambria Math"/>
              </w:rPr>
              <m:t>τ</m:t>
            </m:r>
            <m:ctrlPr>
              <w:rPr>
                <w:rFonts w:ascii="Cambria Math" w:hAnsi="Cambria Math"/>
              </w:rPr>
            </m:ctrlPr>
          </m:e>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oMath>
      <w:r>
        <w:rPr>
          <w:rFonts w:ascii="宋体" w:hAnsi="宋体"/>
          <w:sz w:val="24"/>
        </w:rPr>
        <w:t xml:space="preserve"> 表示由排序边界导出的保留阈值，</w:t>
      </w:r>
      <m:oMath>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bSup>
      </m:oMath>
      <w:r>
        <w:rPr>
          <w:rFonts w:ascii="宋体" w:hAnsi="宋体"/>
          <w:sz w:val="24"/>
        </w:rPr>
        <w:t xml:space="preserve"> 表示引入索引微扰后的编码键，</w:t>
      </w:r>
      <m:oMath>
        <m:sSup>
          <m:sSupPr>
            <m:ctrlPr>
              <w:rPr>
                <w:rFonts w:ascii="Cambria Math" w:hAnsi="Cambria Math"/>
              </w:rPr>
            </m:ctrlPr>
          </m:sSupPr>
          <m:e>
            <m:r>
              <m:rPr/>
              <w:rPr>
                <w:rFonts w:ascii="Cambria Math" w:hAnsi="Cambria Math"/>
              </w:rPr>
              <m:t>π</m:t>
            </m:r>
            <m:ctrlPr>
              <w:rPr>
                <w:rFonts w:ascii="Cambria Math" w:hAnsi="Cambria Math"/>
              </w:rPr>
            </m:ctrlPr>
          </m:e>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oMath>
      <w:r>
        <w:rPr>
          <w:rFonts w:ascii="宋体" w:hAnsi="宋体"/>
          <w:sz w:val="24"/>
        </w:rPr>
        <w:t xml:space="preserve"> 表示经编码键双调排序得到的索引排列，</w:t>
      </w:r>
      <m:oMath>
        <m:sSubSup>
          <m:sSubSupPr>
            <m:ctrlPr>
              <w:rPr>
                <w:rFonts w:ascii="Cambria Math" w:hAnsi="Cambria Math"/>
              </w:rPr>
            </m:ctrlPr>
          </m:sSubSup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bSup>
      </m:oMath>
      <w:r>
        <w:rPr>
          <w:rFonts w:ascii="宋体" w:hAnsi="宋体"/>
          <w:sz w:val="24"/>
        </w:rPr>
        <w:t xml:space="preserve"> 表示第 i 个词元的保留掩码。报告正文中的安全选择原语 </w:t>
      </w:r>
      <m:oMath>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mux</m:t>
            </m:r>
            <m:ctrlPr>
              <w:rPr>
                <w:rFonts w:ascii="Cambria Math" w:hAnsi="Cambria Math"/>
              </w:rPr>
            </m:ctrlPr>
          </m:sub>
        </m:sSub>
      </m:oMath>
      <w:r>
        <w:rPr>
          <w:rFonts w:ascii="宋体" w:hAnsi="宋体"/>
          <w:sz w:val="24"/>
        </w:rPr>
        <w:t xml:space="preserve"> 与安全比较原语 </w:t>
      </w:r>
      <m:oMath>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less</m:t>
            </m:r>
            <m:ctrlPr>
              <w:rPr>
                <w:rFonts w:ascii="Cambria Math" w:hAnsi="Cambria Math"/>
              </w:rPr>
            </m:ctrlPr>
          </m:sub>
        </m:sSub>
      </m:oMath>
      <w:r>
        <w:rPr>
          <w:rFonts w:ascii="宋体" w:hAnsi="宋体"/>
          <w:sz w:val="24"/>
        </w:rPr>
        <w:t xml:space="preserve"> 正是围绕这组关系完成的协议友好改写。</w:t>
      </w:r>
    </w:p>
    <w:p w14:paraId="7891476B">
      <w:pPr>
        <w:spacing w:line="360" w:lineRule="auto"/>
        <w:ind w:firstLine="480"/>
      </w:pPr>
      <w:r>
        <w:rPr>
          <w:rFonts w:ascii="宋体" w:hAnsi="宋体"/>
          <w:sz w:val="24"/>
        </w:rPr>
        <w:t>式（3-2a）与式（3-2b）对应当前密态执行中的并列分数稳定化策略：先通过编码键将词元得分与索引绑定，再在固定比较网络中执行按索引跟踪的双调排序，最后直接从排序结果的前</w:t>
      </w:r>
      <m:oMath>
        <m:r>
          <m:rPr/>
          <w:rPr>
            <w:rFonts w:ascii="Cambria Math" w:hAnsi="Cambria Math"/>
          </w:rPr>
          <m:t>K</m:t>
        </m:r>
      </m:oMath>
      <w:r>
        <w:rPr>
          <w:rFonts w:ascii="宋体" w:hAnsi="宋体"/>
          <w:sz w:val="24"/>
        </w:rPr>
        <w:t>个索引构造 keep-mask。这样做避免了“先排序求阈值、再对全体词元执行一次阈值比较”的二次密态比较开销，同时保证并列分数情况下的保留决策具有确定性。</w:t>
      </w:r>
    </w:p>
    <w:p w14:paraId="786DCF80">
      <w:pPr>
        <w:tabs>
          <w:tab w:val="center" w:pos="4536"/>
          <w:tab w:val="right" w:pos="8712"/>
        </w:tabs>
        <w:spacing w:before="40" w:after="60"/>
        <w:jc w:val="left"/>
      </w:pPr>
      <w:r>
        <w:tab/>
      </w:r>
      <m:oMath>
        <m:sSup>
          <m:sSupPr>
            <m:ctrlPr>
              <w:rPr>
                <w:rFonts w:ascii="Cambria Math" w:hAnsi="Cambria Math"/>
              </w:rPr>
            </m:ctrlPr>
          </m:sSupPr>
          <m:e>
            <m:r>
              <m:rPr/>
              <w:rPr>
                <w:rFonts w:ascii="Cambria Math" w:hAnsi="Cambria Math"/>
              </w:rPr>
              <m:t>K</m:t>
            </m:r>
            <m:ctrlPr>
              <w:rPr>
                <w:rFonts w:ascii="Cambria Math" w:hAnsi="Cambria Math"/>
              </w:rPr>
            </m:ctrlPr>
          </m:e>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m:rPr/>
                  <w:rPr>
                    <w:rFonts w:ascii="Cambria Math" w:hAnsi="Cambria Math"/>
                  </w:rPr>
                  <m:t>ρ</m:t>
                </m:r>
                <m:ctrlPr>
                  <w:rPr>
                    <w:rFonts w:ascii="Cambria Math" w:hAnsi="Cambria Math"/>
                  </w:rPr>
                </m:ctrlPr>
              </m:e>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sSup>
              <m:sSupPr>
                <m:ctrlPr>
                  <w:rPr>
                    <w:rFonts w:ascii="Cambria Math" w:hAnsi="Cambria Math"/>
                  </w:rPr>
                </m:ctrlPr>
              </m:sSupPr>
              <m:e>
                <m:r>
                  <m:rPr/>
                  <w:rPr>
                    <w:rFonts w:ascii="Cambria Math" w:hAnsi="Cambria Math"/>
                  </w:rPr>
                  <m:t>N</m:t>
                </m:r>
                <m:ctrlPr>
                  <w:rPr>
                    <w:rFonts w:ascii="Cambria Math" w:hAnsi="Cambria Math"/>
                  </w:rPr>
                </m:ctrlPr>
              </m:e>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ctrlPr>
              <w:rPr>
                <w:rFonts w:ascii="Cambria Math" w:hAnsi="Cambria Math"/>
              </w:rPr>
            </m:ctrlPr>
          </m:e>
        </m:d>
        <m:r>
          <m:rPr>
            <m:sty m:val="p"/>
          </m:rPr>
          <w:rPr>
            <w:rFonts w:ascii="Cambria Math" w:hAnsi="Cambria Math"/>
          </w:rPr>
          <m:t xml:space="preserve">, </m:t>
        </m:r>
        <m:sSubSup>
          <m:sSubSupPr>
            <m:ctrlPr>
              <w:rPr>
                <w:rFonts w:ascii="Cambria Math" w:hAnsi="Cambria Math"/>
              </w:rPr>
            </m:ctrlPr>
          </m:sSubSupPr>
          <m:e>
            <m:r>
              <m:rPr/>
              <w:rPr>
                <w:rFonts w:ascii="Cambria Math" w:hAnsi="Cambria Math"/>
              </w:rPr>
              <m:t>N</m:t>
            </m:r>
            <m:ctrlPr>
              <w:rPr>
                <w:rFonts w:ascii="Cambria Math" w:hAnsi="Cambria Math"/>
              </w:rPr>
            </m:ctrlPr>
          </m:e>
          <m:sub>
            <m:r>
              <m:rPr>
                <m:sty m:val="p"/>
              </m:rPr>
              <w:rPr>
                <w:rFonts w:ascii="Cambria Math" w:hAnsi="Cambria Math"/>
              </w:rPr>
              <m:t>out</m:t>
            </m:r>
            <m:ctrlPr>
              <w:rPr>
                <w:rFonts w:ascii="Cambria Math" w:hAnsi="Cambria Math"/>
              </w:rPr>
            </m:ctrlPr>
          </m:sub>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bSup>
        <m:r>
          <m:rPr>
            <m:sty m:val="p"/>
          </m:rPr>
          <w:rPr>
            <w:rFonts w:ascii="Cambria Math" w:hAnsi="Cambria Math"/>
          </w:rPr>
          <m:t>=</m:t>
        </m:r>
        <m:nary>
          <m:naryPr>
            <m:chr m:val="∑"/>
            <m:ctrlPr>
              <w:rPr>
                <w:rFonts w:ascii="Cambria Math" w:hAnsi="Cambria Math"/>
              </w:rPr>
            </m:ctrlPr>
          </m:naryPr>
          <m:sub>
            <m:r>
              <m:rPr/>
              <w:rPr>
                <w:rFonts w:ascii="Cambria Math" w:hAnsi="Cambria Math"/>
              </w:rPr>
              <m:t>i</m:t>
            </m:r>
            <m:r>
              <m:rPr>
                <m:sty m:val="p"/>
              </m:rPr>
              <w:rPr>
                <w:rFonts w:ascii="Cambria Math" w:hAnsi="Cambria Math"/>
              </w:rPr>
              <m:t>=1</m:t>
            </m:r>
            <m:ctrlPr>
              <w:rPr>
                <w:rFonts w:ascii="Cambria Math" w:hAnsi="Cambria Math"/>
              </w:rPr>
            </m:ctrlPr>
          </m:sub>
          <m:sup>
            <m:sSup>
              <m:sSupPr>
                <m:ctrlPr>
                  <w:rPr>
                    <w:rFonts w:ascii="Cambria Math" w:hAnsi="Cambria Math"/>
                  </w:rPr>
                </m:ctrlPr>
              </m:sSupPr>
              <m:e>
                <m:r>
                  <m:rPr/>
                  <w:rPr>
                    <w:rFonts w:ascii="Cambria Math" w:hAnsi="Cambria Math"/>
                  </w:rPr>
                  <m:t>N</m:t>
                </m:r>
                <m:ctrlPr>
                  <w:rPr>
                    <w:rFonts w:ascii="Cambria Math" w:hAnsi="Cambria Math"/>
                  </w:rPr>
                </m:ctrlPr>
              </m:e>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ctrlPr>
              <w:rPr>
                <w:rFonts w:ascii="Cambria Math" w:hAnsi="Cambria Math"/>
              </w:rPr>
            </m:ctrlPr>
          </m:sup>
          <m:e>
            <m:sSubSup>
              <m:sSubSupPr>
                <m:ctrlPr>
                  <w:rPr>
                    <w:rFonts w:ascii="Cambria Math" w:hAnsi="Cambria Math"/>
                  </w:rPr>
                </m:ctrlPr>
              </m:sSubSup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bSup>
            <m:ctrlPr>
              <w:rPr>
                <w:rFonts w:ascii="Cambria Math" w:hAnsi="Cambria Math"/>
              </w:rPr>
            </m:ctrlPr>
          </m:e>
        </m:nary>
      </m:oMath>
      <w:r>
        <w:rPr>
          <w:rFonts w:eastAsia="Times New Roman"/>
        </w:rPr>
        <w:tab/>
      </w:r>
      <w:r>
        <w:rPr>
          <w:rFonts w:eastAsia="Times New Roman"/>
        </w:rPr>
        <w:t>(3-2c)</w:t>
      </w:r>
    </w:p>
    <w:p w14:paraId="27BE569D">
      <w:pPr>
        <w:tabs>
          <w:tab w:val="center" w:pos="4536"/>
          <w:tab w:val="right" w:pos="8712"/>
        </w:tabs>
        <w:spacing w:before="40" w:after="60"/>
        <w:jc w:val="left"/>
      </w:pPr>
      <w:r>
        <w:tab/>
      </w:r>
      <m:oMath>
        <m:sSubSup>
          <m:sSubSupPr>
            <m:ctrlPr>
              <w:rPr>
                <w:rFonts w:ascii="Cambria Math" w:hAnsi="Cambria Math"/>
              </w:rPr>
            </m:ctrlPr>
          </m:sSubSupPr>
          <m:e>
            <m:r>
              <m:rPr/>
              <w:rPr>
                <w:rFonts w:ascii="Cambria Math" w:hAnsi="Cambria Math"/>
              </w:rPr>
              <m:t>b</m:t>
            </m:r>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bSup>
        <m:r>
          <m:rPr>
            <m:sty m:val="p"/>
          </m:rPr>
          <w:rPr>
            <w:rFonts w:ascii="Cambria Math" w:hAnsi="Cambria Math"/>
          </w:rPr>
          <m:t>=F_less</m:t>
        </m:r>
        <m:d>
          <m:dPr>
            <m:ctrlPr>
              <w:rPr>
                <w:rFonts w:ascii="Cambria Math" w:hAnsi="Cambria Math"/>
              </w:rPr>
            </m:ctrlPr>
          </m:dPr>
          <m:e>
            <m:sSup>
              <m:sSupPr>
                <m:ctrlPr>
                  <w:rPr>
                    <w:rFonts w:ascii="Cambria Math" w:hAnsi="Cambria Math"/>
                  </w:rPr>
                </m:ctrlPr>
              </m:sSupPr>
              <m:e>
                <m:r>
                  <m:rPr/>
                  <w:rPr>
                    <w:rFonts w:ascii="Cambria Math" w:hAnsi="Cambria Math"/>
                  </w:rPr>
                  <m:t>τ</m:t>
                </m:r>
                <m:ctrlPr>
                  <w:rPr>
                    <w:rFonts w:ascii="Cambria Math" w:hAnsi="Cambria Math"/>
                  </w:rPr>
                </m:ctrlPr>
              </m:e>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r>
              <m:rPr>
                <m:sty m:val="p"/>
              </m:rPr>
              <w:rPr>
                <w:rFonts w:ascii="Cambria Math" w:hAnsi="Cambria Math"/>
              </w:rPr>
              <m:t>,</m:t>
            </m:r>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bSup>
            <m:ctrlPr>
              <w:rPr>
                <w:rFonts w:ascii="Cambria Math" w:hAnsi="Cambria Math"/>
              </w:rPr>
            </m:ctrlPr>
          </m:e>
        </m:d>
      </m:oMath>
      <w:r>
        <w:rPr>
          <w:rFonts w:eastAsia="Times New Roman"/>
        </w:rPr>
        <w:tab/>
      </w:r>
      <w:r>
        <w:rPr>
          <w:rFonts w:eastAsia="Times New Roman"/>
        </w:rPr>
        <w:t>(3-2d)</w:t>
      </w:r>
    </w:p>
    <w:p w14:paraId="4C0D9B47">
      <w:pPr>
        <w:tabs>
          <w:tab w:val="center" w:pos="4536"/>
          <w:tab w:val="right" w:pos="8712"/>
        </w:tabs>
        <w:spacing w:before="40" w:after="60"/>
        <w:jc w:val="left"/>
      </w:pPr>
      <w:r>
        <w:tab/>
      </w:r>
      <m:oMath>
        <m:sSubSup>
          <m:sSubSupPr>
            <m:ctrlPr>
              <w:rPr>
                <w:rFonts w:ascii="Cambria Math" w:hAnsi="Cambria Math"/>
              </w:rPr>
            </m:ctrlPr>
          </m:sSubSupPr>
          <m:e>
            <m:acc>
              <m:accPr>
                <m:chr m:val="̃"/>
                <m:ctrlPr>
                  <w:rPr>
                    <w:rFonts w:ascii="Cambria Math" w:hAnsi="Cambria Math"/>
                  </w:rPr>
                </m:ctrlPr>
              </m:accPr>
              <m:e>
                <m:r>
                  <m:rPr/>
                  <w:rPr>
                    <w:rFonts w:ascii="Cambria Math" w:hAnsi="Cambria Math"/>
                  </w:rPr>
                  <m:t>h</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bSup>
        <m:r>
          <m:rPr>
            <m:sty m:val="p"/>
          </m:rPr>
          <w:rPr>
            <w:rFonts w:ascii="Cambria Math" w:hAnsi="Cambria Math"/>
          </w:rPr>
          <m:t>=F_mux</m:t>
        </m:r>
        <m:d>
          <m:dPr>
            <m:ctrlPr>
              <w:rPr>
                <w:rFonts w:ascii="Cambria Math" w:hAnsi="Cambria Math"/>
              </w:rPr>
            </m:ctrlPr>
          </m:dPr>
          <m:e>
            <m:sSubSup>
              <m:sSubSupPr>
                <m:ctrlPr>
                  <w:rPr>
                    <w:rFonts w:ascii="Cambria Math" w:hAnsi="Cambria Math"/>
                  </w:rPr>
                </m:ctrlPr>
              </m:sSubSupPr>
              <m:e>
                <m:r>
                  <m:rPr/>
                  <w:rPr>
                    <w:rFonts w:ascii="Cambria Math" w:hAnsi="Cambria Math"/>
                  </w:rPr>
                  <m:t>b</m:t>
                </m:r>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bSup>
            <m:r>
              <m:rPr>
                <m:sty m:val="p"/>
              </m:rPr>
              <w:rPr>
                <w:rFonts w:ascii="Cambria Math" w:hAnsi="Cambria Math"/>
              </w:rPr>
              <m:t>,0</m:t>
            </m:r>
            <m:ctrlPr>
              <w:rPr>
                <w:rFonts w:ascii="Cambria Math" w:hAnsi="Cambria Math"/>
              </w:rPr>
            </m:ctrlPr>
          </m:e>
        </m:d>
      </m:oMath>
      <w:r>
        <w:rPr>
          <w:rFonts w:eastAsia="Times New Roman"/>
        </w:rPr>
        <w:tab/>
      </w:r>
      <w:r>
        <w:rPr>
          <w:rFonts w:eastAsia="Times New Roman"/>
        </w:rPr>
        <w:t>(3-2e)</w:t>
      </w:r>
    </w:p>
    <w:p w14:paraId="410ACF41">
      <w:pPr>
        <w:spacing w:line="360" w:lineRule="auto"/>
        <w:ind w:firstLine="480"/>
        <w:rPr>
          <w:rFonts w:ascii="宋体" w:hAnsi="宋体"/>
          <w:sz w:val="24"/>
        </w:rPr>
      </w:pPr>
      <w:r>
        <w:rPr>
          <w:rFonts w:ascii="宋体" w:hAnsi="宋体"/>
          <w:sz w:val="24"/>
        </w:rPr>
        <w:t xml:space="preserve">式（3-2c）进一步给出每个剪枝 stage 的保留预算约束；式（3-2d）与式（3-2e）则分别把保留判定与安全选择写为 </w:t>
      </w:r>
      <m:oMath>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less</m:t>
            </m:r>
            <m:ctrlPr>
              <w:rPr>
                <w:rFonts w:ascii="Cambria Math" w:hAnsi="Cambria Math"/>
              </w:rPr>
            </m:ctrlPr>
          </m:sub>
        </m:sSub>
      </m:oMath>
      <w:r>
        <w:rPr>
          <w:rFonts w:ascii="宋体" w:hAnsi="宋体"/>
          <w:sz w:val="24"/>
        </w:rPr>
        <w:t xml:space="preserve"> 和 </w:t>
      </w:r>
      <m:oMath>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mux</m:t>
            </m:r>
            <m:ctrlPr>
              <w:rPr>
                <w:rFonts w:ascii="Cambria Math" w:hAnsi="Cambria Math"/>
              </w:rPr>
            </m:ctrlPr>
          </m:sub>
        </m:sSub>
      </m:oMath>
      <w:r>
        <w:rPr>
          <w:rFonts w:ascii="宋体" w:hAnsi="宋体"/>
          <w:sz w:val="24"/>
        </w:rPr>
        <w:t xml:space="preserve"> 原语。其中，</w:t>
      </w:r>
      <m:oMath>
        <m:sSup>
          <m:sSupPr>
            <m:ctrlPr>
              <w:rPr>
                <w:rFonts w:ascii="Cambria Math" w:hAnsi="Cambria Math"/>
              </w:rPr>
            </m:ctrlPr>
          </m:sSupPr>
          <m:e>
            <m:r>
              <m:rPr/>
              <w:rPr>
                <w:rFonts w:ascii="Cambria Math" w:hAnsi="Cambria Math"/>
              </w:rPr>
              <m:t>ρ</m:t>
            </m:r>
            <m:ctrlPr>
              <w:rPr>
                <w:rFonts w:ascii="Cambria Math" w:hAnsi="Cambria Math"/>
              </w:rPr>
            </m:ctrlPr>
          </m:e>
          <m:sup>
            <m:r>
              <m:rPr/>
              <w:rPr>
                <w:rFonts w:ascii="Cambria Math" w:hAnsi="Cambria Math"/>
              </w:rPr>
              <m:t>l</m:t>
            </m:r>
            <m:ctrlPr>
              <w:rPr>
                <w:rFonts w:ascii="Cambria Math" w:hAnsi="Cambria Math"/>
              </w:rPr>
            </m:ctrlPr>
          </m:sup>
        </m:sSup>
      </m:oMath>
      <w:r>
        <w:rPr>
          <w:rFonts w:ascii="宋体" w:hAnsi="宋体"/>
          <w:sz w:val="24"/>
        </w:rPr>
        <w:t>表示第 l 个阶段的目标保留率，</w:t>
      </w:r>
      <m:oMath>
        <m:sSup>
          <m:sSupPr>
            <m:ctrlPr>
              <w:rPr>
                <w:rFonts w:ascii="Cambria Math" w:hAnsi="Cambria Math"/>
              </w:rPr>
            </m:ctrlPr>
          </m:sSupPr>
          <m:e>
            <m:r>
              <m:rPr/>
              <w:rPr>
                <w:rFonts w:ascii="Cambria Math" w:hAnsi="Cambria Math"/>
              </w:rPr>
              <m:t>N</m:t>
            </m:r>
            <m:ctrlPr>
              <w:rPr>
                <w:rFonts w:ascii="Cambria Math" w:hAnsi="Cambria Math"/>
              </w:rPr>
            </m:ctrlPr>
          </m:e>
          <m:sup>
            <m:r>
              <m:rPr/>
              <w:rPr>
                <w:rFonts w:ascii="Cambria Math" w:hAnsi="Cambria Math"/>
              </w:rPr>
              <m:t>l</m:t>
            </m:r>
            <m:ctrlPr>
              <w:rPr>
                <w:rFonts w:ascii="Cambria Math" w:hAnsi="Cambria Math"/>
              </w:rPr>
            </m:ctrlPr>
          </m:sup>
        </m:sSup>
      </m:oMath>
      <w:r>
        <w:rPr>
          <w:rFonts w:ascii="宋体" w:hAnsi="宋体"/>
          <w:sz w:val="24"/>
        </w:rPr>
        <w:t>表示该阶段输入词元数，</w:t>
      </w:r>
      <m:oMath>
        <m:sSubSup>
          <m:sSubSupPr>
            <m:ctrlPr>
              <w:rPr>
                <w:rFonts w:ascii="Cambria Math" w:hAnsi="Cambria Math"/>
              </w:rPr>
            </m:ctrlPr>
          </m:sSubSupPr>
          <m:e>
            <m:r>
              <m:rPr/>
              <w:rPr>
                <w:rFonts w:ascii="Cambria Math" w:hAnsi="Cambria Math"/>
              </w:rPr>
              <m:t>N</m:t>
            </m:r>
            <m:ctrlPr>
              <w:rPr>
                <w:rFonts w:ascii="Cambria Math" w:hAnsi="Cambria Math"/>
              </w:rPr>
            </m:ctrlPr>
          </m:e>
          <m:sub>
            <m:r>
              <m:rPr>
                <m:sty m:val="p"/>
              </m:rPr>
              <w:rPr>
                <w:rFonts w:ascii="Cambria Math" w:hAnsi="Cambria Math"/>
              </w:rPr>
              <m:t>out</m:t>
            </m:r>
            <m:ctrlPr>
              <w:rPr>
                <w:rFonts w:ascii="Cambria Math" w:hAnsi="Cambria Math"/>
              </w:rPr>
            </m:ctrlPr>
          </m:sub>
          <m:sup>
            <m:r>
              <m:rPr/>
              <w:rPr>
                <w:rFonts w:ascii="Cambria Math" w:hAnsi="Cambria Math"/>
              </w:rPr>
              <m:t>l</m:t>
            </m:r>
            <m:ctrlPr>
              <w:rPr>
                <w:rFonts w:ascii="Cambria Math" w:hAnsi="Cambria Math"/>
              </w:rPr>
            </m:ctrlPr>
          </m:sup>
        </m:sSubSup>
      </m:oMath>
      <w:r>
        <w:rPr>
          <w:rFonts w:ascii="宋体" w:hAnsi="宋体"/>
          <w:sz w:val="24"/>
        </w:rPr>
        <w:t>表示 keep-mask 作用后的实际保留词元数，</w:t>
      </w:r>
      <m:oMath>
        <m:sSubSup>
          <m:sSubSupPr>
            <m:ctrlPr>
              <w:rPr>
                <w:rFonts w:ascii="Cambria Math" w:hAnsi="Cambria Math"/>
              </w:rPr>
            </m:ctrlPr>
          </m:sSubSupPr>
          <m:e>
            <m:r>
              <m:rPr/>
              <w:rPr>
                <w:rFonts w:ascii="Cambria Math" w:hAnsi="Cambria Math"/>
              </w:rPr>
              <m:t>b</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l</m:t>
            </m:r>
            <m:ctrlPr>
              <w:rPr>
                <w:rFonts w:ascii="Cambria Math" w:hAnsi="Cambria Math"/>
              </w:rPr>
            </m:ctrlPr>
          </m:sup>
        </m:sSubSup>
      </m:oMath>
      <w:r>
        <w:rPr>
          <w:rFonts w:ascii="宋体" w:hAnsi="宋体"/>
          <w:sz w:val="24"/>
        </w:rPr>
        <w:t>表示第 i 个词元在该阶段的安全比较结果。</w:t>
      </w:r>
    </w:p>
    <w:p w14:paraId="3333AF16">
      <w:pPr>
        <w:spacing w:line="360" w:lineRule="auto"/>
        <w:ind w:firstLine="480"/>
        <w:rPr>
          <w:rFonts w:hint="eastAsia" w:ascii="宋体" w:hAnsi="宋体"/>
          <w:sz w:val="24"/>
        </w:rPr>
      </w:pPr>
      <w:r>
        <w:rPr>
          <w:rFonts w:hint="eastAsia" w:ascii="宋体" w:hAnsi="宋体"/>
          <w:sz w:val="24"/>
        </w:rPr>
        <w:t>考虑到本作品的核心创新在于将 DynamicViT 的删除式剪枝重写为固定图下可执行的 keep-mask 语义，算法2进一步给出动态词元剪枝的安全化执行步骤。该算法与式（3-1）至式（3-2e）一一对应，用于说明词元打分、编码排序、保留掩码构造与安全选择之间的实现关系。</w:t>
      </w:r>
    </w:p>
    <w:p w14:paraId="6B0547A1">
      <w:pPr>
        <w:spacing w:line="360" w:lineRule="auto"/>
        <w:ind w:firstLine="480"/>
        <w:jc w:val="both"/>
        <w:rPr>
          <w:rFonts w:hint="eastAsia" w:ascii="宋体" w:hAnsi="宋体"/>
          <w:sz w:val="24"/>
        </w:rPr>
      </w:pPr>
      <w:r>
        <w:drawing>
          <wp:inline distT="0" distB="0" distL="114300" distR="114300">
            <wp:extent cx="5153660" cy="2413635"/>
            <wp:effectExtent l="0" t="0" r="0" b="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9"/>
                    <a:srcRect r="12326"/>
                    <a:stretch>
                      <a:fillRect/>
                    </a:stretch>
                  </pic:blipFill>
                  <pic:spPr>
                    <a:xfrm>
                      <a:off x="0" y="0"/>
                      <a:ext cx="5153660" cy="2413635"/>
                    </a:xfrm>
                    <a:prstGeom prst="rect">
                      <a:avLst/>
                    </a:prstGeom>
                    <a:noFill/>
                    <a:ln>
                      <a:noFill/>
                    </a:ln>
                  </pic:spPr>
                </pic:pic>
              </a:graphicData>
            </a:graphic>
          </wp:inline>
        </w:drawing>
      </w:r>
    </w:p>
    <w:p w14:paraId="56BDCFFF">
      <w:pPr>
        <w:spacing w:line="360" w:lineRule="auto"/>
        <w:ind w:firstLine="480"/>
      </w:pPr>
      <w:r>
        <w:rPr>
          <w:rFonts w:ascii="宋体" w:hAnsi="宋体"/>
          <w:sz w:val="24"/>
        </w:rPr>
        <w:t>图 3-1 从实现结构角度补充展示当前项目框架：上层对应医院终端、业务网关与双节点密态执行域；中层分别对应控制面闭环、DynamicViT 安全化重写组件与两方半诚实安全计算协议；底层则是秘密分享、比较/选择与审计摘要等密码学基础原语。该图用于说明第 2 章“系统设计”与第 3 章“系统实现”的衔接关系。</w:t>
      </w:r>
    </w:p>
    <w:p w14:paraId="4AE14C3E">
      <w:pPr>
        <w:spacing w:line="360" w:lineRule="auto"/>
        <w:jc w:val="center"/>
      </w:pPr>
      <w:r>
        <w:rPr>
          <w:rFonts w:hint="eastAsia"/>
        </w:rPr>
        <w:drawing>
          <wp:inline distT="0" distB="0" distL="114300" distR="114300">
            <wp:extent cx="3879850" cy="5130165"/>
            <wp:effectExtent l="0" t="0" r="6350" b="635"/>
            <wp:docPr id="8" name="图片 8" descr="2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_01"/>
                    <pic:cNvPicPr>
                      <a:picLocks noChangeAspect="1"/>
                    </pic:cNvPicPr>
                  </pic:nvPicPr>
                  <pic:blipFill>
                    <a:blip r:embed="rId10"/>
                    <a:srcRect t="9974" b="3129"/>
                    <a:stretch>
                      <a:fillRect/>
                    </a:stretch>
                  </pic:blipFill>
                  <pic:spPr>
                    <a:xfrm>
                      <a:off x="0" y="0"/>
                      <a:ext cx="3879850" cy="5130165"/>
                    </a:xfrm>
                    <a:prstGeom prst="rect">
                      <a:avLst/>
                    </a:prstGeom>
                  </pic:spPr>
                </pic:pic>
              </a:graphicData>
            </a:graphic>
          </wp:inline>
        </w:drawing>
      </w:r>
    </w:p>
    <w:p w14:paraId="4036C1DD">
      <w:pPr>
        <w:spacing w:line="288" w:lineRule="auto"/>
        <w:jc w:val="center"/>
      </w:pPr>
      <w:r>
        <w:rPr>
          <w:rFonts w:ascii="宋体" w:hAnsi="宋体"/>
          <w:sz w:val="20"/>
        </w:rPr>
        <w:t>图3-1 密捷项目当前框架总体架构图。</w:t>
      </w:r>
    </w:p>
    <w:p w14:paraId="0FB7FEE0">
      <w:pPr>
        <w:spacing w:line="360" w:lineRule="auto"/>
        <w:ind w:firstLine="480"/>
      </w:pPr>
      <w:r>
        <w:rPr>
          <w:rFonts w:ascii="宋体" w:hAnsi="宋体"/>
          <w:sz w:val="24"/>
        </w:rPr>
        <w:t>评审可按“终端本地明文处理—跨域密态传输—服务端入口门控—双节点密态执行—结果回传与审计固化”五个层次阅读图3-1。图左侧的医院终端代表数据提供方，也是整条链路中唯一允许接触原始影像、明文像素张量和局部质量指标的位置；图右侧的双节点密态执行域代表模型持有方与协同计算方在两方半诚实安全计算约束下共同完成推理的区域；两者之间由业务网关和服务端控制面构成一道明确的信任边界。</w:t>
      </w:r>
    </w:p>
    <w:p w14:paraId="20B984B5">
      <w:pPr>
        <w:spacing w:line="360" w:lineRule="auto"/>
        <w:ind w:firstLine="480"/>
      </w:pPr>
      <w:r>
        <w:rPr>
          <w:rFonts w:ascii="宋体" w:hAnsi="宋体"/>
          <w:sz w:val="24"/>
        </w:rPr>
        <w:t>从输入侧开始，用户在浏览器端选择影像后，主线程并不直接承担高开销计算，而只负责文件句柄保留、界面状态维护与请求编排。真正的图像头部尺寸检查、异常尺寸阻断、解码、中心裁剪、像素归一化、本地数据质量评估、审计哈希链构建以及 share0/share1 的小端序 Float32 序列化，全部在浏览器工作线程内部完成。换言之，图3-1中“医院终端”内部已经同时完成了明文处理、质量预检与秘密分享三项职责，这是原始像素不越出终端侧的关键。</w:t>
      </w:r>
    </w:p>
    <w:p w14:paraId="0824E97A">
      <w:pPr>
        <w:spacing w:line="360" w:lineRule="auto"/>
        <w:ind w:firstLine="480"/>
      </w:pPr>
      <w:r>
        <w:rPr>
          <w:rFonts w:ascii="宋体" w:hAnsi="宋体"/>
          <w:sz w:val="24"/>
        </w:rPr>
        <w:t>当终端侧形成两份密态分片与结构化元数据后，跨越信任边界传输的对象就被严格限制为：share 字节流、审计摘要和最小必要的结构化质量信息，而不是原始图像或可逆像素值。进入服务端后，业务网关首先负责请求体大小、boundary 参数、多部件结构和字段集合的快速预检；随后，权威快检模块继续完成 JSON 字节长度门、share 哈希校验、内存对齐复制、非有限数与次正规数阻断、张量幅值检查、质量摘要容差复核、nonce 重放拦截、payload 去重以及来源地址并发守卫。只有在这些门控全部通过后，请求才会被转送至下游 SPU 密态执行域。</w:t>
      </w:r>
    </w:p>
    <w:p w14:paraId="0B1D9902">
      <w:pPr>
        <w:spacing w:line="360" w:lineRule="auto"/>
        <w:ind w:firstLine="480"/>
      </w:pPr>
      <w:r>
        <w:rPr>
          <w:rFonts w:ascii="宋体" w:hAnsi="宋体"/>
          <w:sz w:val="24"/>
        </w:rPr>
        <w:t>图3-1中部的 DynamicViT 安全化重写组件用于说明：本作品并不是把一个静态模型简单包进安全计算框架，而是对动态词元剪枝路径本身做了协议友好改写。具体而言，PredictorLG 在 SPU 内部生成词元得分，编码键排序网络在固定图中完成稳定的保留边界推导与 keep-mask 构造，后续 attention、MLP、残差连接和分类头始终保持在两方安全执行域内运行。这样既保留了按样本变化的动态剪枝能力，又避免把剪枝决策暴露为外部明文控制流，从而使“动态”与“密态”真正统一到同一条执行链路中。</w:t>
      </w:r>
    </w:p>
    <w:p w14:paraId="0983913C">
      <w:pPr>
        <w:spacing w:line="360" w:lineRule="auto"/>
        <w:ind w:firstLine="480"/>
      </w:pPr>
      <w:r>
        <w:rPr>
          <w:rFonts w:ascii="宋体" w:hAnsi="宋体"/>
          <w:sz w:val="24"/>
        </w:rPr>
        <w:t>在输出侧，SPU 域对外仅释放最终分类结论，而不会泄露中间特征、模型参数或任一方的明文 share。服务端控制面同时补充返回质量裁决、审计摘要与控制面耗时，并将关键事件写入审计记录，以便展示、复核与赛后核查使用同一条证据链。因此，图3-1不仅展示了系统由哪些模块构成，更重要的是交代了每一类数据在什么位置生成、在什么边界停止、由谁执行校验、以及最终以何种最小暴露形式返回结果；评审只要顺着这条责任链阅读，就能够完整理解本作品从上传、门控、推理到审计的整体运作流程。</w:t>
      </w:r>
    </w:p>
    <w:p w14:paraId="1767646B">
      <w:pPr>
        <w:spacing w:line="360" w:lineRule="auto"/>
        <w:outlineLvl w:val="1"/>
        <w:rPr>
          <w:rFonts w:hint="eastAsia" w:ascii="黑体" w:hAnsi="黑体" w:eastAsia="黑体"/>
          <w:b/>
          <w:sz w:val="24"/>
        </w:rPr>
      </w:pPr>
      <w:bookmarkStart w:id="28" w:name="_Toc230691154"/>
      <w:bookmarkStart w:id="29" w:name="Transshield_TOC_section_3_2"/>
      <w:r>
        <w:rPr>
          <w:rFonts w:ascii="黑体" w:hAnsi="黑体" w:eastAsia="黑体"/>
          <w:b/>
          <w:sz w:val="24"/>
        </w:rPr>
        <w:t>3.2 端到端执行流程与模块协同</w:t>
      </w:r>
      <w:bookmarkEnd w:id="28"/>
      <w:bookmarkEnd w:id="29"/>
    </w:p>
    <w:p w14:paraId="74842A7E">
      <w:pPr>
        <w:spacing w:line="360" w:lineRule="auto"/>
        <w:ind w:firstLine="480"/>
      </w:pPr>
      <w:r>
        <w:rPr>
          <w:rFonts w:ascii="宋体" w:hAnsi="宋体"/>
          <w:sz w:val="24"/>
        </w:rPr>
        <w:t>结合图 3-1 的当前项目框架，当前端到端链路可以压缩为三个安全阶段。第一阶段是终端本地预处理：浏览器工作线程完成影像解码、质量评估、审计链构建与秘密分享，安全目标是使原始影像和明文像素止于终端侧。第二阶段是服务端边界拦截：前置网关与权威快检模块在进入 SPU 之前完成报文、结构化元数据、share 字节流与重构张量合法性校验，安全目标是使异常输入、重放请求和畸形张量止于密态执行入口之外。第三阶段是 SPU 密态执行：PredictorLG、编码键排序、keep-mask 构造与前向分类全部保留在两方安全执行域内，安全目标是避免动态决策链退化为外部明文回放。</w:t>
      </w:r>
    </w:p>
    <w:p w14:paraId="0D5F2ADF">
      <w:pPr>
        <w:spacing w:line="360" w:lineRule="auto"/>
        <w:ind w:firstLine="480"/>
      </w:pPr>
      <w:r>
        <w:rPr>
          <w:rFonts w:ascii="宋体" w:hAnsi="宋体"/>
          <w:sz w:val="24"/>
        </w:rPr>
        <w:t>因此，本节不再重复图 2-2 中的逐步动作，而是强调各阶段的安全职责分工：前端负责明文边界与分片生成，服务端负责权威阻断与审计固化，SPU 路径负责完成双向隐私约束下的动态安全推理。</w:t>
      </w:r>
    </w:p>
    <w:p w14:paraId="16FC73AC">
      <w:pPr>
        <w:spacing w:line="360" w:lineRule="auto"/>
        <w:outlineLvl w:val="1"/>
        <w:rPr>
          <w:rFonts w:hint="eastAsia" w:ascii="黑体" w:hAnsi="黑体" w:eastAsia="黑体"/>
          <w:b/>
          <w:sz w:val="24"/>
        </w:rPr>
      </w:pPr>
      <w:bookmarkStart w:id="30" w:name="Transshield_TOC_section_3_3"/>
      <w:bookmarkStart w:id="31" w:name="_Toc230691155"/>
      <w:r>
        <w:rPr>
          <w:rFonts w:ascii="黑体" w:hAnsi="黑体" w:eastAsia="黑体"/>
          <w:b/>
          <w:sz w:val="24"/>
        </w:rPr>
        <w:t>3.3 前端控制面实现</w:t>
      </w:r>
      <w:bookmarkEnd w:id="30"/>
      <w:bookmarkEnd w:id="31"/>
    </w:p>
    <w:p w14:paraId="6DEE4BF9">
      <w:pPr>
        <w:spacing w:line="360" w:lineRule="auto"/>
        <w:ind w:firstLine="480"/>
      </w:pPr>
      <w:r>
        <w:rPr>
          <w:rFonts w:ascii="宋体" w:hAnsi="宋体"/>
          <w:sz w:val="24"/>
        </w:rPr>
        <w:t>前端实现采用主线程与单实例浏览器工作线程分离的结构。主线程只负责文件句柄保留、页面状态维护和请求编排；工作线程内部完成图像头部尺寸嗅探、异常尺寸阻断、解码与中心裁剪、数据质量指标提取、源图与 share 审计哈希计算、小端序 32 位浮点（Float32）字节流序列化与可转移数组缓冲区传递。该设计避免了大体量数组在主线程上的结构化克隆开销，同时将高开销计算与页面交互解耦。</w:t>
      </w:r>
    </w:p>
    <w:p w14:paraId="69E57C07">
      <w:pPr>
        <w:spacing w:line="360" w:lineRule="auto"/>
        <w:ind w:firstLine="480"/>
      </w:pPr>
      <w:r>
        <w:rPr>
          <w:rFonts w:ascii="宋体" w:hAnsi="宋体"/>
          <w:sz w:val="24"/>
        </w:rPr>
        <w:t>前端计算过程中的关键数值变换、两方分片关系与审计关系见式（3-3）至式（3-5），其中式（3-4a）进一步给出输入张量与两方 share 之间的对应关系：</w:t>
      </w:r>
    </w:p>
    <w:p w14:paraId="23D3FA07">
      <w:pPr>
        <w:tabs>
          <w:tab w:val="center" w:pos="4536"/>
          <w:tab w:val="right" w:pos="8712"/>
        </w:tabs>
        <w:spacing w:before="40" w:after="60"/>
        <w:jc w:val="left"/>
        <w:rPr>
          <w:sz w:val="24"/>
        </w:rPr>
      </w:pPr>
      <w:r>
        <w:rPr>
          <w:sz w:val="24"/>
        </w:rPr>
        <w:tab/>
      </w:r>
      <m:oMath>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c</m:t>
            </m:r>
            <m:r>
              <m:rPr>
                <m:sty m:val="p"/>
              </m:rPr>
              <w:rPr>
                <w:rFonts w:ascii="Cambria Math" w:hAnsi="Cambria Math"/>
                <w:sz w:val="24"/>
              </w:rPr>
              <m:t>,</m:t>
            </m:r>
            <m:r>
              <m:rPr/>
              <w:rPr>
                <w:rFonts w:ascii="Cambria Math" w:hAnsi="Cambria Math"/>
                <w:sz w:val="24"/>
              </w:rPr>
              <m:t>h</m:t>
            </m:r>
            <m:r>
              <m:rPr>
                <m:sty m:val="p"/>
              </m:rPr>
              <w:rPr>
                <w:rFonts w:ascii="Cambria Math" w:hAnsi="Cambria Math"/>
                <w:sz w:val="24"/>
              </w:rPr>
              <m:t>,</m:t>
            </m:r>
            <m:r>
              <m:rPr/>
              <w:rPr>
                <w:rFonts w:ascii="Cambria Math" w:hAnsi="Cambria Math"/>
                <w:sz w:val="24"/>
              </w:rPr>
              <m:t>w</m:t>
            </m:r>
            <m:ctrlPr>
              <w:rPr>
                <w:rFonts w:ascii="Cambria Math" w:hAnsi="Cambria Math"/>
                <w:sz w:val="24"/>
              </w:rPr>
            </m:ctrlPr>
          </m:sub>
        </m:sSub>
        <m:r>
          <m:rPr>
            <m:sty m:val="p"/>
          </m:rPr>
          <w:rPr>
            <w:rFonts w:ascii="Cambria Math" w:hAnsi="Cambria Math"/>
            <w:sz w:val="24"/>
          </w:rPr>
          <m:t>=clip</m:t>
        </m:r>
        <m:d>
          <m:dPr>
            <m:ctrlPr>
              <w:rPr>
                <w:rFonts w:ascii="Cambria Math" w:hAnsi="Cambria Math"/>
                <w:sz w:val="24"/>
              </w:rPr>
            </m:ctrlPr>
          </m:dPr>
          <m:e>
            <m:f>
              <m:fPr>
                <m:ctrlPr>
                  <w:rPr>
                    <w:rFonts w:ascii="Cambria Math" w:hAnsi="Cambria Math"/>
                    <w:sz w:val="24"/>
                  </w:rPr>
                </m:ctrlPr>
              </m:fPr>
              <m:num>
                <m:f>
                  <m:fPr>
                    <m:ctrlPr>
                      <w:rPr>
                        <w:rFonts w:ascii="Cambria Math" w:hAnsi="Cambria Math"/>
                        <w:sz w:val="24"/>
                      </w:rPr>
                    </m:ctrlPr>
                  </m:fPr>
                  <m:num>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c</m:t>
                        </m:r>
                        <m:r>
                          <m:rPr>
                            <m:sty m:val="p"/>
                          </m:rPr>
                          <w:rPr>
                            <w:rFonts w:ascii="Cambria Math" w:hAnsi="Cambria Math"/>
                            <w:sz w:val="24"/>
                          </w:rPr>
                          <m:t>,</m:t>
                        </m:r>
                        <m:r>
                          <m:rPr/>
                          <w:rPr>
                            <w:rFonts w:ascii="Cambria Math" w:hAnsi="Cambria Math"/>
                            <w:sz w:val="24"/>
                          </w:rPr>
                          <m:t>h</m:t>
                        </m:r>
                        <m:r>
                          <m:rPr>
                            <m:sty m:val="p"/>
                          </m:rPr>
                          <w:rPr>
                            <w:rFonts w:ascii="Cambria Math" w:hAnsi="Cambria Math"/>
                            <w:sz w:val="24"/>
                          </w:rPr>
                          <m:t>,</m:t>
                        </m:r>
                        <m:r>
                          <m:rPr/>
                          <w:rPr>
                            <w:rFonts w:ascii="Cambria Math" w:hAnsi="Cambria Math"/>
                            <w:sz w:val="24"/>
                          </w:rPr>
                          <m:t>w</m:t>
                        </m:r>
                        <m:ctrlPr>
                          <w:rPr>
                            <w:rFonts w:ascii="Cambria Math" w:hAnsi="Cambria Math"/>
                            <w:sz w:val="24"/>
                          </w:rPr>
                        </m:ctrlPr>
                      </m:sub>
                    </m:sSub>
                    <m:ctrlPr>
                      <w:rPr>
                        <w:rFonts w:ascii="Cambria Math" w:hAnsi="Cambria Math"/>
                        <w:sz w:val="24"/>
                      </w:rPr>
                    </m:ctrlPr>
                  </m:num>
                  <m:den>
                    <m:r>
                      <m:rPr>
                        <m:sty m:val="p"/>
                      </m:rPr>
                      <w:rPr>
                        <w:rFonts w:ascii="Cambria Math" w:hAnsi="Cambria Math"/>
                        <w:sz w:val="24"/>
                      </w:rPr>
                      <m:t>255</m:t>
                    </m:r>
                    <m:ctrlPr>
                      <w:rPr>
                        <w:rFonts w:ascii="Cambria Math" w:hAnsi="Cambria Math"/>
                        <w:sz w:val="24"/>
                      </w:rPr>
                    </m:ctrlPr>
                  </m:den>
                </m:f>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μ</m:t>
                    </m:r>
                    <m:ctrlPr>
                      <w:rPr>
                        <w:rFonts w:ascii="Cambria Math" w:hAnsi="Cambria Math"/>
                        <w:sz w:val="24"/>
                      </w:rPr>
                    </m:ctrlPr>
                  </m:e>
                  <m:sub>
                    <m:r>
                      <m:rPr/>
                      <w:rPr>
                        <w:rFonts w:ascii="Cambria Math" w:hAnsi="Cambria Math"/>
                        <w:sz w:val="24"/>
                      </w:rPr>
                      <m:t>c</m:t>
                    </m:r>
                    <m:ctrlPr>
                      <w:rPr>
                        <w:rFonts w:ascii="Cambria Math" w:hAnsi="Cambria Math"/>
                        <w:sz w:val="24"/>
                      </w:rPr>
                    </m:ctrlPr>
                  </m:sub>
                </m:sSub>
                <m:ctrlPr>
                  <w:rPr>
                    <w:rFonts w:ascii="Cambria Math" w:hAnsi="Cambria Math"/>
                    <w:sz w:val="24"/>
                  </w:rPr>
                </m:ctrlPr>
              </m:num>
              <m:den>
                <m:sSub>
                  <m:sSubPr>
                    <m:ctrlPr>
                      <w:rPr>
                        <w:rFonts w:ascii="Cambria Math" w:hAnsi="Cambria Math"/>
                        <w:sz w:val="24"/>
                      </w:rPr>
                    </m:ctrlPr>
                  </m:sSubPr>
                  <m:e>
                    <m:r>
                      <m:rPr/>
                      <w:rPr>
                        <w:rFonts w:ascii="Cambria Math" w:hAnsi="Cambria Math"/>
                        <w:sz w:val="24"/>
                      </w:rPr>
                      <m:t>σ</m:t>
                    </m:r>
                    <m:ctrlPr>
                      <w:rPr>
                        <w:rFonts w:ascii="Cambria Math" w:hAnsi="Cambria Math"/>
                        <w:sz w:val="24"/>
                      </w:rPr>
                    </m:ctrlPr>
                  </m:e>
                  <m:sub>
                    <m:r>
                      <m:rPr/>
                      <w:rPr>
                        <w:rFonts w:ascii="Cambria Math" w:hAnsi="Cambria Math"/>
                        <w:sz w:val="24"/>
                      </w:rPr>
                      <m:t>c</m:t>
                    </m:r>
                    <m:ctrlPr>
                      <w:rPr>
                        <w:rFonts w:ascii="Cambria Math" w:hAnsi="Cambria Math"/>
                        <w:sz w:val="24"/>
                      </w:rPr>
                    </m:ctrlPr>
                  </m:sub>
                </m:sSub>
                <m:ctrlPr>
                  <w:rPr>
                    <w:rFonts w:ascii="Cambria Math" w:hAnsi="Cambria Math"/>
                    <w:sz w:val="24"/>
                  </w:rPr>
                </m:ctrlPr>
              </m:den>
            </m:f>
            <m:r>
              <m:rPr>
                <m:sty m:val="p"/>
              </m:rPr>
              <w:rPr>
                <w:rFonts w:ascii="Cambria Math" w:hAnsi="Cambria Math"/>
                <w:sz w:val="24"/>
              </w:rPr>
              <m:t>,−2,2</m:t>
            </m:r>
            <m:ctrlPr>
              <w:rPr>
                <w:rFonts w:ascii="Cambria Math" w:hAnsi="Cambria Math"/>
                <w:sz w:val="24"/>
              </w:rPr>
            </m:ctrlPr>
          </m:e>
        </m:d>
      </m:oMath>
      <w:r>
        <w:rPr>
          <w:rFonts w:eastAsia="Times New Roman"/>
          <w:sz w:val="24"/>
        </w:rPr>
        <w:tab/>
      </w:r>
      <w:r>
        <w:rPr>
          <w:rFonts w:eastAsia="Times New Roman"/>
          <w:sz w:val="24"/>
        </w:rPr>
        <w:t>(3-3)</w:t>
      </w:r>
    </w:p>
    <w:p w14:paraId="162B9E16">
      <w:pPr>
        <w:tabs>
          <w:tab w:val="center" w:pos="4536"/>
          <w:tab w:val="right" w:pos="8712"/>
        </w:tabs>
        <w:spacing w:before="40" w:after="60"/>
        <w:jc w:val="left"/>
        <w:rPr>
          <w:sz w:val="24"/>
        </w:rPr>
      </w:pPr>
      <w:r>
        <w:rPr>
          <w:sz w:val="24"/>
        </w:rPr>
        <w:tab/>
      </w:r>
      <m:oMath>
        <m:sSub>
          <m:sSubPr>
            <m:ctrlPr>
              <w:rPr>
                <w:rFonts w:ascii="Cambria Math" w:hAnsi="Cambria Math"/>
                <w:sz w:val="24"/>
              </w:rPr>
            </m:ctrlPr>
          </m:sSubPr>
          <m:e>
            <m:r>
              <m:rPr>
                <m:sty m:val="p"/>
              </m:rPr>
              <w:rPr>
                <w:rFonts w:ascii="Cambria Math" w:hAnsi="Cambria Math"/>
                <w:sz w:val="24"/>
              </w:rPr>
              <m:t>share0</m:t>
            </m:r>
            <m:ctrlPr>
              <w:rPr>
                <w:rFonts w:ascii="Cambria Math" w:hAnsi="Cambria Math"/>
                <w:sz w:val="24"/>
              </w:rPr>
            </m:ctrlPr>
          </m:e>
          <m:sub>
            <m:r>
              <m:rPr/>
              <w:rPr>
                <w:rFonts w:ascii="Cambria Math" w:hAnsi="Cambria Math"/>
                <w:sz w:val="24"/>
              </w:rPr>
              <m:t>c</m:t>
            </m:r>
            <m:r>
              <m:rPr>
                <m:sty m:val="p"/>
              </m:rPr>
              <w:rPr>
                <w:rFonts w:ascii="Cambria Math" w:hAnsi="Cambria Math"/>
                <w:sz w:val="24"/>
              </w:rPr>
              <m:t>,</m:t>
            </m:r>
            <m:r>
              <m:rPr/>
              <w:rPr>
                <w:rFonts w:ascii="Cambria Math" w:hAnsi="Cambria Math"/>
                <w:sz w:val="24"/>
              </w:rPr>
              <m:t>h</m:t>
            </m:r>
            <m:r>
              <m:rPr>
                <m:sty m:val="p"/>
              </m:rPr>
              <w:rPr>
                <w:rFonts w:ascii="Cambria Math" w:hAnsi="Cambria Math"/>
                <w:sz w:val="24"/>
              </w:rPr>
              <m:t>,</m:t>
            </m:r>
            <m:r>
              <m:rPr/>
              <w:rPr>
                <w:rFonts w:ascii="Cambria Math" w:hAnsi="Cambria Math"/>
                <w:sz w:val="24"/>
              </w:rPr>
              <m:t>w</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c</m:t>
            </m:r>
            <m:r>
              <m:rPr>
                <m:sty m:val="p"/>
              </m:rPr>
              <w:rPr>
                <w:rFonts w:ascii="Cambria Math" w:hAnsi="Cambria Math"/>
                <w:sz w:val="24"/>
              </w:rPr>
              <m:t>,</m:t>
            </m:r>
            <m:r>
              <m:rPr/>
              <w:rPr>
                <w:rFonts w:ascii="Cambria Math" w:hAnsi="Cambria Math"/>
                <w:sz w:val="24"/>
              </w:rPr>
              <m:t>h</m:t>
            </m:r>
            <m:r>
              <m:rPr>
                <m:sty m:val="p"/>
              </m:rPr>
              <w:rPr>
                <w:rFonts w:ascii="Cambria Math" w:hAnsi="Cambria Math"/>
                <w:sz w:val="24"/>
              </w:rPr>
              <m:t>,</m:t>
            </m:r>
            <m:r>
              <m:rPr/>
              <w:rPr>
                <w:rFonts w:ascii="Cambria Math" w:hAnsi="Cambria Math"/>
                <w:sz w:val="24"/>
              </w:rPr>
              <m:t>w</m:t>
            </m:r>
            <m:ctrlPr>
              <w:rPr>
                <w:rFonts w:ascii="Cambria Math" w:hAnsi="Cambria Math"/>
                <w:sz w:val="24"/>
              </w:rPr>
            </m:ctrlPr>
          </m:sub>
        </m:sSub>
        <m:r>
          <m:rPr>
            <m:sty m:val="p"/>
          </m:rPr>
          <w:rPr>
            <w:rFonts w:ascii="Cambria Math" w:hAnsi="Cambria Math"/>
            <w:sz w:val="24"/>
          </w:rPr>
          <m:t>, </m:t>
        </m:r>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c</m:t>
            </m:r>
            <m:r>
              <m:rPr>
                <m:sty m:val="p"/>
              </m:rPr>
              <w:rPr>
                <w:rFonts w:ascii="Cambria Math" w:hAnsi="Cambria Math"/>
                <w:sz w:val="24"/>
              </w:rPr>
              <m:t>,</m:t>
            </m:r>
            <m:r>
              <m:rPr/>
              <w:rPr>
                <w:rFonts w:ascii="Cambria Math" w:hAnsi="Cambria Math"/>
                <w:sz w:val="24"/>
              </w:rPr>
              <m:t>h</m:t>
            </m:r>
            <m:r>
              <m:rPr>
                <m:sty m:val="p"/>
              </m:rPr>
              <w:rPr>
                <w:rFonts w:ascii="Cambria Math" w:hAnsi="Cambria Math"/>
                <w:sz w:val="24"/>
              </w:rPr>
              <m:t>,</m:t>
            </m:r>
            <m:r>
              <m:rPr/>
              <w:rPr>
                <w:rFonts w:ascii="Cambria Math" w:hAnsi="Cambria Math"/>
                <w:sz w:val="24"/>
              </w:rPr>
              <m:t>w</m:t>
            </m:r>
            <m:ctrlPr>
              <w:rPr>
                <w:rFonts w:ascii="Cambria Math" w:hAnsi="Cambria Math"/>
                <w:sz w:val="24"/>
              </w:rPr>
            </m:ctrlPr>
          </m:sub>
        </m:sSub>
        <m:r>
          <m:rPr>
            <m:sty m:val="p"/>
          </m:rPr>
          <w:rPr>
            <w:rFonts w:ascii="Cambria Math" w:hAnsi="Cambria Math"/>
            <w:sz w:val="24"/>
          </w:rPr>
          <m:t>∼U</m:t>
        </m:r>
        <m:d>
          <m:dPr>
            <m:begChr m:val="["/>
            <m:endChr m:val="]"/>
            <m:ctrlPr>
              <w:rPr>
                <w:rFonts w:ascii="Cambria Math" w:hAnsi="Cambria Math"/>
                <w:sz w:val="24"/>
              </w:rPr>
            </m:ctrlPr>
          </m:dPr>
          <m:e>
            <m:r>
              <m:rPr>
                <m:sty m:val="p"/>
              </m:rPr>
              <w:rPr>
                <w:rFonts w:ascii="Cambria Math" w:hAnsi="Cambria Math"/>
                <w:sz w:val="24"/>
              </w:rPr>
              <m:t>−2,2</m:t>
            </m:r>
            <m:ctrlPr>
              <w:rPr>
                <w:rFonts w:ascii="Cambria Math" w:hAnsi="Cambria Math"/>
                <w:sz w:val="24"/>
              </w:rPr>
            </m:ctrlPr>
          </m:e>
        </m:d>
        <m:r>
          <m:rPr>
            <m:sty m:val="p"/>
          </m:rPr>
          <w:rPr>
            <w:rFonts w:ascii="Cambria Math" w:hAnsi="Cambria Math"/>
            <w:sz w:val="24"/>
          </w:rPr>
          <m:t>, </m:t>
        </m:r>
        <m:sSub>
          <m:sSubPr>
            <m:ctrlPr>
              <w:rPr>
                <w:rFonts w:ascii="Cambria Math" w:hAnsi="Cambria Math"/>
                <w:sz w:val="24"/>
              </w:rPr>
            </m:ctrlPr>
          </m:sSubPr>
          <m:e>
            <m:r>
              <m:rPr>
                <m:sty m:val="p"/>
              </m:rPr>
              <w:rPr>
                <w:rFonts w:ascii="Cambria Math" w:hAnsi="Cambria Math"/>
                <w:sz w:val="24"/>
              </w:rPr>
              <m:t>share1</m:t>
            </m:r>
            <m:ctrlPr>
              <w:rPr>
                <w:rFonts w:ascii="Cambria Math" w:hAnsi="Cambria Math"/>
                <w:sz w:val="24"/>
              </w:rPr>
            </m:ctrlPr>
          </m:e>
          <m:sub>
            <m:r>
              <m:rPr/>
              <w:rPr>
                <w:rFonts w:ascii="Cambria Math" w:hAnsi="Cambria Math"/>
                <w:sz w:val="24"/>
              </w:rPr>
              <m:t>c</m:t>
            </m:r>
            <m:r>
              <m:rPr>
                <m:sty m:val="p"/>
              </m:rPr>
              <w:rPr>
                <w:rFonts w:ascii="Cambria Math" w:hAnsi="Cambria Math"/>
                <w:sz w:val="24"/>
              </w:rPr>
              <m:t>,</m:t>
            </m:r>
            <m:r>
              <m:rPr/>
              <w:rPr>
                <w:rFonts w:ascii="Cambria Math" w:hAnsi="Cambria Math"/>
                <w:sz w:val="24"/>
              </w:rPr>
              <m:t>h</m:t>
            </m:r>
            <m:r>
              <m:rPr>
                <m:sty m:val="p"/>
              </m:rPr>
              <w:rPr>
                <w:rFonts w:ascii="Cambria Math" w:hAnsi="Cambria Math"/>
                <w:sz w:val="24"/>
              </w:rPr>
              <m:t>,</m:t>
            </m:r>
            <m:r>
              <m:rPr/>
              <w:rPr>
                <w:rFonts w:ascii="Cambria Math" w:hAnsi="Cambria Math"/>
                <w:sz w:val="24"/>
              </w:rPr>
              <m:t>w</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c</m:t>
            </m:r>
            <m:r>
              <m:rPr>
                <m:sty m:val="p"/>
              </m:rPr>
              <w:rPr>
                <w:rFonts w:ascii="Cambria Math" w:hAnsi="Cambria Math"/>
                <w:sz w:val="24"/>
              </w:rPr>
              <m:t>,</m:t>
            </m:r>
            <m:r>
              <m:rPr/>
              <w:rPr>
                <w:rFonts w:ascii="Cambria Math" w:hAnsi="Cambria Math"/>
                <w:sz w:val="24"/>
              </w:rPr>
              <m:t>h</m:t>
            </m:r>
            <m:r>
              <m:rPr>
                <m:sty m:val="p"/>
              </m:rPr>
              <w:rPr>
                <w:rFonts w:ascii="Cambria Math" w:hAnsi="Cambria Math"/>
                <w:sz w:val="24"/>
              </w:rPr>
              <m:t>,</m:t>
            </m:r>
            <m:r>
              <m:rPr/>
              <w:rPr>
                <w:rFonts w:ascii="Cambria Math" w:hAnsi="Cambria Math"/>
                <w:sz w:val="24"/>
              </w:rPr>
              <m:t>w</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share0</m:t>
            </m:r>
            <m:ctrlPr>
              <w:rPr>
                <w:rFonts w:ascii="Cambria Math" w:hAnsi="Cambria Math"/>
                <w:sz w:val="24"/>
              </w:rPr>
            </m:ctrlPr>
          </m:e>
          <m:sub>
            <m:r>
              <m:rPr/>
              <w:rPr>
                <w:rFonts w:ascii="Cambria Math" w:hAnsi="Cambria Math"/>
                <w:sz w:val="24"/>
              </w:rPr>
              <m:t>c</m:t>
            </m:r>
            <m:r>
              <m:rPr>
                <m:sty m:val="p"/>
              </m:rPr>
              <w:rPr>
                <w:rFonts w:ascii="Cambria Math" w:hAnsi="Cambria Math"/>
                <w:sz w:val="24"/>
              </w:rPr>
              <m:t>,</m:t>
            </m:r>
            <m:r>
              <m:rPr/>
              <w:rPr>
                <w:rFonts w:ascii="Cambria Math" w:hAnsi="Cambria Math"/>
                <w:sz w:val="24"/>
              </w:rPr>
              <m:t>h</m:t>
            </m:r>
            <m:r>
              <m:rPr>
                <m:sty m:val="p"/>
              </m:rPr>
              <w:rPr>
                <w:rFonts w:ascii="Cambria Math" w:hAnsi="Cambria Math"/>
                <w:sz w:val="24"/>
              </w:rPr>
              <m:t>,</m:t>
            </m:r>
            <m:r>
              <m:rPr/>
              <w:rPr>
                <w:rFonts w:ascii="Cambria Math" w:hAnsi="Cambria Math"/>
                <w:sz w:val="24"/>
              </w:rPr>
              <m:t>w</m:t>
            </m:r>
            <m:ctrlPr>
              <w:rPr>
                <w:rFonts w:ascii="Cambria Math" w:hAnsi="Cambria Math"/>
                <w:sz w:val="24"/>
              </w:rPr>
            </m:ctrlPr>
          </m:sub>
        </m:sSub>
      </m:oMath>
      <w:r>
        <w:rPr>
          <w:rFonts w:eastAsia="Times New Roman"/>
          <w:sz w:val="24"/>
        </w:rPr>
        <w:tab/>
      </w:r>
      <w:r>
        <w:rPr>
          <w:rFonts w:eastAsia="Times New Roman"/>
          <w:sz w:val="24"/>
        </w:rPr>
        <w:t>(3-4)</w:t>
      </w:r>
    </w:p>
    <w:p w14:paraId="225C66AB">
      <w:pPr>
        <w:tabs>
          <w:tab w:val="center" w:pos="4536"/>
          <w:tab w:val="right" w:pos="8712"/>
        </w:tabs>
        <w:spacing w:before="40" w:after="60"/>
        <w:jc w:val="left"/>
        <w:rPr>
          <w:sz w:val="24"/>
        </w:rPr>
      </w:pPr>
      <w:r>
        <w:rPr>
          <w:sz w:val="24"/>
        </w:rPr>
        <w:tab/>
      </w:r>
      <m:oMath>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c</m:t>
            </m:r>
            <m:r>
              <m:rPr>
                <m:sty m:val="p"/>
              </m:rPr>
              <w:rPr>
                <w:rFonts w:ascii="Cambria Math" w:hAnsi="Cambria Math"/>
                <w:sz w:val="24"/>
              </w:rPr>
              <m:t>,</m:t>
            </m:r>
            <m:r>
              <m:rPr/>
              <w:rPr>
                <w:rFonts w:ascii="Cambria Math" w:hAnsi="Cambria Math"/>
                <w:sz w:val="24"/>
              </w:rPr>
              <m:t>h</m:t>
            </m:r>
            <m:r>
              <m:rPr>
                <m:sty m:val="p"/>
              </m:rPr>
              <w:rPr>
                <w:rFonts w:ascii="Cambria Math" w:hAnsi="Cambria Math"/>
                <w:sz w:val="24"/>
              </w:rPr>
              <m:t>,</m:t>
            </m:r>
            <m:r>
              <m:rPr/>
              <w:rPr>
                <w:rFonts w:ascii="Cambria Math" w:hAnsi="Cambria Math"/>
                <w:sz w:val="24"/>
              </w:rPr>
              <m:t>w</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d>
              <m:dPr>
                <m:begChr m:val="⟨"/>
                <m:endChr m:val="⟩"/>
                <m:ctrlPr>
                  <w:rPr>
                    <w:rFonts w:ascii="Cambria Math" w:hAnsi="Cambria Math"/>
                    <w:sz w:val="24"/>
                  </w:rPr>
                </m:ctrlPr>
              </m:dPr>
              <m:e>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c</m:t>
                    </m:r>
                    <m:r>
                      <m:rPr>
                        <m:sty m:val="p"/>
                      </m:rPr>
                      <w:rPr>
                        <w:rFonts w:ascii="Cambria Math" w:hAnsi="Cambria Math"/>
                        <w:sz w:val="24"/>
                      </w:rPr>
                      <m:t>,</m:t>
                    </m:r>
                    <m:r>
                      <m:rPr/>
                      <w:rPr>
                        <w:rFonts w:ascii="Cambria Math" w:hAnsi="Cambria Math"/>
                        <w:sz w:val="24"/>
                      </w:rPr>
                      <m:t>h</m:t>
                    </m:r>
                    <m:r>
                      <m:rPr>
                        <m:sty m:val="p"/>
                      </m:rPr>
                      <w:rPr>
                        <w:rFonts w:ascii="Cambria Math" w:hAnsi="Cambria Math"/>
                        <w:sz w:val="24"/>
                      </w:rPr>
                      <m:t>,</m:t>
                    </m:r>
                    <m:r>
                      <m:rPr/>
                      <w:rPr>
                        <w:rFonts w:ascii="Cambria Math" w:hAnsi="Cambria Math"/>
                        <w:sz w:val="24"/>
                      </w:rPr>
                      <m:t>w</m:t>
                    </m:r>
                    <m:ctrlPr>
                      <w:rPr>
                        <w:rFonts w:ascii="Cambria Math" w:hAnsi="Cambria Math"/>
                        <w:sz w:val="24"/>
                      </w:rPr>
                    </m:ctrlPr>
                  </m:sub>
                </m:sSub>
                <m:ctrlPr>
                  <w:rPr>
                    <w:rFonts w:ascii="Cambria Math" w:hAnsi="Cambria Math"/>
                    <w:sz w:val="24"/>
                  </w:rPr>
                </m:ctrlPr>
              </m:e>
            </m:d>
            <m:ctrlPr>
              <w:rPr>
                <w:rFonts w:ascii="Cambria Math" w:hAnsi="Cambria Math"/>
                <w:sz w:val="24"/>
              </w:rPr>
            </m:ctrlPr>
          </m:e>
          <m:sub>
            <m:r>
              <m:rPr>
                <m:sty m:val="p"/>
              </m:rPr>
              <w:rPr>
                <w:rFonts w:ascii="Cambria Math" w:hAnsi="Cambria Math"/>
                <w:sz w:val="24"/>
              </w:rPr>
              <m:t>0</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d>
              <m:dPr>
                <m:begChr m:val="⟨"/>
                <m:endChr m:val="⟩"/>
                <m:ctrlPr>
                  <w:rPr>
                    <w:rFonts w:ascii="Cambria Math" w:hAnsi="Cambria Math"/>
                    <w:sz w:val="24"/>
                  </w:rPr>
                </m:ctrlPr>
              </m:dPr>
              <m:e>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c</m:t>
                    </m:r>
                    <m:r>
                      <m:rPr>
                        <m:sty m:val="p"/>
                      </m:rPr>
                      <w:rPr>
                        <w:rFonts w:ascii="Cambria Math" w:hAnsi="Cambria Math"/>
                        <w:sz w:val="24"/>
                      </w:rPr>
                      <m:t>,</m:t>
                    </m:r>
                    <m:r>
                      <m:rPr/>
                      <w:rPr>
                        <w:rFonts w:ascii="Cambria Math" w:hAnsi="Cambria Math"/>
                        <w:sz w:val="24"/>
                      </w:rPr>
                      <m:t>h</m:t>
                    </m:r>
                    <m:r>
                      <m:rPr>
                        <m:sty m:val="p"/>
                      </m:rPr>
                      <w:rPr>
                        <w:rFonts w:ascii="Cambria Math" w:hAnsi="Cambria Math"/>
                        <w:sz w:val="24"/>
                      </w:rPr>
                      <m:t>,</m:t>
                    </m:r>
                    <m:r>
                      <m:rPr/>
                      <w:rPr>
                        <w:rFonts w:ascii="Cambria Math" w:hAnsi="Cambria Math"/>
                        <w:sz w:val="24"/>
                      </w:rPr>
                      <m:t>w</m:t>
                    </m:r>
                    <m:ctrlPr>
                      <w:rPr>
                        <w:rFonts w:ascii="Cambria Math" w:hAnsi="Cambria Math"/>
                        <w:sz w:val="24"/>
                      </w:rPr>
                    </m:ctrlPr>
                  </m:sub>
                </m:sSub>
                <m:ctrlPr>
                  <w:rPr>
                    <w:rFonts w:ascii="Cambria Math" w:hAnsi="Cambria Math"/>
                    <w:sz w:val="24"/>
                  </w:rPr>
                </m:ctrlPr>
              </m:e>
            </m:d>
            <m:ctrlPr>
              <w:rPr>
                <w:rFonts w:ascii="Cambria Math" w:hAnsi="Cambria Math"/>
                <w:sz w:val="24"/>
              </w:rPr>
            </m:ctrlPr>
          </m:e>
          <m:sub>
            <m:r>
              <m:rPr>
                <m:sty m:val="p"/>
              </m:rPr>
              <w:rPr>
                <w:rFonts w:ascii="Cambria Math" w:hAnsi="Cambria Math"/>
                <w:sz w:val="24"/>
              </w:rPr>
              <m:t>1</m:t>
            </m:r>
            <m:ctrlPr>
              <w:rPr>
                <w:rFonts w:ascii="Cambria Math" w:hAnsi="Cambria Math"/>
                <w:sz w:val="24"/>
              </w:rPr>
            </m:ctrlPr>
          </m:sub>
        </m:sSub>
        <m:r>
          <m:rPr>
            <m:sty m:val="p"/>
          </m:rPr>
          <w:rPr>
            <w:rFonts w:ascii="Cambria Math" w:hAnsi="Cambria Math"/>
            <w:sz w:val="24"/>
          </w:rPr>
          <m:t xml:space="preserve">, </m:t>
        </m:r>
        <m:sSub>
          <m:sSubPr>
            <m:ctrlPr>
              <w:rPr>
                <w:rFonts w:ascii="Cambria Math" w:hAnsi="Cambria Math"/>
                <w:sz w:val="24"/>
              </w:rPr>
            </m:ctrlPr>
          </m:sSubPr>
          <m:e>
            <m:d>
              <m:dPr>
                <m:begChr m:val="⟨"/>
                <m:endChr m:val="⟩"/>
                <m:ctrlPr>
                  <w:rPr>
                    <w:rFonts w:ascii="Cambria Math" w:hAnsi="Cambria Math"/>
                    <w:sz w:val="24"/>
                  </w:rPr>
                </m:ctrlPr>
              </m:dPr>
              <m:e>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c</m:t>
                    </m:r>
                    <m:r>
                      <m:rPr>
                        <m:sty m:val="p"/>
                      </m:rPr>
                      <w:rPr>
                        <w:rFonts w:ascii="Cambria Math" w:hAnsi="Cambria Math"/>
                        <w:sz w:val="24"/>
                      </w:rPr>
                      <m:t>,</m:t>
                    </m:r>
                    <m:r>
                      <m:rPr/>
                      <w:rPr>
                        <w:rFonts w:ascii="Cambria Math" w:hAnsi="Cambria Math"/>
                        <w:sz w:val="24"/>
                      </w:rPr>
                      <m:t>h</m:t>
                    </m:r>
                    <m:r>
                      <m:rPr>
                        <m:sty m:val="p"/>
                      </m:rPr>
                      <w:rPr>
                        <w:rFonts w:ascii="Cambria Math" w:hAnsi="Cambria Math"/>
                        <w:sz w:val="24"/>
                      </w:rPr>
                      <m:t>,</m:t>
                    </m:r>
                    <m:r>
                      <m:rPr/>
                      <w:rPr>
                        <w:rFonts w:ascii="Cambria Math" w:hAnsi="Cambria Math"/>
                        <w:sz w:val="24"/>
                      </w:rPr>
                      <m:t>w</m:t>
                    </m:r>
                    <m:ctrlPr>
                      <w:rPr>
                        <w:rFonts w:ascii="Cambria Math" w:hAnsi="Cambria Math"/>
                        <w:sz w:val="24"/>
                      </w:rPr>
                    </m:ctrlPr>
                  </m:sub>
                </m:sSub>
                <m:ctrlPr>
                  <w:rPr>
                    <w:rFonts w:ascii="Cambria Math" w:hAnsi="Cambria Math"/>
                    <w:sz w:val="24"/>
                  </w:rPr>
                </m:ctrlPr>
              </m:e>
            </m:d>
            <m:ctrlPr>
              <w:rPr>
                <w:rFonts w:ascii="Cambria Math" w:hAnsi="Cambria Math"/>
                <w:sz w:val="24"/>
              </w:rPr>
            </m:ctrlPr>
          </m:e>
          <m:sub>
            <m:r>
              <m:rPr>
                <m:sty m:val="p"/>
              </m:rPr>
              <w:rPr>
                <w:rFonts w:ascii="Cambria Math" w:hAnsi="Cambria Math"/>
                <w:sz w:val="24"/>
              </w:rPr>
              <m:t>0</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share0</m:t>
            </m:r>
            <m:ctrlPr>
              <w:rPr>
                <w:rFonts w:ascii="Cambria Math" w:hAnsi="Cambria Math"/>
                <w:sz w:val="24"/>
              </w:rPr>
            </m:ctrlPr>
          </m:e>
          <m:sub>
            <m:r>
              <m:rPr/>
              <w:rPr>
                <w:rFonts w:ascii="Cambria Math" w:hAnsi="Cambria Math"/>
                <w:sz w:val="24"/>
              </w:rPr>
              <m:t>c</m:t>
            </m:r>
            <m:r>
              <m:rPr>
                <m:sty m:val="p"/>
              </m:rPr>
              <w:rPr>
                <w:rFonts w:ascii="Cambria Math" w:hAnsi="Cambria Math"/>
                <w:sz w:val="24"/>
              </w:rPr>
              <m:t>,</m:t>
            </m:r>
            <m:r>
              <m:rPr/>
              <w:rPr>
                <w:rFonts w:ascii="Cambria Math" w:hAnsi="Cambria Math"/>
                <w:sz w:val="24"/>
              </w:rPr>
              <m:t>h</m:t>
            </m:r>
            <m:r>
              <m:rPr>
                <m:sty m:val="p"/>
              </m:rPr>
              <w:rPr>
                <w:rFonts w:ascii="Cambria Math" w:hAnsi="Cambria Math"/>
                <w:sz w:val="24"/>
              </w:rPr>
              <m:t>,</m:t>
            </m:r>
            <m:r>
              <m:rPr/>
              <w:rPr>
                <w:rFonts w:ascii="Cambria Math" w:hAnsi="Cambria Math"/>
                <w:sz w:val="24"/>
              </w:rPr>
              <m:t>w</m:t>
            </m:r>
            <m:ctrlPr>
              <w:rPr>
                <w:rFonts w:ascii="Cambria Math" w:hAnsi="Cambria Math"/>
                <w:sz w:val="24"/>
              </w:rPr>
            </m:ctrlPr>
          </m:sub>
        </m:sSub>
        <m:r>
          <m:rPr>
            <m:sty m:val="p"/>
          </m:rPr>
          <w:rPr>
            <w:rFonts w:ascii="Cambria Math" w:hAnsi="Cambria Math"/>
            <w:sz w:val="24"/>
          </w:rPr>
          <m:t xml:space="preserve">, </m:t>
        </m:r>
        <m:sSub>
          <m:sSubPr>
            <m:ctrlPr>
              <w:rPr>
                <w:rFonts w:ascii="Cambria Math" w:hAnsi="Cambria Math"/>
                <w:sz w:val="24"/>
              </w:rPr>
            </m:ctrlPr>
          </m:sSubPr>
          <m:e>
            <m:d>
              <m:dPr>
                <m:begChr m:val="⟨"/>
                <m:endChr m:val="⟩"/>
                <m:ctrlPr>
                  <w:rPr>
                    <w:rFonts w:ascii="Cambria Math" w:hAnsi="Cambria Math"/>
                    <w:sz w:val="24"/>
                  </w:rPr>
                </m:ctrlPr>
              </m:dPr>
              <m:e>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c</m:t>
                    </m:r>
                    <m:r>
                      <m:rPr>
                        <m:sty m:val="p"/>
                      </m:rPr>
                      <w:rPr>
                        <w:rFonts w:ascii="Cambria Math" w:hAnsi="Cambria Math"/>
                        <w:sz w:val="24"/>
                      </w:rPr>
                      <m:t>,</m:t>
                    </m:r>
                    <m:r>
                      <m:rPr/>
                      <w:rPr>
                        <w:rFonts w:ascii="Cambria Math" w:hAnsi="Cambria Math"/>
                        <w:sz w:val="24"/>
                      </w:rPr>
                      <m:t>h</m:t>
                    </m:r>
                    <m:r>
                      <m:rPr>
                        <m:sty m:val="p"/>
                      </m:rPr>
                      <w:rPr>
                        <w:rFonts w:ascii="Cambria Math" w:hAnsi="Cambria Math"/>
                        <w:sz w:val="24"/>
                      </w:rPr>
                      <m:t>,</m:t>
                    </m:r>
                    <m:r>
                      <m:rPr/>
                      <w:rPr>
                        <w:rFonts w:ascii="Cambria Math" w:hAnsi="Cambria Math"/>
                        <w:sz w:val="24"/>
                      </w:rPr>
                      <m:t>w</m:t>
                    </m:r>
                    <m:ctrlPr>
                      <w:rPr>
                        <w:rFonts w:ascii="Cambria Math" w:hAnsi="Cambria Math"/>
                        <w:sz w:val="24"/>
                      </w:rPr>
                    </m:ctrlPr>
                  </m:sub>
                </m:sSub>
                <m:ctrlPr>
                  <w:rPr>
                    <w:rFonts w:ascii="Cambria Math" w:hAnsi="Cambria Math"/>
                    <w:sz w:val="24"/>
                  </w:rPr>
                </m:ctrlPr>
              </m:e>
            </m:d>
            <m:ctrlPr>
              <w:rPr>
                <w:rFonts w:ascii="Cambria Math" w:hAnsi="Cambria Math"/>
                <w:sz w:val="24"/>
              </w:rPr>
            </m:ctrlPr>
          </m:e>
          <m:sub>
            <m:r>
              <m:rPr>
                <m:sty m:val="p"/>
              </m:rPr>
              <w:rPr>
                <w:rFonts w:ascii="Cambria Math" w:hAnsi="Cambria Math"/>
                <w:sz w:val="24"/>
              </w:rPr>
              <m:t>1</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share1</m:t>
            </m:r>
            <m:ctrlPr>
              <w:rPr>
                <w:rFonts w:ascii="Cambria Math" w:hAnsi="Cambria Math"/>
                <w:sz w:val="24"/>
              </w:rPr>
            </m:ctrlPr>
          </m:e>
          <m:sub>
            <m:r>
              <m:rPr/>
              <w:rPr>
                <w:rFonts w:ascii="Cambria Math" w:hAnsi="Cambria Math"/>
                <w:sz w:val="24"/>
              </w:rPr>
              <m:t>c</m:t>
            </m:r>
            <m:r>
              <m:rPr>
                <m:sty m:val="p"/>
              </m:rPr>
              <w:rPr>
                <w:rFonts w:ascii="Cambria Math" w:hAnsi="Cambria Math"/>
                <w:sz w:val="24"/>
              </w:rPr>
              <m:t>,</m:t>
            </m:r>
            <m:r>
              <m:rPr/>
              <w:rPr>
                <w:rFonts w:ascii="Cambria Math" w:hAnsi="Cambria Math"/>
                <w:sz w:val="24"/>
              </w:rPr>
              <m:t>h</m:t>
            </m:r>
            <m:r>
              <m:rPr>
                <m:sty m:val="p"/>
              </m:rPr>
              <w:rPr>
                <w:rFonts w:ascii="Cambria Math" w:hAnsi="Cambria Math"/>
                <w:sz w:val="24"/>
              </w:rPr>
              <m:t>,</m:t>
            </m:r>
            <m:r>
              <m:rPr/>
              <w:rPr>
                <w:rFonts w:ascii="Cambria Math" w:hAnsi="Cambria Math"/>
                <w:sz w:val="24"/>
              </w:rPr>
              <m:t>w</m:t>
            </m:r>
            <m:ctrlPr>
              <w:rPr>
                <w:rFonts w:ascii="Cambria Math" w:hAnsi="Cambria Math"/>
                <w:sz w:val="24"/>
              </w:rPr>
            </m:ctrlPr>
          </m:sub>
        </m:sSub>
      </m:oMath>
      <w:r>
        <w:rPr>
          <w:rFonts w:eastAsia="Times New Roman"/>
          <w:sz w:val="24"/>
        </w:rPr>
        <w:tab/>
      </w:r>
      <w:r>
        <w:rPr>
          <w:rFonts w:eastAsia="Times New Roman"/>
          <w:sz w:val="24"/>
        </w:rPr>
        <w:t>(3-4a)</w:t>
      </w:r>
    </w:p>
    <w:p w14:paraId="4DDB7C32">
      <w:pPr>
        <w:tabs>
          <w:tab w:val="center" w:pos="4536"/>
          <w:tab w:val="right" w:pos="8712"/>
        </w:tabs>
        <w:spacing w:before="40" w:after="60"/>
        <w:jc w:val="left"/>
        <w:rPr>
          <w:sz w:val="24"/>
        </w:rPr>
      </w:pPr>
      <w:r>
        <w:rPr>
          <w:sz w:val="24"/>
        </w:rPr>
        <w:tab/>
      </w:r>
      <m:oMath>
        <m:sSub>
          <m:sSubPr>
            <m:ctrlPr>
              <w:rPr>
                <w:rFonts w:ascii="Cambria Math" w:hAnsi="Cambria Math"/>
                <w:sz w:val="24"/>
              </w:rPr>
            </m:ctrlPr>
          </m:sSubPr>
          <m:e>
            <m:r>
              <m:rPr/>
              <w:rPr>
                <w:rFonts w:ascii="Cambria Math" w:hAnsi="Cambria Math"/>
                <w:sz w:val="24"/>
              </w:rPr>
              <m:t>H</m:t>
            </m:r>
            <m:ctrlPr>
              <w:rPr>
                <w:rFonts w:ascii="Cambria Math" w:hAnsi="Cambria Math"/>
                <w:sz w:val="24"/>
              </w:rPr>
            </m:ctrlPr>
          </m:e>
          <m:sub>
            <m:r>
              <m:rPr>
                <m:sty m:val="p"/>
              </m:rPr>
              <w:rPr>
                <w:rFonts w:ascii="Cambria Math" w:hAnsi="Cambria Math"/>
                <w:sz w:val="24"/>
              </w:rPr>
              <m:t>audit</m:t>
            </m:r>
            <m:ctrlPr>
              <w:rPr>
                <w:rFonts w:ascii="Cambria Math" w:hAnsi="Cambria Math"/>
                <w:sz w:val="24"/>
              </w:rPr>
            </m:ctrlPr>
          </m:sub>
        </m:sSub>
        <m:r>
          <m:rPr>
            <m:sty m:val="p"/>
          </m:rPr>
          <w:rPr>
            <w:rFonts w:ascii="Cambria Math" w:hAnsi="Cambria Math"/>
            <w:sz w:val="24"/>
          </w:rPr>
          <m:t>=SHA256</m:t>
        </m:r>
        <m:d>
          <m:dPr>
            <m:ctrlPr>
              <w:rPr>
                <w:rFonts w:ascii="Cambria Math" w:hAnsi="Cambria Math"/>
                <w:sz w:val="24"/>
              </w:rPr>
            </m:ctrlPr>
          </m:dPr>
          <m:e>
            <m:r>
              <m:rPr>
                <m:sty m:val="p"/>
              </m:rPr>
              <w:rPr>
                <w:rFonts w:ascii="Cambria Math" w:hAnsi="Cambria Math"/>
                <w:sz w:val="24"/>
              </w:rPr>
              <m:t>v7∥nonce∥</m:t>
            </m:r>
            <m:r>
              <m:rPr/>
              <w:rPr>
                <w:rFonts w:ascii="Cambria Math" w:hAnsi="Cambria Math"/>
                <w:sz w:val="24"/>
              </w:rPr>
              <m:t>H</m:t>
            </m:r>
            <m:d>
              <m:dPr>
                <m:ctrlPr>
                  <w:rPr>
                    <w:rFonts w:ascii="Cambria Math" w:hAnsi="Cambria Math"/>
                    <w:sz w:val="24"/>
                  </w:rPr>
                </m:ctrlPr>
              </m:dPr>
              <m:e>
                <m:r>
                  <m:rPr>
                    <m:sty m:val="p"/>
                  </m:rPr>
                  <w:rPr>
                    <w:rFonts w:ascii="Cambria Math" w:hAnsi="Cambria Math"/>
                    <w:sz w:val="24"/>
                  </w:rPr>
                  <m:t>src</m:t>
                </m:r>
                <m:ctrlPr>
                  <w:rPr>
                    <w:rFonts w:ascii="Cambria Math" w:hAnsi="Cambria Math"/>
                    <w:sz w:val="24"/>
                  </w:rPr>
                </m:ctrlPr>
              </m:e>
            </m:d>
            <m:r>
              <m:rPr>
                <m:sty m:val="p"/>
              </m:rPr>
              <w:rPr>
                <w:rFonts w:ascii="Cambria Math" w:hAnsi="Cambria Math"/>
                <w:sz w:val="24"/>
              </w:rPr>
              <m:t>∥</m:t>
            </m:r>
            <m:r>
              <m:rPr/>
              <w:rPr>
                <w:rFonts w:ascii="Cambria Math" w:hAnsi="Cambria Math"/>
                <w:sz w:val="24"/>
              </w:rPr>
              <m:t>H</m:t>
            </m:r>
            <m:d>
              <m:dPr>
                <m:ctrlPr>
                  <w:rPr>
                    <w:rFonts w:ascii="Cambria Math" w:hAnsi="Cambria Math"/>
                    <w:sz w:val="24"/>
                  </w:rPr>
                </m:ctrlPr>
              </m:dPr>
              <m:e>
                <m:r>
                  <m:rPr/>
                  <w:rPr>
                    <w:rFonts w:ascii="Cambria Math" w:hAnsi="Cambria Math"/>
                    <w:sz w:val="24"/>
                  </w:rPr>
                  <m:t>x</m:t>
                </m:r>
                <m:ctrlPr>
                  <w:rPr>
                    <w:rFonts w:ascii="Cambria Math" w:hAnsi="Cambria Math"/>
                    <w:sz w:val="24"/>
                  </w:rPr>
                </m:ctrlPr>
              </m:e>
            </m:d>
            <m:r>
              <m:rPr>
                <m:sty m:val="p"/>
              </m:rPr>
              <w:rPr>
                <w:rFonts w:ascii="Cambria Math" w:hAnsi="Cambria Math"/>
                <w:sz w:val="24"/>
              </w:rPr>
              <m:t>∥</m:t>
            </m:r>
            <m:r>
              <m:rPr/>
              <w:rPr>
                <w:rFonts w:ascii="Cambria Math" w:hAnsi="Cambria Math"/>
                <w:sz w:val="24"/>
              </w:rPr>
              <m:t>H</m:t>
            </m:r>
            <m:d>
              <m:dPr>
                <m:ctrlPr>
                  <w:rPr>
                    <w:rFonts w:ascii="Cambria Math" w:hAnsi="Cambria Math"/>
                    <w:sz w:val="24"/>
                  </w:rPr>
                </m:ctrlPr>
              </m:dPr>
              <m:e>
                <m:r>
                  <m:rPr>
                    <m:sty m:val="p"/>
                  </m:rPr>
                  <w:rPr>
                    <w:rFonts w:ascii="Cambria Math" w:hAnsi="Cambria Math"/>
                    <w:sz w:val="24"/>
                  </w:rPr>
                  <m:t>share0</m:t>
                </m:r>
                <m:ctrlPr>
                  <w:rPr>
                    <w:rFonts w:ascii="Cambria Math" w:hAnsi="Cambria Math"/>
                    <w:sz w:val="24"/>
                  </w:rPr>
                </m:ctrlPr>
              </m:e>
            </m:d>
            <m:r>
              <m:rPr>
                <m:sty m:val="p"/>
              </m:rPr>
              <w:rPr>
                <w:rFonts w:ascii="Cambria Math" w:hAnsi="Cambria Math"/>
                <w:sz w:val="24"/>
              </w:rPr>
              <m:t>∥</m:t>
            </m:r>
            <m:r>
              <m:rPr/>
              <w:rPr>
                <w:rFonts w:ascii="Cambria Math" w:hAnsi="Cambria Math"/>
                <w:sz w:val="24"/>
              </w:rPr>
              <m:t>H</m:t>
            </m:r>
            <m:d>
              <m:dPr>
                <m:ctrlPr>
                  <w:rPr>
                    <w:rFonts w:ascii="Cambria Math" w:hAnsi="Cambria Math"/>
                    <w:sz w:val="24"/>
                  </w:rPr>
                </m:ctrlPr>
              </m:dPr>
              <m:e>
                <m:r>
                  <m:rPr>
                    <m:sty m:val="p"/>
                  </m:rPr>
                  <w:rPr>
                    <w:rFonts w:ascii="Cambria Math" w:hAnsi="Cambria Math"/>
                    <w:sz w:val="24"/>
                  </w:rPr>
                  <m:t>share1</m:t>
                </m:r>
                <m:ctrlPr>
                  <w:rPr>
                    <w:rFonts w:ascii="Cambria Math" w:hAnsi="Cambria Math"/>
                    <w:sz w:val="24"/>
                  </w:rPr>
                </m:ctrlPr>
              </m:e>
            </m:d>
            <m:ctrlPr>
              <w:rPr>
                <w:rFonts w:ascii="Cambria Math" w:hAnsi="Cambria Math"/>
                <w:sz w:val="24"/>
              </w:rPr>
            </m:ctrlPr>
          </m:e>
        </m:d>
      </m:oMath>
      <w:r>
        <w:rPr>
          <w:rFonts w:eastAsia="Times New Roman"/>
          <w:sz w:val="24"/>
        </w:rPr>
        <w:tab/>
      </w:r>
      <w:r>
        <w:rPr>
          <w:rFonts w:eastAsia="Times New Roman"/>
          <w:sz w:val="24"/>
        </w:rPr>
        <w:t>(3-5)</w:t>
      </w:r>
    </w:p>
    <w:p w14:paraId="78386E57">
      <w:pPr>
        <w:spacing w:line="360" w:lineRule="auto"/>
        <w:ind w:firstLine="480"/>
      </w:pPr>
      <w:r>
        <w:rPr>
          <w:rFonts w:ascii="宋体" w:hAnsi="宋体"/>
          <w:sz w:val="24"/>
        </w:rPr>
        <w:t>其中，</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c,h,w</m:t>
            </m:r>
            <m:ctrlPr>
              <w:rPr>
                <w:rFonts w:ascii="Cambria Math" w:hAnsi="Cambria Math"/>
              </w:rPr>
            </m:ctrlPr>
          </m:sub>
        </m:sSub>
      </m:oMath>
      <w:r>
        <w:rPr>
          <w:rFonts w:ascii="宋体" w:hAnsi="宋体"/>
          <w:sz w:val="24"/>
        </w:rPr>
        <w:t>表示裁剪后图像在通道 c、位置 (h,w) 的原始像素值，</w:t>
      </w:r>
      <m:oMath>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c</m:t>
            </m:r>
            <m:ctrlPr>
              <w:rPr>
                <w:rFonts w:ascii="Cambria Math" w:hAnsi="Cambria Math"/>
              </w:rPr>
            </m:ctrlPr>
          </m:sub>
        </m:sSub>
      </m:oMath>
      <w:r>
        <w:rPr>
          <w:rFonts w:ascii="宋体" w:hAnsi="宋体"/>
          <w:sz w:val="24"/>
        </w:rPr>
        <w:t>与</w:t>
      </w: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c</m:t>
            </m:r>
            <m:ctrlPr>
              <w:rPr>
                <w:rFonts w:ascii="Cambria Math" w:hAnsi="Cambria Math"/>
              </w:rPr>
            </m:ctrlPr>
          </m:sub>
        </m:sSub>
      </m:oMath>
      <w:r>
        <w:rPr>
          <w:rFonts w:ascii="宋体" w:hAnsi="宋体"/>
          <w:sz w:val="24"/>
        </w:rPr>
        <w:t>分别对应 ImageNet 均值与标准差，</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c,h,w</m:t>
            </m:r>
            <m:ctrlPr>
              <w:rPr>
                <w:rFonts w:ascii="Cambria Math" w:hAnsi="Cambria Math"/>
              </w:rPr>
            </m:ctrlPr>
          </m:sub>
        </m:sSub>
      </m:oMath>
      <w:r>
        <w:rPr>
          <w:rFonts w:ascii="宋体" w:hAnsi="宋体"/>
          <w:sz w:val="24"/>
        </w:rPr>
        <w:t>为送入模型的归一化张量值；式（3-4a）中的</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0</m:t>
            </m:r>
            <m:ctrlPr>
              <w:rPr>
                <w:rFonts w:ascii="Cambria Math" w:hAnsi="Cambria Math"/>
              </w:rPr>
            </m:ctrlPr>
          </m:sub>
        </m:sSub>
      </m:oMath>
      <w:r>
        <w:rPr>
          <w:rFonts w:ascii="宋体" w:hAnsi="宋体"/>
          <w:sz w:val="24"/>
        </w:rPr>
        <w:t>与</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oMath>
      <w:r>
        <w:rPr>
          <w:rFonts w:ascii="宋体" w:hAnsi="宋体"/>
          <w:sz w:val="24"/>
        </w:rPr>
        <w:t>对应浏览器端生成的两份 additively split share，并在传输层分别落到 share0 与 share1。为避免浏览器端异常数值写入底层缓冲区，前端会先将归一化结果裁剪到 [-2, 2]，再以 little-endian Float32 方式写入 share 字节流；审计链则把源图哈希、归一化张量哈希与两份 share 哈希绑定到同一个 nonce 上。</w:t>
      </w:r>
    </w:p>
    <w:p w14:paraId="27EDFA31">
      <w:pPr>
        <w:spacing w:line="360" w:lineRule="auto"/>
        <w:ind w:firstLine="480"/>
      </w:pPr>
      <w:r>
        <w:rPr>
          <w:rFonts w:ascii="宋体" w:hAnsi="宋体"/>
          <w:sz w:val="24"/>
        </w:rPr>
        <w:t>为便于直观看清主线程与浏览器工作线程的职责边界，图 3-2 将文件句柄保留、页面状态维护、可转移数组缓冲区传递、图像预处理、审计哈希与秘密分享生成拆解为三个协同区域。该图对应本节实现要点：主线程只负责交互与调度，工作线程承担高开销计算，并在跨越信任边界前完成明文终止与密态分片生成。</w:t>
      </w:r>
    </w:p>
    <w:p w14:paraId="6FA3E391">
      <w:pPr>
        <w:spacing w:line="360" w:lineRule="auto"/>
        <w:jc w:val="center"/>
      </w:pPr>
      <w:r>
        <w:drawing>
          <wp:inline distT="0" distB="0" distL="114300" distR="114300">
            <wp:extent cx="5806440" cy="30975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1"/>
                    <a:stretch>
                      <a:fillRect/>
                    </a:stretch>
                  </pic:blipFill>
                  <pic:spPr>
                    <a:xfrm>
                      <a:off x="0" y="0"/>
                      <a:ext cx="5806440" cy="3097670"/>
                    </a:xfrm>
                    <a:prstGeom prst="rect">
                      <a:avLst/>
                    </a:prstGeom>
                  </pic:spPr>
                </pic:pic>
              </a:graphicData>
            </a:graphic>
          </wp:inline>
        </w:drawing>
      </w:r>
    </w:p>
    <w:p w14:paraId="7D5E3399">
      <w:pPr>
        <w:spacing w:line="288" w:lineRule="auto"/>
        <w:jc w:val="left"/>
        <w:rPr>
          <w:sz w:val="24"/>
        </w:rPr>
      </w:pPr>
      <w:r>
        <w:rPr>
          <w:rFonts w:ascii="宋体" w:hAnsi="宋体"/>
          <w:sz w:val="24"/>
        </w:rPr>
        <w:t>图3-2 浏览器主线程与工作线程协同图：主线程负责交互与调度，工作线程负责预处理、哈希与秘密分享生成。</w:t>
      </w:r>
    </w:p>
    <w:p w14:paraId="21EE7396">
      <w:pPr>
        <w:spacing w:line="360" w:lineRule="auto"/>
        <w:outlineLvl w:val="1"/>
        <w:rPr>
          <w:rFonts w:hint="eastAsia" w:ascii="黑体" w:hAnsi="黑体" w:eastAsia="黑体"/>
          <w:b/>
          <w:sz w:val="24"/>
        </w:rPr>
      </w:pPr>
      <w:bookmarkStart w:id="32" w:name="_Toc230691156"/>
      <w:bookmarkStart w:id="33" w:name="Transshield_TOC_section_3_4"/>
      <w:r>
        <w:rPr>
          <w:rFonts w:ascii="黑体" w:hAnsi="黑体" w:eastAsia="黑体"/>
          <w:b/>
          <w:sz w:val="24"/>
        </w:rPr>
        <w:t>3.4 服务端权威快检与审计</w:t>
      </w:r>
      <w:bookmarkEnd w:id="32"/>
      <w:bookmarkEnd w:id="33"/>
    </w:p>
    <w:p w14:paraId="53D516D6">
      <w:pPr>
        <w:spacing w:line="360" w:lineRule="auto"/>
        <w:ind w:firstLine="480"/>
      </w:pPr>
      <w:r>
        <w:rPr>
          <w:rFonts w:ascii="宋体" w:hAnsi="宋体"/>
          <w:sz w:val="24"/>
        </w:rPr>
        <w:t>服务端在进入 SPU 之前，依次执行原始报文体读取上限、boundary 参数解析、多部件表单（multipart）原始结构预检、精确字段集约束、单字段 JSON 字节长度门、严格 UTF-8 结构化元数据解析、share 哈希校验、张量重构前内存对齐复制、非有限数与次正规数阻断、服务端数据质量复核，以及 nonce、payload 与来源 IP 维度的重放与并发守卫。审计层同时记录哈希摘要、控制面开销与事件落盘结果，以保证前端展示、服务端阻断与事后核查使用的是同一条证据链。</w:t>
      </w:r>
    </w:p>
    <w:p w14:paraId="30D9E550">
      <w:pPr>
        <w:spacing w:line="360" w:lineRule="auto"/>
        <w:ind w:firstLine="480"/>
      </w:pPr>
      <w:r>
        <w:rPr>
          <w:rFonts w:ascii="宋体" w:hAnsi="宋体"/>
          <w:sz w:val="24"/>
        </w:rPr>
        <w:t>服务端快检并非只核对客户端声明，而是围绕重构张量、质量摘要与容差关系进行权威复算。关键关系见式（3-6）至式（3-9b），其中式（3-6a）给出最终分类输出的恢复关系：</w:t>
      </w:r>
    </w:p>
    <w:p w14:paraId="323EF22C">
      <w:pPr>
        <w:tabs>
          <w:tab w:val="center" w:pos="4536"/>
          <w:tab w:val="right" w:pos="8712"/>
        </w:tabs>
        <w:spacing w:before="40" w:after="60"/>
        <w:jc w:val="left"/>
        <w:rPr>
          <w:sz w:val="24"/>
        </w:rPr>
      </w:pPr>
      <w:r>
        <w:tab/>
      </w:r>
      <m:oMath>
        <m:r>
          <m:rPr/>
          <w:rPr>
            <w:rFonts w:ascii="Cambria Math" w:hAnsi="Cambria Math"/>
            <w:sz w:val="24"/>
          </w:rPr>
          <m:t>X</m:t>
        </m:r>
        <m:r>
          <m:rPr>
            <m:sty m:val="p"/>
          </m:rPr>
          <w:rPr>
            <w:rFonts w:ascii="Cambria Math" w:hAnsi="Cambria Math"/>
            <w:sz w:val="24"/>
          </w:rPr>
          <m:t>=share0+share1, RGB=</m:t>
        </m:r>
        <m:r>
          <m:rPr/>
          <w:rPr>
            <w:rFonts w:ascii="Cambria Math" w:hAnsi="Cambria Math"/>
            <w:sz w:val="24"/>
          </w:rPr>
          <m:t>X</m:t>
        </m:r>
        <m:r>
          <m:rPr>
            <m:sty m:val="p"/>
          </m:rPr>
          <w:rPr>
            <w:rFonts w:ascii="Cambria Math" w:hAnsi="Cambria Math"/>
            <w:sz w:val="24"/>
          </w:rPr>
          <m:t>⊙</m:t>
        </m:r>
        <m:r>
          <m:rPr/>
          <w:rPr>
            <w:rFonts w:ascii="Cambria Math" w:hAnsi="Cambria Math"/>
            <w:sz w:val="24"/>
          </w:rPr>
          <m:t>σ</m:t>
        </m:r>
        <m:r>
          <m:rPr>
            <m:sty m:val="p"/>
          </m:rPr>
          <w:rPr>
            <w:rFonts w:ascii="Cambria Math" w:hAnsi="Cambria Math"/>
            <w:sz w:val="24"/>
          </w:rPr>
          <m:t>+</m:t>
        </m:r>
        <m:r>
          <m:rPr/>
          <w:rPr>
            <w:rFonts w:ascii="Cambria Math" w:hAnsi="Cambria Math"/>
            <w:sz w:val="24"/>
          </w:rPr>
          <m:t>μ</m:t>
        </m:r>
      </m:oMath>
      <w:r>
        <w:rPr>
          <w:rFonts w:eastAsia="Times New Roman"/>
          <w:sz w:val="24"/>
        </w:rPr>
        <w:tab/>
      </w:r>
      <w:r>
        <w:rPr>
          <w:rFonts w:eastAsia="Times New Roman"/>
          <w:sz w:val="24"/>
        </w:rPr>
        <w:t>(3-6)</w:t>
      </w:r>
    </w:p>
    <w:p w14:paraId="33DD6018">
      <w:pPr>
        <w:tabs>
          <w:tab w:val="center" w:pos="4536"/>
          <w:tab w:val="right" w:pos="8712"/>
        </w:tabs>
        <w:spacing w:before="40" w:after="60"/>
        <w:jc w:val="left"/>
        <w:rPr>
          <w:sz w:val="24"/>
        </w:rPr>
      </w:pPr>
      <w:r>
        <w:rPr>
          <w:sz w:val="24"/>
        </w:rPr>
        <w:tab/>
      </w:r>
      <m:oMath>
        <m:sSub>
          <m:sSubPr>
            <m:ctrlPr>
              <w:rPr>
                <w:rFonts w:ascii="Cambria Math" w:hAnsi="Cambria Math"/>
                <w:sz w:val="24"/>
              </w:rPr>
            </m:ctrlPr>
          </m:sSubPr>
          <m:e>
            <m:r>
              <m:rPr/>
              <w:rPr>
                <w:rFonts w:ascii="Cambria Math" w:hAnsi="Cambria Math"/>
                <w:sz w:val="24"/>
              </w:rPr>
              <m:t>z</m:t>
            </m:r>
            <m:ctrlPr>
              <w:rPr>
                <w:rFonts w:ascii="Cambria Math" w:hAnsi="Cambria Math"/>
                <w:sz w:val="24"/>
              </w:rPr>
            </m:ctrlPr>
          </m:e>
          <m:sub>
            <m:r>
              <m:rPr/>
              <w:rPr>
                <w:rFonts w:ascii="Cambria Math" w:hAnsi="Cambria Math"/>
                <w:sz w:val="24"/>
              </w:rPr>
              <m:t>c</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d>
              <m:dPr>
                <m:begChr m:val="⟨"/>
                <m:endChr m:val="⟩"/>
                <m:ctrlPr>
                  <w:rPr>
                    <w:rFonts w:ascii="Cambria Math" w:hAnsi="Cambria Math"/>
                    <w:sz w:val="24"/>
                  </w:rPr>
                </m:ctrlPr>
              </m:dPr>
              <m:e>
                <m:sSub>
                  <m:sSubPr>
                    <m:ctrlPr>
                      <w:rPr>
                        <w:rFonts w:ascii="Cambria Math" w:hAnsi="Cambria Math"/>
                        <w:sz w:val="24"/>
                      </w:rPr>
                    </m:ctrlPr>
                  </m:sSubPr>
                  <m:e>
                    <m:r>
                      <m:rPr/>
                      <w:rPr>
                        <w:rFonts w:ascii="Cambria Math" w:hAnsi="Cambria Math"/>
                        <w:sz w:val="24"/>
                      </w:rPr>
                      <m:t>z</m:t>
                    </m:r>
                    <m:ctrlPr>
                      <w:rPr>
                        <w:rFonts w:ascii="Cambria Math" w:hAnsi="Cambria Math"/>
                        <w:sz w:val="24"/>
                      </w:rPr>
                    </m:ctrlPr>
                  </m:e>
                  <m:sub>
                    <m:r>
                      <m:rPr/>
                      <w:rPr>
                        <w:rFonts w:ascii="Cambria Math" w:hAnsi="Cambria Math"/>
                        <w:sz w:val="24"/>
                      </w:rPr>
                      <m:t>c</m:t>
                    </m:r>
                    <m:ctrlPr>
                      <w:rPr>
                        <w:rFonts w:ascii="Cambria Math" w:hAnsi="Cambria Math"/>
                        <w:sz w:val="24"/>
                      </w:rPr>
                    </m:ctrlPr>
                  </m:sub>
                </m:sSub>
                <m:ctrlPr>
                  <w:rPr>
                    <w:rFonts w:ascii="Cambria Math" w:hAnsi="Cambria Math"/>
                    <w:sz w:val="24"/>
                  </w:rPr>
                </m:ctrlPr>
              </m:e>
            </m:d>
            <m:ctrlPr>
              <w:rPr>
                <w:rFonts w:ascii="Cambria Math" w:hAnsi="Cambria Math"/>
                <w:sz w:val="24"/>
              </w:rPr>
            </m:ctrlPr>
          </m:e>
          <m:sub>
            <m:r>
              <m:rPr>
                <m:sty m:val="p"/>
              </m:rPr>
              <w:rPr>
                <w:rFonts w:ascii="Cambria Math" w:hAnsi="Cambria Math"/>
                <w:sz w:val="24"/>
              </w:rPr>
              <m:t>0</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d>
              <m:dPr>
                <m:begChr m:val="⟨"/>
                <m:endChr m:val="⟩"/>
                <m:ctrlPr>
                  <w:rPr>
                    <w:rFonts w:ascii="Cambria Math" w:hAnsi="Cambria Math"/>
                    <w:sz w:val="24"/>
                  </w:rPr>
                </m:ctrlPr>
              </m:dPr>
              <m:e>
                <m:sSub>
                  <m:sSubPr>
                    <m:ctrlPr>
                      <w:rPr>
                        <w:rFonts w:ascii="Cambria Math" w:hAnsi="Cambria Math"/>
                        <w:sz w:val="24"/>
                      </w:rPr>
                    </m:ctrlPr>
                  </m:sSubPr>
                  <m:e>
                    <m:r>
                      <m:rPr/>
                      <w:rPr>
                        <w:rFonts w:ascii="Cambria Math" w:hAnsi="Cambria Math"/>
                        <w:sz w:val="24"/>
                      </w:rPr>
                      <m:t>z</m:t>
                    </m:r>
                    <m:ctrlPr>
                      <w:rPr>
                        <w:rFonts w:ascii="Cambria Math" w:hAnsi="Cambria Math"/>
                        <w:sz w:val="24"/>
                      </w:rPr>
                    </m:ctrlPr>
                  </m:e>
                  <m:sub>
                    <m:r>
                      <m:rPr/>
                      <w:rPr>
                        <w:rFonts w:ascii="Cambria Math" w:hAnsi="Cambria Math"/>
                        <w:sz w:val="24"/>
                      </w:rPr>
                      <m:t>c</m:t>
                    </m:r>
                    <m:ctrlPr>
                      <w:rPr>
                        <w:rFonts w:ascii="Cambria Math" w:hAnsi="Cambria Math"/>
                        <w:sz w:val="24"/>
                      </w:rPr>
                    </m:ctrlPr>
                  </m:sub>
                </m:sSub>
                <m:ctrlPr>
                  <w:rPr>
                    <w:rFonts w:ascii="Cambria Math" w:hAnsi="Cambria Math"/>
                    <w:sz w:val="24"/>
                  </w:rPr>
                </m:ctrlPr>
              </m:e>
            </m:d>
            <m:ctrlPr>
              <w:rPr>
                <w:rFonts w:ascii="Cambria Math" w:hAnsi="Cambria Math"/>
                <w:sz w:val="24"/>
              </w:rPr>
            </m:ctrlPr>
          </m:e>
          <m:sub>
            <m:r>
              <m:rPr>
                <m:sty m:val="p"/>
              </m:rPr>
              <w:rPr>
                <w:rFonts w:ascii="Cambria Math" w:hAnsi="Cambria Math"/>
                <w:sz w:val="24"/>
              </w:rPr>
              <m:t>1</m:t>
            </m:r>
            <m:ctrlPr>
              <w:rPr>
                <w:rFonts w:ascii="Cambria Math" w:hAnsi="Cambria Math"/>
                <w:sz w:val="24"/>
              </w:rPr>
            </m:ctrlPr>
          </m:sub>
        </m:sSub>
        <m:r>
          <m:rPr>
            <m:sty m:val="p"/>
          </m:rPr>
          <w:rPr>
            <w:rFonts w:ascii="Cambria Math" w:hAnsi="Cambria Math"/>
            <w:sz w:val="24"/>
          </w:rPr>
          <m:t xml:space="preserve">, </m:t>
        </m:r>
        <m:acc>
          <m:accPr>
            <m:ctrlPr>
              <w:rPr>
                <w:rFonts w:ascii="Cambria Math" w:hAnsi="Cambria Math"/>
                <w:sz w:val="24"/>
              </w:rPr>
            </m:ctrlPr>
          </m:accPr>
          <m:e>
            <m:r>
              <m:rPr/>
              <w:rPr>
                <w:rFonts w:ascii="Cambria Math" w:hAnsi="Cambria Math"/>
                <w:sz w:val="24"/>
              </w:rPr>
              <m:t>y</m:t>
            </m:r>
            <m:ctrlPr>
              <w:rPr>
                <w:rFonts w:ascii="Cambria Math" w:hAnsi="Cambria Math"/>
                <w:sz w:val="24"/>
              </w:rPr>
            </m:ctrlPr>
          </m:e>
        </m:acc>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arg max</m:t>
            </m:r>
            <m:ctrlPr>
              <w:rPr>
                <w:rFonts w:ascii="Cambria Math" w:hAnsi="Cambria Math"/>
                <w:sz w:val="24"/>
              </w:rPr>
            </m:ctrlPr>
          </m:e>
          <m:sub>
            <m:r>
              <m:rPr/>
              <w:rPr>
                <w:rFonts w:ascii="Cambria Math" w:hAnsi="Cambria Math"/>
                <w:sz w:val="24"/>
              </w:rPr>
              <m:t>c</m:t>
            </m:r>
            <m:ctrlPr>
              <w:rPr>
                <w:rFonts w:ascii="Cambria Math" w:hAnsi="Cambria Math"/>
                <w:sz w:val="24"/>
              </w:rPr>
            </m:ctrlPr>
          </m:sub>
        </m:sSub>
        <m:r>
          <m:rPr>
            <m:sty m:val="p"/>
          </m:rPr>
          <w:rPr>
            <w:rFonts w:ascii="Cambria Math" w:hAnsi="Cambria Math"/>
            <w:sz w:val="24"/>
          </w:rPr>
          <m:t xml:space="preserve"> </m:t>
        </m:r>
        <m:sSub>
          <m:sSubPr>
            <m:ctrlPr>
              <w:rPr>
                <w:rFonts w:ascii="Cambria Math" w:hAnsi="Cambria Math"/>
                <w:sz w:val="24"/>
              </w:rPr>
            </m:ctrlPr>
          </m:sSubPr>
          <m:e>
            <m:r>
              <m:rPr/>
              <w:rPr>
                <w:rFonts w:ascii="Cambria Math" w:hAnsi="Cambria Math"/>
                <w:sz w:val="24"/>
              </w:rPr>
              <m:t>z</m:t>
            </m:r>
            <m:ctrlPr>
              <w:rPr>
                <w:rFonts w:ascii="Cambria Math" w:hAnsi="Cambria Math"/>
                <w:sz w:val="24"/>
              </w:rPr>
            </m:ctrlPr>
          </m:e>
          <m:sub>
            <m:r>
              <m:rPr/>
              <w:rPr>
                <w:rFonts w:ascii="Cambria Math" w:hAnsi="Cambria Math"/>
                <w:sz w:val="24"/>
              </w:rPr>
              <m:t>c</m:t>
            </m:r>
            <m:ctrlPr>
              <w:rPr>
                <w:rFonts w:ascii="Cambria Math" w:hAnsi="Cambria Math"/>
                <w:sz w:val="24"/>
              </w:rPr>
            </m:ctrlPr>
          </m:sub>
        </m:sSub>
      </m:oMath>
      <w:r>
        <w:rPr>
          <w:rFonts w:eastAsia="Times New Roman"/>
          <w:sz w:val="24"/>
        </w:rPr>
        <w:tab/>
      </w:r>
      <w:r>
        <w:rPr>
          <w:rFonts w:eastAsia="Times New Roman"/>
          <w:sz w:val="24"/>
        </w:rPr>
        <w:t>(3-6a)</w:t>
      </w:r>
    </w:p>
    <w:p w14:paraId="4EBC57F4">
      <w:pPr>
        <w:tabs>
          <w:tab w:val="center" w:pos="4536"/>
          <w:tab w:val="right" w:pos="8712"/>
        </w:tabs>
        <w:spacing w:before="40" w:after="60"/>
        <w:jc w:val="left"/>
        <w:rPr>
          <w:sz w:val="24"/>
        </w:rPr>
      </w:pPr>
      <w:r>
        <w:rPr>
          <w:sz w:val="24"/>
        </w:rPr>
        <w:tab/>
      </w:r>
      <m:oMath>
        <m:sSub>
          <m:sSubPr>
            <m:ctrlPr>
              <w:rPr>
                <w:rFonts w:ascii="Cambria Math" w:hAnsi="Cambria Math"/>
                <w:sz w:val="24"/>
              </w:rPr>
            </m:ctrlPr>
          </m:sSubPr>
          <m:e>
            <m:r>
              <m:rPr/>
              <w:rPr>
                <w:rFonts w:ascii="Cambria Math" w:hAnsi="Cambria Math"/>
                <w:sz w:val="24"/>
              </w:rPr>
              <m:t>L</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=0.299</m:t>
        </m:r>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+0.587</m:t>
        </m:r>
        <m:sSub>
          <m:sSubPr>
            <m:ctrlPr>
              <w:rPr>
                <w:rFonts w:ascii="Cambria Math" w:hAnsi="Cambria Math"/>
                <w:sz w:val="24"/>
              </w:rPr>
            </m:ctrlPr>
          </m:sSubPr>
          <m:e>
            <m:r>
              <m:rPr/>
              <w:rPr>
                <w:rFonts w:ascii="Cambria Math" w:hAnsi="Cambria Math"/>
                <w:sz w:val="24"/>
              </w:rPr>
              <m:t>G</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+0.114</m:t>
        </m:r>
        <m:sSub>
          <m:sSubPr>
            <m:ctrlPr>
              <w:rPr>
                <w:rFonts w:ascii="Cambria Math" w:hAnsi="Cambria Math"/>
                <w:sz w:val="24"/>
              </w:rPr>
            </m:ctrlPr>
          </m:sSubPr>
          <m:e>
            <m:r>
              <m:rPr/>
              <w:rPr>
                <w:rFonts w:ascii="Cambria Math" w:hAnsi="Cambria Math"/>
                <w:sz w:val="24"/>
              </w:rPr>
              <m:t>B</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, OverExp=</m:t>
        </m:r>
        <m:f>
          <m:fPr>
            <m:ctrlPr>
              <w:rPr>
                <w:rFonts w:ascii="Cambria Math" w:hAnsi="Cambria Math"/>
                <w:sz w:val="24"/>
              </w:rPr>
            </m:ctrlPr>
          </m:fPr>
          <m:num>
            <m:r>
              <m:rPr>
                <m:sty m:val="p"/>
              </m:rPr>
              <w:rPr>
                <w:rFonts w:ascii="Cambria Math" w:hAnsi="Cambria Math"/>
                <w:sz w:val="24"/>
              </w:rPr>
              <m:t>1</m:t>
            </m:r>
            <m:ctrlPr>
              <w:rPr>
                <w:rFonts w:ascii="Cambria Math" w:hAnsi="Cambria Math"/>
                <w:sz w:val="24"/>
              </w:rPr>
            </m:ctrlPr>
          </m:num>
          <m:den>
            <m:r>
              <m:rPr/>
              <w:rPr>
                <w:rFonts w:ascii="Cambria Math" w:hAnsi="Cambria Math"/>
                <w:sz w:val="24"/>
              </w:rPr>
              <m:t>N</m:t>
            </m:r>
            <m:ctrlPr>
              <w:rPr>
                <w:rFonts w:ascii="Cambria Math" w:hAnsi="Cambria Math"/>
                <w:sz w:val="24"/>
              </w:rPr>
            </m:ctrlPr>
          </m:den>
        </m:f>
        <m:nary>
          <m:naryPr>
            <m:chr m:val="∑"/>
            <m:ctrlPr>
              <w:rPr>
                <w:rFonts w:ascii="Cambria Math" w:hAnsi="Cambria Math"/>
                <w:sz w:val="24"/>
              </w:rPr>
            </m:ctrlPr>
          </m:naryPr>
          <m:sub>
            <m:r>
              <m:rPr/>
              <w:rPr>
                <w:rFonts w:ascii="Cambria Math" w:hAnsi="Cambria Math"/>
                <w:sz w:val="24"/>
              </w:rPr>
              <m:t>i</m:t>
            </m:r>
            <m:r>
              <m:rPr>
                <m:sty m:val="p"/>
              </m:rPr>
              <w:rPr>
                <w:rFonts w:ascii="Cambria Math" w:hAnsi="Cambria Math"/>
                <w:sz w:val="24"/>
              </w:rPr>
              <m:t>=1</m:t>
            </m:r>
            <m:ctrlPr>
              <w:rPr>
                <w:rFonts w:ascii="Cambria Math" w:hAnsi="Cambria Math"/>
                <w:sz w:val="24"/>
              </w:rPr>
            </m:ctrlPr>
          </m:sub>
          <m:sup>
            <m:r>
              <m:rPr/>
              <w:rPr>
                <w:rFonts w:ascii="Cambria Math" w:hAnsi="Cambria Math"/>
                <w:sz w:val="24"/>
              </w:rPr>
              <m:t>N</m:t>
            </m:r>
            <m:ctrlPr>
              <w:rPr>
                <w:rFonts w:ascii="Cambria Math" w:hAnsi="Cambria Math"/>
                <w:sz w:val="24"/>
              </w:rPr>
            </m:ctrlPr>
          </m:sup>
          <m:e>
            <m:r>
              <m:rPr>
                <m:sty m:val="p"/>
              </m:rPr>
              <w:rPr>
                <w:rFonts w:ascii="Cambria Math" w:hAnsi="Cambria Math"/>
                <w:sz w:val="24"/>
              </w:rPr>
              <m:t>1</m:t>
            </m:r>
            <m:d>
              <m:dPr>
                <m:begChr m:val="["/>
                <m:endChr m:val="]"/>
                <m:ctrlPr>
                  <w:rPr>
                    <w:rFonts w:ascii="Cambria Math" w:hAnsi="Cambria Math"/>
                    <w:sz w:val="24"/>
                  </w:rPr>
                </m:ctrlPr>
              </m:dPr>
              <m:e>
                <m:sSub>
                  <m:sSubPr>
                    <m:ctrlPr>
                      <w:rPr>
                        <w:rFonts w:ascii="Cambria Math" w:hAnsi="Cambria Math"/>
                        <w:sz w:val="24"/>
                      </w:rPr>
                    </m:ctrlPr>
                  </m:sSubPr>
                  <m:e>
                    <m:r>
                      <m:rPr/>
                      <w:rPr>
                        <w:rFonts w:ascii="Cambria Math" w:hAnsi="Cambria Math"/>
                        <w:sz w:val="24"/>
                      </w:rPr>
                      <m:t>L</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≥0.95</m:t>
                </m:r>
                <m:ctrlPr>
                  <w:rPr>
                    <w:rFonts w:ascii="Cambria Math" w:hAnsi="Cambria Math"/>
                    <w:sz w:val="24"/>
                  </w:rPr>
                </m:ctrlPr>
              </m:e>
            </m:d>
            <m:ctrlPr>
              <w:rPr>
                <w:rFonts w:ascii="Cambria Math" w:hAnsi="Cambria Math"/>
                <w:sz w:val="24"/>
              </w:rPr>
            </m:ctrlPr>
          </m:e>
        </m:nary>
      </m:oMath>
      <w:r>
        <w:rPr>
          <w:rFonts w:eastAsia="Times New Roman"/>
          <w:sz w:val="24"/>
        </w:rPr>
        <w:tab/>
      </w:r>
      <w:r>
        <w:rPr>
          <w:rFonts w:eastAsia="Times New Roman"/>
          <w:sz w:val="24"/>
        </w:rPr>
        <w:t>(3-7)</w:t>
      </w:r>
    </w:p>
    <w:p w14:paraId="2A870050">
      <w:pPr>
        <w:tabs>
          <w:tab w:val="center" w:pos="4536"/>
          <w:tab w:val="right" w:pos="8712"/>
        </w:tabs>
        <w:spacing w:before="40" w:after="60"/>
        <w:ind w:firstLine="480" w:firstLineChars="200"/>
        <w:jc w:val="left"/>
        <w:rPr>
          <w:sz w:val="24"/>
        </w:rPr>
      </w:pPr>
      <m:oMath>
        <m:r>
          <m:rPr>
            <m:sty m:val="p"/>
          </m:rPr>
          <w:rPr>
            <w:rFonts w:ascii="Cambria Math" w:hAnsi="Cambria Math"/>
            <w:sz w:val="24"/>
          </w:rPr>
          <m:t>lap</m:t>
        </m:r>
        <m:d>
          <m:dPr>
            <m:ctrlPr>
              <w:rPr>
                <w:rFonts w:ascii="Cambria Math" w:hAnsi="Cambria Math"/>
                <w:sz w:val="24"/>
              </w:rPr>
            </m:ctrlPr>
          </m:dPr>
          <m:e>
            <m:r>
              <m:rPr/>
              <w:rPr>
                <w:rFonts w:ascii="Cambria Math" w:hAnsi="Cambria Math"/>
                <w:sz w:val="24"/>
              </w:rPr>
              <m:t>x</m:t>
            </m:r>
            <m:r>
              <m:rPr>
                <m:sty m:val="p"/>
              </m:rPr>
              <w:rPr>
                <w:rFonts w:ascii="Cambria Math" w:hAnsi="Cambria Math"/>
                <w:sz w:val="24"/>
              </w:rPr>
              <m:t>,</m:t>
            </m:r>
            <m:r>
              <m:rPr/>
              <w:rPr>
                <w:rFonts w:ascii="Cambria Math" w:hAnsi="Cambria Math"/>
                <w:sz w:val="24"/>
              </w:rPr>
              <m:t>y</m:t>
            </m:r>
            <m:ctrlPr>
              <w:rPr>
                <w:rFonts w:ascii="Cambria Math" w:hAnsi="Cambria Math"/>
                <w:sz w:val="24"/>
              </w:rPr>
            </m:ctrlPr>
          </m:e>
        </m:d>
        <m:r>
          <m:rPr>
            <m:sty m:val="p"/>
          </m:rPr>
          <w:rPr>
            <w:rFonts w:ascii="Cambria Math" w:hAnsi="Cambria Math"/>
            <w:sz w:val="24"/>
          </w:rPr>
          <m:t>=−4</m:t>
        </m:r>
        <m:r>
          <m:rPr/>
          <w:rPr>
            <w:rFonts w:ascii="Cambria Math" w:hAnsi="Cambria Math"/>
            <w:sz w:val="24"/>
          </w:rPr>
          <m:t>L</m:t>
        </m:r>
        <m:d>
          <m:dPr>
            <m:ctrlPr>
              <w:rPr>
                <w:rFonts w:ascii="Cambria Math" w:hAnsi="Cambria Math"/>
                <w:sz w:val="24"/>
              </w:rPr>
            </m:ctrlPr>
          </m:dPr>
          <m:e>
            <m:r>
              <m:rPr/>
              <w:rPr>
                <w:rFonts w:ascii="Cambria Math" w:hAnsi="Cambria Math"/>
                <w:sz w:val="24"/>
              </w:rPr>
              <m:t>x</m:t>
            </m:r>
            <m:r>
              <m:rPr>
                <m:sty m:val="p"/>
              </m:rPr>
              <w:rPr>
                <w:rFonts w:ascii="Cambria Math" w:hAnsi="Cambria Math"/>
                <w:sz w:val="24"/>
              </w:rPr>
              <m:t>,</m:t>
            </m:r>
            <m:r>
              <m:rPr/>
              <w:rPr>
                <w:rFonts w:ascii="Cambria Math" w:hAnsi="Cambria Math"/>
                <w:sz w:val="24"/>
              </w:rPr>
              <m:t>y</m:t>
            </m:r>
            <m:ctrlPr>
              <w:rPr>
                <w:rFonts w:ascii="Cambria Math" w:hAnsi="Cambria Math"/>
                <w:sz w:val="24"/>
              </w:rPr>
            </m:ctrlPr>
          </m:e>
        </m:d>
        <m:r>
          <m:rPr>
            <m:sty m:val="p"/>
          </m:rPr>
          <w:rPr>
            <w:rFonts w:ascii="Cambria Math" w:hAnsi="Cambria Math"/>
            <w:sz w:val="24"/>
          </w:rPr>
          <m:t>+</m:t>
        </m:r>
        <m:r>
          <m:rPr/>
          <w:rPr>
            <w:rFonts w:ascii="Cambria Math" w:hAnsi="Cambria Math"/>
            <w:sz w:val="24"/>
          </w:rPr>
          <m:t>L</m:t>
        </m:r>
        <m:d>
          <m:dPr>
            <m:ctrlPr>
              <w:rPr>
                <w:rFonts w:ascii="Cambria Math" w:hAnsi="Cambria Math"/>
                <w:sz w:val="24"/>
              </w:rPr>
            </m:ctrlPr>
          </m:dPr>
          <m:e>
            <m:r>
              <m:rPr/>
              <w:rPr>
                <w:rFonts w:ascii="Cambria Math" w:hAnsi="Cambria Math"/>
                <w:sz w:val="24"/>
              </w:rPr>
              <m:t>x</m:t>
            </m:r>
            <m:r>
              <m:rPr>
                <m:sty m:val="p"/>
              </m:rPr>
              <w:rPr>
                <w:rFonts w:ascii="Cambria Math" w:hAnsi="Cambria Math"/>
                <w:sz w:val="24"/>
              </w:rPr>
              <m:t>−1,</m:t>
            </m:r>
            <m:r>
              <m:rPr/>
              <w:rPr>
                <w:rFonts w:ascii="Cambria Math" w:hAnsi="Cambria Math"/>
                <w:sz w:val="24"/>
              </w:rPr>
              <m:t>y</m:t>
            </m:r>
            <m:ctrlPr>
              <w:rPr>
                <w:rFonts w:ascii="Cambria Math" w:hAnsi="Cambria Math"/>
                <w:sz w:val="24"/>
              </w:rPr>
            </m:ctrlPr>
          </m:e>
        </m:d>
        <m:r>
          <m:rPr>
            <m:sty m:val="p"/>
          </m:rPr>
          <w:rPr>
            <w:rFonts w:ascii="Cambria Math" w:hAnsi="Cambria Math"/>
            <w:sz w:val="24"/>
          </w:rPr>
          <m:t>+</m:t>
        </m:r>
        <m:r>
          <m:rPr/>
          <w:rPr>
            <w:rFonts w:ascii="Cambria Math" w:hAnsi="Cambria Math"/>
            <w:sz w:val="24"/>
          </w:rPr>
          <m:t>L</m:t>
        </m:r>
        <m:d>
          <m:dPr>
            <m:ctrlPr>
              <w:rPr>
                <w:rFonts w:ascii="Cambria Math" w:hAnsi="Cambria Math"/>
                <w:sz w:val="24"/>
              </w:rPr>
            </m:ctrlPr>
          </m:dPr>
          <m:e>
            <m:r>
              <m:rPr/>
              <w:rPr>
                <w:rFonts w:ascii="Cambria Math" w:hAnsi="Cambria Math"/>
                <w:sz w:val="24"/>
              </w:rPr>
              <m:t>x</m:t>
            </m:r>
            <m:r>
              <m:rPr>
                <m:sty m:val="p"/>
              </m:rPr>
              <w:rPr>
                <w:rFonts w:ascii="Cambria Math" w:hAnsi="Cambria Math"/>
                <w:sz w:val="24"/>
              </w:rPr>
              <m:t>+1,</m:t>
            </m:r>
            <m:r>
              <m:rPr/>
              <w:rPr>
                <w:rFonts w:ascii="Cambria Math" w:hAnsi="Cambria Math"/>
                <w:sz w:val="24"/>
              </w:rPr>
              <m:t>y</m:t>
            </m:r>
            <m:ctrlPr>
              <w:rPr>
                <w:rFonts w:ascii="Cambria Math" w:hAnsi="Cambria Math"/>
                <w:sz w:val="24"/>
              </w:rPr>
            </m:ctrlPr>
          </m:e>
        </m:d>
        <m:r>
          <m:rPr>
            <m:sty m:val="p"/>
          </m:rPr>
          <w:rPr>
            <w:rFonts w:ascii="Cambria Math" w:hAnsi="Cambria Math"/>
            <w:sz w:val="24"/>
          </w:rPr>
          <m:t>+</m:t>
        </m:r>
        <m:r>
          <m:rPr/>
          <w:rPr>
            <w:rFonts w:ascii="Cambria Math" w:hAnsi="Cambria Math"/>
            <w:sz w:val="24"/>
          </w:rPr>
          <m:t>L</m:t>
        </m:r>
        <m:d>
          <m:dPr>
            <m:ctrlPr>
              <w:rPr>
                <w:rFonts w:ascii="Cambria Math" w:hAnsi="Cambria Math"/>
                <w:sz w:val="24"/>
              </w:rPr>
            </m:ctrlPr>
          </m:dPr>
          <m:e>
            <m:r>
              <m:rPr/>
              <w:rPr>
                <w:rFonts w:ascii="Cambria Math" w:hAnsi="Cambria Math"/>
                <w:sz w:val="24"/>
              </w:rPr>
              <m:t>x</m:t>
            </m:r>
            <m:r>
              <m:rPr>
                <m:sty m:val="p"/>
              </m:rPr>
              <w:rPr>
                <w:rFonts w:ascii="Cambria Math" w:hAnsi="Cambria Math"/>
                <w:sz w:val="24"/>
              </w:rPr>
              <m:t>,</m:t>
            </m:r>
            <m:r>
              <m:rPr/>
              <w:rPr>
                <w:rFonts w:ascii="Cambria Math" w:hAnsi="Cambria Math"/>
                <w:sz w:val="24"/>
              </w:rPr>
              <m:t>y</m:t>
            </m:r>
            <m:r>
              <m:rPr>
                <m:sty m:val="p"/>
              </m:rPr>
              <w:rPr>
                <w:rFonts w:ascii="Cambria Math" w:hAnsi="Cambria Math"/>
                <w:sz w:val="24"/>
              </w:rPr>
              <m:t>−1</m:t>
            </m:r>
            <m:ctrlPr>
              <w:rPr>
                <w:rFonts w:ascii="Cambria Math" w:hAnsi="Cambria Math"/>
                <w:sz w:val="24"/>
              </w:rPr>
            </m:ctrlPr>
          </m:e>
        </m:d>
        <m:r>
          <m:rPr>
            <m:sty m:val="p"/>
          </m:rPr>
          <w:rPr>
            <w:rFonts w:ascii="Cambria Math" w:hAnsi="Cambria Math"/>
            <w:sz w:val="24"/>
          </w:rPr>
          <m:t>+</m:t>
        </m:r>
        <m:r>
          <m:rPr/>
          <w:rPr>
            <w:rFonts w:ascii="Cambria Math" w:hAnsi="Cambria Math"/>
            <w:sz w:val="24"/>
          </w:rPr>
          <m:t>L</m:t>
        </m:r>
        <m:d>
          <m:dPr>
            <m:ctrlPr>
              <w:rPr>
                <w:rFonts w:ascii="Cambria Math" w:hAnsi="Cambria Math"/>
                <w:sz w:val="24"/>
              </w:rPr>
            </m:ctrlPr>
          </m:dPr>
          <m:e>
            <m:r>
              <m:rPr/>
              <w:rPr>
                <w:rFonts w:ascii="Cambria Math" w:hAnsi="Cambria Math"/>
                <w:sz w:val="24"/>
              </w:rPr>
              <m:t>x</m:t>
            </m:r>
            <m:r>
              <m:rPr>
                <m:sty m:val="p"/>
              </m:rPr>
              <w:rPr>
                <w:rFonts w:ascii="Cambria Math" w:hAnsi="Cambria Math"/>
                <w:sz w:val="24"/>
              </w:rPr>
              <m:t>,</m:t>
            </m:r>
            <m:r>
              <m:rPr/>
              <w:rPr>
                <w:rFonts w:ascii="Cambria Math" w:hAnsi="Cambria Math"/>
                <w:sz w:val="24"/>
              </w:rPr>
              <m:t>y</m:t>
            </m:r>
            <m:r>
              <m:rPr>
                <m:sty m:val="p"/>
              </m:rPr>
              <w:rPr>
                <w:rFonts w:ascii="Cambria Math" w:hAnsi="Cambria Math"/>
                <w:sz w:val="24"/>
              </w:rPr>
              <m:t>+1</m:t>
            </m:r>
            <m:ctrlPr>
              <w:rPr>
                <w:rFonts w:ascii="Cambria Math" w:hAnsi="Cambria Math"/>
                <w:sz w:val="24"/>
              </w:rPr>
            </m:ctrlPr>
          </m:e>
        </m:d>
      </m:oMath>
      <w:r>
        <w:rPr>
          <w:rFonts w:eastAsia="Times New Roman"/>
          <w:sz w:val="24"/>
        </w:rPr>
        <w:tab/>
      </w:r>
      <w:r>
        <w:rPr>
          <w:rFonts w:hint="eastAsia"/>
          <w:sz w:val="24"/>
        </w:rPr>
        <w:t xml:space="preserve"> </w:t>
      </w:r>
      <w:r>
        <w:rPr>
          <w:rFonts w:eastAsia="Times New Roman"/>
          <w:sz w:val="24"/>
        </w:rPr>
        <w:t>(3-8)</w:t>
      </w:r>
    </w:p>
    <w:p w14:paraId="1823BA48">
      <w:pPr>
        <w:tabs>
          <w:tab w:val="center" w:pos="4536"/>
          <w:tab w:val="right" w:pos="8712"/>
        </w:tabs>
        <w:spacing w:before="40" w:after="60"/>
        <w:jc w:val="left"/>
        <w:rPr>
          <w:sz w:val="24"/>
        </w:rPr>
      </w:pPr>
      <w:r>
        <w:rPr>
          <w:sz w:val="24"/>
        </w:rPr>
        <w:tab/>
      </w:r>
      <m:oMath>
        <m:sSub>
          <m:sSubPr>
            <m:ctrlPr>
              <w:rPr>
                <w:rFonts w:ascii="Cambria Math" w:hAnsi="Cambria Math"/>
                <w:sz w:val="24"/>
              </w:rPr>
            </m:ctrlPr>
          </m:sSubPr>
          <m:e>
            <m:r>
              <m:rPr/>
              <w:rPr>
                <w:rFonts w:ascii="Cambria Math" w:hAnsi="Cambria Math"/>
                <w:sz w:val="24"/>
              </w:rPr>
              <m:t>Δ</m:t>
            </m:r>
            <m:ctrlPr>
              <w:rPr>
                <w:rFonts w:ascii="Cambria Math" w:hAnsi="Cambria Math"/>
                <w:sz w:val="24"/>
              </w:rPr>
            </m:ctrlPr>
          </m:e>
          <m:sub>
            <m:r>
              <m:rPr/>
              <w:rPr>
                <w:rFonts w:ascii="Cambria Math" w:hAnsi="Cambria Math"/>
                <w:sz w:val="24"/>
              </w:rPr>
              <m:t>k</m:t>
            </m:r>
            <m:ctrlPr>
              <w:rPr>
                <w:rFonts w:ascii="Cambria Math" w:hAnsi="Cambria Math"/>
                <w:sz w:val="24"/>
              </w:rPr>
            </m:ctrlPr>
          </m:sub>
        </m:sSub>
        <m:r>
          <m:rPr>
            <m:sty m:val="p"/>
          </m:rPr>
          <w:rPr>
            <w:rFonts w:ascii="Cambria Math" w:hAnsi="Cambria Math"/>
            <w:sz w:val="24"/>
          </w:rPr>
          <m:t>=</m:t>
        </m:r>
        <m:d>
          <m:dPr>
            <m:begChr m:val="|"/>
            <m:endChr m:val="|"/>
            <m:ctrlPr>
              <w:rPr>
                <w:rFonts w:ascii="Cambria Math" w:hAnsi="Cambria Math"/>
                <w:sz w:val="24"/>
              </w:rPr>
            </m:ctrlPr>
          </m:dPr>
          <m:e>
            <m:sSubSup>
              <m:sSubSupPr>
                <m:ctrlPr>
                  <w:rPr>
                    <w:rFonts w:ascii="Cambria Math" w:hAnsi="Cambria Math"/>
                    <w:sz w:val="24"/>
                  </w:rPr>
                </m:ctrlPr>
              </m:sSubSupPr>
              <m:e>
                <m:r>
                  <m:rPr/>
                  <w:rPr>
                    <w:rFonts w:ascii="Cambria Math" w:hAnsi="Cambria Math"/>
                    <w:sz w:val="24"/>
                  </w:rPr>
                  <m:t>q</m:t>
                </m:r>
                <m:ctrlPr>
                  <w:rPr>
                    <w:rFonts w:ascii="Cambria Math" w:hAnsi="Cambria Math"/>
                    <w:sz w:val="24"/>
                  </w:rPr>
                </m:ctrlPr>
              </m:e>
              <m:sub>
                <m:r>
                  <m:rPr/>
                  <w:rPr>
                    <w:rFonts w:ascii="Cambria Math" w:hAnsi="Cambria Math"/>
                    <w:sz w:val="24"/>
                  </w:rPr>
                  <m:t>k</m:t>
                </m:r>
                <m:ctrlPr>
                  <w:rPr>
                    <w:rFonts w:ascii="Cambria Math" w:hAnsi="Cambria Math"/>
                    <w:sz w:val="24"/>
                  </w:rPr>
                </m:ctrlPr>
              </m:sub>
              <m:sup>
                <m:d>
                  <m:dPr>
                    <m:ctrlPr>
                      <w:rPr>
                        <w:rFonts w:ascii="Cambria Math" w:hAnsi="Cambria Math"/>
                        <w:sz w:val="24"/>
                      </w:rPr>
                    </m:ctrlPr>
                  </m:dPr>
                  <m:e>
                    <m:r>
                      <m:rPr>
                        <m:sty m:val="p"/>
                      </m:rPr>
                      <w:rPr>
                        <w:rFonts w:ascii="Cambria Math" w:hAnsi="Cambria Math"/>
                        <w:sz w:val="24"/>
                      </w:rPr>
                      <m:t>client</m:t>
                    </m:r>
                    <m:ctrlPr>
                      <w:rPr>
                        <w:rFonts w:ascii="Cambria Math" w:hAnsi="Cambria Math"/>
                        <w:sz w:val="24"/>
                      </w:rPr>
                    </m:ctrlPr>
                  </m:e>
                </m:d>
                <m:ctrlPr>
                  <w:rPr>
                    <w:rFonts w:ascii="Cambria Math" w:hAnsi="Cambria Math"/>
                    <w:sz w:val="24"/>
                  </w:rPr>
                </m:ctrlPr>
              </m:sup>
            </m:sSubSup>
            <m:r>
              <m:rPr>
                <m:sty m:val="p"/>
              </m:rPr>
              <w:rPr>
                <w:rFonts w:ascii="Cambria Math" w:hAnsi="Cambria Math"/>
                <w:sz w:val="24"/>
              </w:rPr>
              <m:t>−</m:t>
            </m:r>
            <m:sSubSup>
              <m:sSubSupPr>
                <m:ctrlPr>
                  <w:rPr>
                    <w:rFonts w:ascii="Cambria Math" w:hAnsi="Cambria Math"/>
                    <w:sz w:val="24"/>
                  </w:rPr>
                </m:ctrlPr>
              </m:sSubSupPr>
              <m:e>
                <m:r>
                  <m:rPr/>
                  <w:rPr>
                    <w:rFonts w:ascii="Cambria Math" w:hAnsi="Cambria Math"/>
                    <w:sz w:val="24"/>
                  </w:rPr>
                  <m:t>q</m:t>
                </m:r>
                <m:ctrlPr>
                  <w:rPr>
                    <w:rFonts w:ascii="Cambria Math" w:hAnsi="Cambria Math"/>
                    <w:sz w:val="24"/>
                  </w:rPr>
                </m:ctrlPr>
              </m:e>
              <m:sub>
                <m:r>
                  <m:rPr/>
                  <w:rPr>
                    <w:rFonts w:ascii="Cambria Math" w:hAnsi="Cambria Math"/>
                    <w:sz w:val="24"/>
                  </w:rPr>
                  <m:t>k</m:t>
                </m:r>
                <m:ctrlPr>
                  <w:rPr>
                    <w:rFonts w:ascii="Cambria Math" w:hAnsi="Cambria Math"/>
                    <w:sz w:val="24"/>
                  </w:rPr>
                </m:ctrlPr>
              </m:sub>
              <m:sup>
                <m:d>
                  <m:dPr>
                    <m:ctrlPr>
                      <w:rPr>
                        <w:rFonts w:ascii="Cambria Math" w:hAnsi="Cambria Math"/>
                        <w:sz w:val="24"/>
                      </w:rPr>
                    </m:ctrlPr>
                  </m:dPr>
                  <m:e>
                    <m:r>
                      <m:rPr>
                        <m:sty m:val="p"/>
                      </m:rPr>
                      <w:rPr>
                        <w:rFonts w:ascii="Cambria Math" w:hAnsi="Cambria Math"/>
                        <w:sz w:val="24"/>
                      </w:rPr>
                      <m:t>server</m:t>
                    </m:r>
                    <m:ctrlPr>
                      <w:rPr>
                        <w:rFonts w:ascii="Cambria Math" w:hAnsi="Cambria Math"/>
                        <w:sz w:val="24"/>
                      </w:rPr>
                    </m:ctrlPr>
                  </m:e>
                </m:d>
                <m:ctrlPr>
                  <w:rPr>
                    <w:rFonts w:ascii="Cambria Math" w:hAnsi="Cambria Math"/>
                    <w:sz w:val="24"/>
                  </w:rPr>
                </m:ctrlPr>
              </m:sup>
            </m:sSubSup>
            <m:ctrlPr>
              <w:rPr>
                <w:rFonts w:ascii="Cambria Math" w:hAnsi="Cambria Math"/>
                <w:sz w:val="24"/>
              </w:rPr>
            </m:ctrlPr>
          </m:e>
        </m:d>
        <m:r>
          <m:rPr>
            <m:sty m:val="p"/>
          </m:rPr>
          <w:rPr>
            <w:rFonts w:ascii="Cambria Math" w:hAnsi="Cambria Math"/>
            <w:sz w:val="24"/>
          </w:rPr>
          <m:t>, </m:t>
        </m:r>
        <m:sSub>
          <m:sSubPr>
            <m:ctrlPr>
              <w:rPr>
                <w:rFonts w:ascii="Cambria Math" w:hAnsi="Cambria Math"/>
                <w:sz w:val="24"/>
              </w:rPr>
            </m:ctrlPr>
          </m:sSubPr>
          <m:e>
            <m:r>
              <m:rPr/>
              <w:rPr>
                <w:rFonts w:ascii="Cambria Math" w:hAnsi="Cambria Math"/>
                <w:sz w:val="24"/>
              </w:rPr>
              <m:t>Δ</m:t>
            </m:r>
            <m:ctrlPr>
              <w:rPr>
                <w:rFonts w:ascii="Cambria Math" w:hAnsi="Cambria Math"/>
                <w:sz w:val="24"/>
              </w:rPr>
            </m:ctrlPr>
          </m:e>
          <m:sub>
            <m:r>
              <m:rPr/>
              <w:rPr>
                <w:rFonts w:ascii="Cambria Math" w:hAnsi="Cambria Math"/>
                <w:sz w:val="24"/>
              </w:rPr>
              <m:t>k</m:t>
            </m:r>
            <m:ctrlPr>
              <w:rPr>
                <w:rFonts w:ascii="Cambria Math" w:hAnsi="Cambria Math"/>
                <w:sz w:val="24"/>
              </w:rPr>
            </m:ctrlPr>
          </m:sub>
        </m:sSub>
        <m:r>
          <m:rPr>
            <m:sty m:val="p"/>
          </m:rPr>
          <w:rPr>
            <w:rFonts w:ascii="Cambria Math" w:hAnsi="Cambria Math"/>
            <w:sz w:val="24"/>
          </w:rPr>
          <m:t>≤</m:t>
        </m:r>
        <m:sSup>
          <m:sSupPr>
            <m:ctrlPr>
              <w:rPr>
                <w:rFonts w:ascii="Cambria Math" w:hAnsi="Cambria Math"/>
                <w:sz w:val="24"/>
              </w:rPr>
            </m:ctrlPr>
          </m:sSupPr>
          <m:e>
            <m:r>
              <m:rPr>
                <m:sty m:val="p"/>
              </m:rPr>
              <w:rPr>
                <w:rFonts w:ascii="Cambria Math" w:hAnsi="Cambria Math"/>
                <w:sz w:val="24"/>
              </w:rPr>
              <m:t>10</m:t>
            </m:r>
            <m:ctrlPr>
              <w:rPr>
                <w:rFonts w:ascii="Cambria Math" w:hAnsi="Cambria Math"/>
                <w:sz w:val="24"/>
              </w:rPr>
            </m:ctrlPr>
          </m:e>
          <m:sup>
            <m:r>
              <m:rPr>
                <m:sty m:val="p"/>
              </m:rPr>
              <w:rPr>
                <w:rFonts w:ascii="Cambria Math" w:hAnsi="Cambria Math"/>
                <w:sz w:val="24"/>
              </w:rPr>
              <m:t>−4</m:t>
            </m:r>
            <m:ctrlPr>
              <w:rPr>
                <w:rFonts w:ascii="Cambria Math" w:hAnsi="Cambria Math"/>
                <w:sz w:val="24"/>
              </w:rPr>
            </m:ctrlPr>
          </m:sup>
        </m:sSup>
      </m:oMath>
      <w:r>
        <w:rPr>
          <w:rFonts w:eastAsia="Times New Roman"/>
          <w:sz w:val="24"/>
        </w:rPr>
        <w:tab/>
      </w:r>
      <w:r>
        <w:rPr>
          <w:rFonts w:eastAsia="Times New Roman"/>
          <w:sz w:val="24"/>
        </w:rPr>
        <w:t>(3-9)</w:t>
      </w:r>
    </w:p>
    <w:p w14:paraId="2DAE1EFE">
      <w:pPr>
        <w:tabs>
          <w:tab w:val="center" w:pos="4536"/>
          <w:tab w:val="right" w:pos="8712"/>
        </w:tabs>
        <w:spacing w:before="40" w:after="60"/>
        <w:jc w:val="left"/>
        <w:rPr>
          <w:sz w:val="24"/>
        </w:rPr>
      </w:pPr>
      <w:r>
        <w:rPr>
          <w:sz w:val="24"/>
        </w:rPr>
        <w:tab/>
      </w:r>
      <m:oMath>
        <m:sSub>
          <m:sSubPr>
            <m:ctrlPr>
              <w:rPr>
                <w:rFonts w:ascii="Cambria Math" w:hAnsi="Cambria Math"/>
                <w:sz w:val="24"/>
              </w:rPr>
            </m:ctrlPr>
          </m:sSubPr>
          <m:e>
            <m:r>
              <m:rPr/>
              <w:rPr>
                <w:rFonts w:ascii="Cambria Math" w:hAnsi="Cambria Math"/>
                <w:sz w:val="24"/>
              </w:rPr>
              <m:t>μ</m:t>
            </m:r>
            <m:ctrlPr>
              <w:rPr>
                <w:rFonts w:ascii="Cambria Math" w:hAnsi="Cambria Math"/>
                <w:sz w:val="24"/>
              </w:rPr>
            </m:ctrlPr>
          </m:e>
          <m:sub>
            <m:r>
              <m:rPr>
                <m:sty m:val="p"/>
              </m:rPr>
              <w:rPr>
                <w:rFonts w:ascii="Cambria Math" w:hAnsi="Cambria Math"/>
                <w:sz w:val="24"/>
              </w:rPr>
              <m:t>lap</m:t>
            </m:r>
            <m:ctrlPr>
              <w:rPr>
                <w:rFonts w:ascii="Cambria Math" w:hAnsi="Cambria Math"/>
                <w:sz w:val="24"/>
              </w:rPr>
            </m:ctrlPr>
          </m:sub>
        </m:sSub>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1</m:t>
            </m:r>
            <m:ctrlPr>
              <w:rPr>
                <w:rFonts w:ascii="Cambria Math" w:hAnsi="Cambria Math"/>
                <w:sz w:val="24"/>
              </w:rPr>
            </m:ctrlPr>
          </m:num>
          <m:den>
            <m:r>
              <m:rPr/>
              <w:rPr>
                <w:rFonts w:ascii="Cambria Math" w:hAnsi="Cambria Math"/>
                <w:sz w:val="24"/>
              </w:rPr>
              <m:t>HW</m:t>
            </m:r>
            <m:ctrlPr>
              <w:rPr>
                <w:rFonts w:ascii="Cambria Math" w:hAnsi="Cambria Math"/>
                <w:sz w:val="24"/>
              </w:rPr>
            </m:ctrlPr>
          </m:den>
        </m:f>
        <m:nary>
          <m:naryPr>
            <m:chr m:val="∑"/>
            <m:ctrlPr>
              <w:rPr>
                <w:rFonts w:ascii="Cambria Math" w:hAnsi="Cambria Math"/>
                <w:sz w:val="24"/>
              </w:rPr>
            </m:ctrlPr>
          </m:naryPr>
          <m:sub>
            <m:r>
              <m:rPr/>
              <w:rPr>
                <w:rFonts w:ascii="Cambria Math" w:hAnsi="Cambria Math"/>
                <w:sz w:val="24"/>
              </w:rPr>
              <m:t>x</m:t>
            </m:r>
            <m:r>
              <m:rPr>
                <m:sty m:val="p"/>
              </m:rPr>
              <w:rPr>
                <w:rFonts w:ascii="Cambria Math" w:hAnsi="Cambria Math"/>
                <w:sz w:val="24"/>
              </w:rPr>
              <m:t>=1</m:t>
            </m:r>
            <m:ctrlPr>
              <w:rPr>
                <w:rFonts w:ascii="Cambria Math" w:hAnsi="Cambria Math"/>
                <w:sz w:val="24"/>
              </w:rPr>
            </m:ctrlPr>
          </m:sub>
          <m:sup>
            <m:r>
              <m:rPr/>
              <w:rPr>
                <w:rFonts w:ascii="Cambria Math" w:hAnsi="Cambria Math"/>
                <w:sz w:val="24"/>
              </w:rPr>
              <m:t>H</m:t>
            </m:r>
            <m:ctrlPr>
              <w:rPr>
                <w:rFonts w:ascii="Cambria Math" w:hAnsi="Cambria Math"/>
                <w:sz w:val="24"/>
              </w:rPr>
            </m:ctrlPr>
          </m:sup>
          <m:e>
            <m:nary>
              <m:naryPr>
                <m:chr m:val="∑"/>
                <m:ctrlPr>
                  <w:rPr>
                    <w:rFonts w:ascii="Cambria Math" w:hAnsi="Cambria Math"/>
                    <w:sz w:val="24"/>
                  </w:rPr>
                </m:ctrlPr>
              </m:naryPr>
              <m:sub>
                <m:r>
                  <m:rPr/>
                  <w:rPr>
                    <w:rFonts w:ascii="Cambria Math" w:hAnsi="Cambria Math"/>
                    <w:sz w:val="24"/>
                  </w:rPr>
                  <m:t>y</m:t>
                </m:r>
                <m:r>
                  <m:rPr>
                    <m:sty m:val="p"/>
                  </m:rPr>
                  <w:rPr>
                    <w:rFonts w:ascii="Cambria Math" w:hAnsi="Cambria Math"/>
                    <w:sz w:val="24"/>
                  </w:rPr>
                  <m:t>=1</m:t>
                </m:r>
                <m:ctrlPr>
                  <w:rPr>
                    <w:rFonts w:ascii="Cambria Math" w:hAnsi="Cambria Math"/>
                    <w:sz w:val="24"/>
                  </w:rPr>
                </m:ctrlPr>
              </m:sub>
              <m:sup>
                <m:r>
                  <m:rPr/>
                  <w:rPr>
                    <w:rFonts w:ascii="Cambria Math" w:hAnsi="Cambria Math"/>
                    <w:sz w:val="24"/>
                  </w:rPr>
                  <m:t>W</m:t>
                </m:r>
                <m:ctrlPr>
                  <w:rPr>
                    <w:rFonts w:ascii="Cambria Math" w:hAnsi="Cambria Math"/>
                    <w:sz w:val="24"/>
                  </w:rPr>
                </m:ctrlPr>
              </m:sup>
              <m:e>
                <m:r>
                  <m:rPr>
                    <m:sty m:val="p"/>
                  </m:rPr>
                  <w:rPr>
                    <w:rFonts w:ascii="Cambria Math" w:hAnsi="Cambria Math"/>
                    <w:sz w:val="24"/>
                  </w:rPr>
                  <m:t>lap</m:t>
                </m:r>
                <m:d>
                  <m:dPr>
                    <m:ctrlPr>
                      <w:rPr>
                        <w:rFonts w:ascii="Cambria Math" w:hAnsi="Cambria Math"/>
                        <w:sz w:val="24"/>
                      </w:rPr>
                    </m:ctrlPr>
                  </m:dPr>
                  <m:e>
                    <m:r>
                      <m:rPr/>
                      <w:rPr>
                        <w:rFonts w:ascii="Cambria Math" w:hAnsi="Cambria Math"/>
                        <w:sz w:val="24"/>
                      </w:rPr>
                      <m:t>x</m:t>
                    </m:r>
                    <m:r>
                      <m:rPr>
                        <m:sty m:val="p"/>
                      </m:rPr>
                      <w:rPr>
                        <w:rFonts w:ascii="Cambria Math" w:hAnsi="Cambria Math"/>
                        <w:sz w:val="24"/>
                      </w:rPr>
                      <m:t>,</m:t>
                    </m:r>
                    <m:r>
                      <m:rPr/>
                      <w:rPr>
                        <w:rFonts w:ascii="Cambria Math" w:hAnsi="Cambria Math"/>
                        <w:sz w:val="24"/>
                      </w:rPr>
                      <m:t>y</m:t>
                    </m:r>
                    <m:ctrlPr>
                      <w:rPr>
                        <w:rFonts w:ascii="Cambria Math" w:hAnsi="Cambria Math"/>
                        <w:sz w:val="24"/>
                      </w:rPr>
                    </m:ctrlPr>
                  </m:e>
                </m:d>
                <m:ctrlPr>
                  <w:rPr>
                    <w:rFonts w:ascii="Cambria Math" w:hAnsi="Cambria Math"/>
                    <w:sz w:val="24"/>
                  </w:rPr>
                </m:ctrlPr>
              </m:e>
            </m:nary>
            <m:ctrlPr>
              <w:rPr>
                <w:rFonts w:ascii="Cambria Math" w:hAnsi="Cambria Math"/>
                <w:sz w:val="24"/>
              </w:rPr>
            </m:ctrlPr>
          </m:e>
        </m:nary>
        <m:r>
          <m:rPr>
            <m:sty m:val="p"/>
          </m:rPr>
          <w:rPr>
            <w:rFonts w:ascii="Cambria Math" w:hAnsi="Cambria Math"/>
            <w:sz w:val="24"/>
          </w:rPr>
          <m:t xml:space="preserve">, </m:t>
        </m:r>
        <m:sSup>
          <m:sSupPr>
            <m:ctrlPr>
              <w:rPr>
                <w:rFonts w:ascii="Cambria Math" w:hAnsi="Cambria Math"/>
                <w:sz w:val="24"/>
              </w:rPr>
            </m:ctrlPr>
          </m:sSupPr>
          <m:e>
            <m:sSub>
              <m:sSubPr>
                <m:ctrlPr>
                  <w:rPr>
                    <w:rFonts w:ascii="Cambria Math" w:hAnsi="Cambria Math"/>
                    <w:sz w:val="24"/>
                  </w:rPr>
                </m:ctrlPr>
              </m:sSubPr>
              <m:e>
                <m:r>
                  <m:rPr/>
                  <w:rPr>
                    <w:rFonts w:ascii="Cambria Math" w:hAnsi="Cambria Math"/>
                    <w:sz w:val="24"/>
                  </w:rPr>
                  <m:t>σ</m:t>
                </m:r>
                <m:ctrlPr>
                  <w:rPr>
                    <w:rFonts w:ascii="Cambria Math" w:hAnsi="Cambria Math"/>
                    <w:sz w:val="24"/>
                  </w:rPr>
                </m:ctrlPr>
              </m:e>
              <m:sub>
                <m:r>
                  <m:rPr>
                    <m:sty m:val="p"/>
                  </m:rPr>
                  <w:rPr>
                    <w:rFonts w:ascii="Cambria Math" w:hAnsi="Cambria Math"/>
                    <w:sz w:val="24"/>
                  </w:rPr>
                  <m:t>lap</m:t>
                </m:r>
                <m:ctrlPr>
                  <w:rPr>
                    <w:rFonts w:ascii="Cambria Math" w:hAnsi="Cambria Math"/>
                    <w:sz w:val="24"/>
                  </w:rPr>
                </m:ctrlPr>
              </m:sub>
            </m:sSub>
            <m:ctrlPr>
              <w:rPr>
                <w:rFonts w:ascii="Cambria Math" w:hAnsi="Cambria Math"/>
                <w:sz w:val="24"/>
              </w:rPr>
            </m:ctrlPr>
          </m:e>
          <m:sup>
            <m:r>
              <m:rPr>
                <m:sty m:val="p"/>
              </m:rPr>
              <w:rPr>
                <w:rFonts w:ascii="Cambria Math" w:hAnsi="Cambria Math"/>
                <w:sz w:val="24"/>
              </w:rPr>
              <m:t>2</m:t>
            </m:r>
            <m:ctrlPr>
              <w:rPr>
                <w:rFonts w:ascii="Cambria Math" w:hAnsi="Cambria Math"/>
                <w:sz w:val="24"/>
              </w:rPr>
            </m:ctrlPr>
          </m:sup>
        </m:sSup>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1</m:t>
            </m:r>
            <m:ctrlPr>
              <w:rPr>
                <w:rFonts w:ascii="Cambria Math" w:hAnsi="Cambria Math"/>
                <w:sz w:val="24"/>
              </w:rPr>
            </m:ctrlPr>
          </m:num>
          <m:den>
            <m:r>
              <m:rPr/>
              <w:rPr>
                <w:rFonts w:ascii="Cambria Math" w:hAnsi="Cambria Math"/>
                <w:sz w:val="24"/>
              </w:rPr>
              <m:t>HW</m:t>
            </m:r>
            <m:ctrlPr>
              <w:rPr>
                <w:rFonts w:ascii="Cambria Math" w:hAnsi="Cambria Math"/>
                <w:sz w:val="24"/>
              </w:rPr>
            </m:ctrlPr>
          </m:den>
        </m:f>
        <m:nary>
          <m:naryPr>
            <m:chr m:val="∑"/>
            <m:ctrlPr>
              <w:rPr>
                <w:rFonts w:ascii="Cambria Math" w:hAnsi="Cambria Math"/>
                <w:sz w:val="24"/>
              </w:rPr>
            </m:ctrlPr>
          </m:naryPr>
          <m:sub>
            <m:r>
              <m:rPr/>
              <w:rPr>
                <w:rFonts w:ascii="Cambria Math" w:hAnsi="Cambria Math"/>
                <w:sz w:val="24"/>
              </w:rPr>
              <m:t>x</m:t>
            </m:r>
            <m:r>
              <m:rPr>
                <m:sty m:val="p"/>
              </m:rPr>
              <w:rPr>
                <w:rFonts w:ascii="Cambria Math" w:hAnsi="Cambria Math"/>
                <w:sz w:val="24"/>
              </w:rPr>
              <m:t>=1</m:t>
            </m:r>
            <m:ctrlPr>
              <w:rPr>
                <w:rFonts w:ascii="Cambria Math" w:hAnsi="Cambria Math"/>
                <w:sz w:val="24"/>
              </w:rPr>
            </m:ctrlPr>
          </m:sub>
          <m:sup>
            <m:r>
              <m:rPr/>
              <w:rPr>
                <w:rFonts w:ascii="Cambria Math" w:hAnsi="Cambria Math"/>
                <w:sz w:val="24"/>
              </w:rPr>
              <m:t>H</m:t>
            </m:r>
            <m:ctrlPr>
              <w:rPr>
                <w:rFonts w:ascii="Cambria Math" w:hAnsi="Cambria Math"/>
                <w:sz w:val="24"/>
              </w:rPr>
            </m:ctrlPr>
          </m:sup>
          <m:e>
            <m:nary>
              <m:naryPr>
                <m:chr m:val="∑"/>
                <m:ctrlPr>
                  <w:rPr>
                    <w:rFonts w:ascii="Cambria Math" w:hAnsi="Cambria Math"/>
                    <w:sz w:val="24"/>
                  </w:rPr>
                </m:ctrlPr>
              </m:naryPr>
              <m:sub>
                <m:r>
                  <m:rPr/>
                  <w:rPr>
                    <w:rFonts w:ascii="Cambria Math" w:hAnsi="Cambria Math"/>
                    <w:sz w:val="24"/>
                  </w:rPr>
                  <m:t>y</m:t>
                </m:r>
                <m:r>
                  <m:rPr>
                    <m:sty m:val="p"/>
                  </m:rPr>
                  <w:rPr>
                    <w:rFonts w:ascii="Cambria Math" w:hAnsi="Cambria Math"/>
                    <w:sz w:val="24"/>
                  </w:rPr>
                  <m:t>=1</m:t>
                </m:r>
                <m:ctrlPr>
                  <w:rPr>
                    <w:rFonts w:ascii="Cambria Math" w:hAnsi="Cambria Math"/>
                    <w:sz w:val="24"/>
                  </w:rPr>
                </m:ctrlPr>
              </m:sub>
              <m:sup>
                <m:r>
                  <m:rPr/>
                  <w:rPr>
                    <w:rFonts w:ascii="Cambria Math" w:hAnsi="Cambria Math"/>
                    <w:sz w:val="24"/>
                  </w:rPr>
                  <m:t>W</m:t>
                </m:r>
                <m:ctrlPr>
                  <w:rPr>
                    <w:rFonts w:ascii="Cambria Math" w:hAnsi="Cambria Math"/>
                    <w:sz w:val="24"/>
                  </w:rPr>
                </m:ctrlPr>
              </m:sup>
              <m:e>
                <m:sSup>
                  <m:sSupPr>
                    <m:ctrlPr>
                      <w:rPr>
                        <w:rFonts w:ascii="Cambria Math" w:hAnsi="Cambria Math"/>
                        <w:sz w:val="24"/>
                      </w:rPr>
                    </m:ctrlPr>
                  </m:sSupPr>
                  <m:e>
                    <m:d>
                      <m:dPr>
                        <m:ctrlPr>
                          <w:rPr>
                            <w:rFonts w:ascii="Cambria Math" w:hAnsi="Cambria Math"/>
                            <w:sz w:val="24"/>
                          </w:rPr>
                        </m:ctrlPr>
                      </m:dPr>
                      <m:e>
                        <m:r>
                          <m:rPr>
                            <m:sty m:val="p"/>
                          </m:rPr>
                          <w:rPr>
                            <w:rFonts w:ascii="Cambria Math" w:hAnsi="Cambria Math"/>
                            <w:sz w:val="24"/>
                          </w:rPr>
                          <m:t>lap</m:t>
                        </m:r>
                        <m:d>
                          <m:dPr>
                            <m:ctrlPr>
                              <w:rPr>
                                <w:rFonts w:ascii="Cambria Math" w:hAnsi="Cambria Math"/>
                                <w:sz w:val="24"/>
                              </w:rPr>
                            </m:ctrlPr>
                          </m:dPr>
                          <m:e>
                            <m:r>
                              <m:rPr/>
                              <w:rPr>
                                <w:rFonts w:ascii="Cambria Math" w:hAnsi="Cambria Math"/>
                                <w:sz w:val="24"/>
                              </w:rPr>
                              <m:t>x</m:t>
                            </m:r>
                            <m:r>
                              <m:rPr>
                                <m:sty m:val="p"/>
                              </m:rPr>
                              <w:rPr>
                                <w:rFonts w:ascii="Cambria Math" w:hAnsi="Cambria Math"/>
                                <w:sz w:val="24"/>
                              </w:rPr>
                              <m:t>,</m:t>
                            </m:r>
                            <m:r>
                              <m:rPr/>
                              <w:rPr>
                                <w:rFonts w:ascii="Cambria Math" w:hAnsi="Cambria Math"/>
                                <w:sz w:val="24"/>
                              </w:rPr>
                              <m:t>y</m:t>
                            </m:r>
                            <m:ctrlPr>
                              <w:rPr>
                                <w:rFonts w:ascii="Cambria Math" w:hAnsi="Cambria Math"/>
                                <w:sz w:val="24"/>
                              </w:rPr>
                            </m:ctrlPr>
                          </m:e>
                        </m:d>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μ</m:t>
                            </m:r>
                            <m:ctrlPr>
                              <w:rPr>
                                <w:rFonts w:ascii="Cambria Math" w:hAnsi="Cambria Math"/>
                                <w:sz w:val="24"/>
                              </w:rPr>
                            </m:ctrlPr>
                          </m:e>
                          <m:sub>
                            <m:r>
                              <m:rPr>
                                <m:sty m:val="p"/>
                              </m:rPr>
                              <w:rPr>
                                <w:rFonts w:ascii="Cambria Math" w:hAnsi="Cambria Math"/>
                                <w:sz w:val="24"/>
                              </w:rPr>
                              <m:t>lap</m:t>
                            </m:r>
                            <m:ctrlPr>
                              <w:rPr>
                                <w:rFonts w:ascii="Cambria Math" w:hAnsi="Cambria Math"/>
                                <w:sz w:val="24"/>
                              </w:rPr>
                            </m:ctrlPr>
                          </m:sub>
                        </m:sSub>
                        <m:ctrlPr>
                          <w:rPr>
                            <w:rFonts w:ascii="Cambria Math" w:hAnsi="Cambria Math"/>
                            <w:sz w:val="24"/>
                          </w:rPr>
                        </m:ctrlPr>
                      </m:e>
                    </m:d>
                    <m:ctrlPr>
                      <w:rPr>
                        <w:rFonts w:ascii="Cambria Math" w:hAnsi="Cambria Math"/>
                        <w:sz w:val="24"/>
                      </w:rPr>
                    </m:ctrlPr>
                  </m:e>
                  <m:sup>
                    <m:r>
                      <m:rPr>
                        <m:sty m:val="p"/>
                      </m:rPr>
                      <w:rPr>
                        <w:rFonts w:ascii="Cambria Math" w:hAnsi="Cambria Math"/>
                        <w:sz w:val="24"/>
                      </w:rPr>
                      <m:t>2</m:t>
                    </m:r>
                    <m:ctrlPr>
                      <w:rPr>
                        <w:rFonts w:ascii="Cambria Math" w:hAnsi="Cambria Math"/>
                        <w:sz w:val="24"/>
                      </w:rPr>
                    </m:ctrlPr>
                  </m:sup>
                </m:sSup>
                <m:ctrlPr>
                  <w:rPr>
                    <w:rFonts w:ascii="Cambria Math" w:hAnsi="Cambria Math"/>
                    <w:sz w:val="24"/>
                  </w:rPr>
                </m:ctrlPr>
              </m:e>
            </m:nary>
            <m:ctrlPr>
              <w:rPr>
                <w:rFonts w:ascii="Cambria Math" w:hAnsi="Cambria Math"/>
                <w:sz w:val="24"/>
              </w:rPr>
            </m:ctrlPr>
          </m:e>
        </m:nary>
      </m:oMath>
      <w:r>
        <w:rPr>
          <w:rFonts w:eastAsia="Times New Roman"/>
          <w:sz w:val="24"/>
        </w:rPr>
        <w:tab/>
      </w:r>
      <w:r>
        <w:rPr>
          <w:rFonts w:eastAsia="Times New Roman"/>
          <w:sz w:val="24"/>
        </w:rPr>
        <w:t>(3-8a)</w:t>
      </w:r>
    </w:p>
    <w:p w14:paraId="0BE7D104">
      <w:pPr>
        <w:tabs>
          <w:tab w:val="center" w:pos="4536"/>
          <w:tab w:val="right" w:pos="8712"/>
        </w:tabs>
        <w:spacing w:before="40" w:after="60"/>
        <w:jc w:val="left"/>
        <w:rPr>
          <w:sz w:val="24"/>
        </w:rPr>
      </w:pPr>
      <w:r>
        <w:rPr>
          <w:sz w:val="24"/>
        </w:rPr>
        <w:tab/>
      </w:r>
      <m:oMath>
        <m:sSub>
          <m:sSubPr>
            <m:ctrlPr>
              <w:rPr>
                <w:rFonts w:ascii="Cambria Math" w:hAnsi="Cambria Math"/>
                <w:sz w:val="24"/>
              </w:rPr>
            </m:ctrlPr>
          </m:sSubPr>
          <m:e>
            <m:r>
              <m:rPr/>
              <w:rPr>
                <w:rFonts w:ascii="Cambria Math" w:hAnsi="Cambria Math"/>
                <w:sz w:val="24"/>
              </w:rPr>
              <m:t>F</m:t>
            </m:r>
            <m:ctrlPr>
              <w:rPr>
                <w:rFonts w:ascii="Cambria Math" w:hAnsi="Cambria Math"/>
                <w:sz w:val="24"/>
              </w:rPr>
            </m:ctrlPr>
          </m:e>
          <m:sub>
            <m:r>
              <m:rPr>
                <m:sty m:val="p"/>
              </m:rPr>
              <w:rPr>
                <w:rFonts w:ascii="Cambria Math" w:hAnsi="Cambria Math"/>
                <w:sz w:val="24"/>
              </w:rPr>
              <m:t>payload</m:t>
            </m:r>
            <m:ctrlPr>
              <w:rPr>
                <w:rFonts w:ascii="Cambria Math" w:hAnsi="Cambria Math"/>
                <w:sz w:val="24"/>
              </w:rPr>
            </m:ctrlPr>
          </m:sub>
        </m:sSub>
        <m:r>
          <m:rPr>
            <m:sty m:val="p"/>
          </m:rPr>
          <w:rPr>
            <w:rFonts w:ascii="Cambria Math" w:hAnsi="Cambria Math"/>
            <w:sz w:val="24"/>
          </w:rPr>
          <m:t>=BLAKE2s</m:t>
        </m:r>
        <m:d>
          <m:dPr>
            <m:ctrlPr>
              <w:rPr>
                <w:rFonts w:ascii="Cambria Math" w:hAnsi="Cambria Math"/>
                <w:sz w:val="24"/>
              </w:rPr>
            </m:ctrlPr>
          </m:dPr>
          <m:e>
            <m:r>
              <m:rPr/>
              <w:rPr>
                <w:rFonts w:ascii="Cambria Math" w:hAnsi="Cambria Math"/>
                <w:sz w:val="24"/>
              </w:rPr>
              <m:t>H</m:t>
            </m:r>
            <m:d>
              <m:dPr>
                <m:ctrlPr>
                  <w:rPr>
                    <w:rFonts w:ascii="Cambria Math" w:hAnsi="Cambria Math"/>
                    <w:sz w:val="24"/>
                  </w:rPr>
                </m:ctrlPr>
              </m:dPr>
              <m:e>
                <m:r>
                  <m:rPr>
                    <m:sty m:val="p"/>
                  </m:rPr>
                  <w:rPr>
                    <w:rFonts w:ascii="Cambria Math" w:hAnsi="Cambria Math"/>
                    <w:sz w:val="24"/>
                  </w:rPr>
                  <m:t>share0</m:t>
                </m:r>
                <m:ctrlPr>
                  <w:rPr>
                    <w:rFonts w:ascii="Cambria Math" w:hAnsi="Cambria Math"/>
                    <w:sz w:val="24"/>
                  </w:rPr>
                </m:ctrlPr>
              </m:e>
            </m:d>
            <m:r>
              <m:rPr>
                <m:sty m:val="p"/>
              </m:rPr>
              <w:rPr>
                <w:rFonts w:ascii="Cambria Math" w:hAnsi="Cambria Math"/>
                <w:sz w:val="24"/>
              </w:rPr>
              <m:t>∥":"∥</m:t>
            </m:r>
            <m:r>
              <m:rPr/>
              <w:rPr>
                <w:rFonts w:ascii="Cambria Math" w:hAnsi="Cambria Math"/>
                <w:sz w:val="24"/>
              </w:rPr>
              <m:t>H</m:t>
            </m:r>
            <m:d>
              <m:dPr>
                <m:ctrlPr>
                  <w:rPr>
                    <w:rFonts w:ascii="Cambria Math" w:hAnsi="Cambria Math"/>
                    <w:sz w:val="24"/>
                  </w:rPr>
                </m:ctrlPr>
              </m:dPr>
              <m:e>
                <m:r>
                  <m:rPr>
                    <m:sty m:val="p"/>
                  </m:rPr>
                  <w:rPr>
                    <w:rFonts w:ascii="Cambria Math" w:hAnsi="Cambria Math"/>
                    <w:sz w:val="24"/>
                  </w:rPr>
                  <m:t>share1</m:t>
                </m:r>
                <m:ctrlPr>
                  <w:rPr>
                    <w:rFonts w:ascii="Cambria Math" w:hAnsi="Cambria Math"/>
                    <w:sz w:val="24"/>
                  </w:rPr>
                </m:ctrlPr>
              </m:e>
            </m:d>
            <m:ctrlPr>
              <w:rPr>
                <w:rFonts w:ascii="Cambria Math" w:hAnsi="Cambria Math"/>
                <w:sz w:val="24"/>
              </w:rPr>
            </m:ctrlPr>
          </m:e>
        </m:d>
      </m:oMath>
      <w:r>
        <w:rPr>
          <w:rFonts w:eastAsia="Times New Roman"/>
          <w:sz w:val="24"/>
        </w:rPr>
        <w:tab/>
      </w:r>
      <w:r>
        <w:rPr>
          <w:rFonts w:eastAsia="Times New Roman"/>
          <w:sz w:val="24"/>
        </w:rPr>
        <w:t>(3-9a)</w:t>
      </w:r>
    </w:p>
    <w:p w14:paraId="574A38A7">
      <w:pPr>
        <w:tabs>
          <w:tab w:val="center" w:pos="4536"/>
          <w:tab w:val="right" w:pos="8712"/>
        </w:tabs>
        <w:spacing w:before="40" w:after="60"/>
        <w:jc w:val="left"/>
        <w:rPr>
          <w:sz w:val="24"/>
        </w:rPr>
      </w:pPr>
      <w:r>
        <w:rPr>
          <w:sz w:val="24"/>
        </w:rPr>
        <w:tab/>
      </w:r>
      <m:oMath>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r>
              <m:rPr>
                <m:sty m:val="p"/>
              </m:rPr>
              <w:rPr>
                <w:rFonts w:ascii="Cambria Math" w:hAnsi="Cambria Math"/>
                <w:sz w:val="24"/>
              </w:rPr>
              <m:t>ip</m:t>
            </m:r>
            <m:ctrlPr>
              <w:rPr>
                <w:rFonts w:ascii="Cambria Math" w:hAnsi="Cambria Math"/>
                <w:sz w:val="24"/>
              </w:rPr>
            </m:ctrlPr>
          </m:sub>
        </m:sSub>
        <m:d>
          <m:dPr>
            <m:ctrlPr>
              <w:rPr>
                <w:rFonts w:ascii="Cambria Math" w:hAnsi="Cambria Math"/>
                <w:sz w:val="24"/>
              </w:rPr>
            </m:ctrlPr>
          </m:dPr>
          <m:e>
            <m:r>
              <m:rPr/>
              <w:rPr>
                <w:rFonts w:ascii="Cambria Math" w:hAnsi="Cambria Math"/>
                <w:sz w:val="24"/>
              </w:rPr>
              <m:t>t</m:t>
            </m:r>
            <m:r>
              <m:rPr>
                <m:sty m:val="p"/>
              </m:rPr>
              <w:rPr>
                <w:rFonts w:ascii="Cambria Math" w:hAnsi="Cambria Math"/>
                <w:sz w:val="24"/>
              </w:rPr>
              <m:t>;</m:t>
            </m:r>
            <m:r>
              <m:rPr/>
              <w:rPr>
                <w:rFonts w:ascii="Cambria Math" w:hAnsi="Cambria Math"/>
                <w:sz w:val="24"/>
              </w:rPr>
              <m:t>Δ</m:t>
            </m:r>
            <m:ctrlPr>
              <w:rPr>
                <w:rFonts w:ascii="Cambria Math" w:hAnsi="Cambria Math"/>
                <w:sz w:val="24"/>
              </w:rPr>
            </m:ctrlPr>
          </m:e>
        </m:d>
        <m:r>
          <m:rPr>
            <m:sty m:val="p"/>
          </m:rPr>
          <w:rPr>
            <w:rFonts w:ascii="Cambria Math" w:hAnsi="Cambria Math"/>
            <w:sz w:val="24"/>
          </w:rPr>
          <m:t>=</m:t>
        </m:r>
        <m:nary>
          <m:naryPr>
            <m:chr m:val="∑"/>
            <m:ctrlPr>
              <w:rPr>
                <w:rFonts w:ascii="Cambria Math" w:hAnsi="Cambria Math"/>
                <w:sz w:val="24"/>
              </w:rPr>
            </m:ctrlPr>
          </m:naryPr>
          <m:sub>
            <m:r>
              <m:rPr>
                <m:sty m:val="p"/>
              </m:rPr>
              <w:rPr>
                <w:rFonts w:ascii="Cambria Math" w:hAnsi="Cambria Math"/>
                <w:sz w:val="24"/>
              </w:rPr>
              <m:t>j</m:t>
            </m:r>
            <m:ctrlPr>
              <w:rPr>
                <w:rFonts w:ascii="Cambria Math" w:hAnsi="Cambria Math"/>
                <w:sz w:val="24"/>
              </w:rPr>
            </m:ctrlPr>
          </m:sub>
          <m:sup>
            <m:ctrlPr>
              <w:rPr>
                <w:rFonts w:ascii="Cambria Math" w:hAnsi="Cambria Math"/>
                <w:sz w:val="24"/>
              </w:rPr>
            </m:ctrlPr>
          </m:sup>
          <m:e>
            <m:r>
              <m:rPr>
                <m:sty m:val="p"/>
              </m:rPr>
              <w:rPr>
                <w:rFonts w:ascii="Cambria Math" w:hAnsi="Cambria Math"/>
                <w:sz w:val="24"/>
              </w:rPr>
              <m:t>1</m:t>
            </m:r>
            <m:d>
              <m:dPr>
                <m:begChr m:val="["/>
                <m:endChr m:val="]"/>
                <m:ctrlPr>
                  <w:rPr>
                    <w:rFonts w:ascii="Cambria Math" w:hAnsi="Cambria Math"/>
                    <w:sz w:val="24"/>
                  </w:rPr>
                </m:ctrlPr>
              </m:dPr>
              <m:e>
                <m:r>
                  <m:rPr/>
                  <w:rPr>
                    <w:rFonts w:ascii="Cambria Math" w:hAnsi="Cambria Math"/>
                    <w:sz w:val="24"/>
                  </w:rPr>
                  <m:t>t</m:t>
                </m:r>
                <m:r>
                  <m:rPr>
                    <m:sty m:val="p"/>
                  </m:rPr>
                  <w:rPr>
                    <w:rFonts w:ascii="Cambria Math" w:hAnsi="Cambria Math"/>
                    <w:sz w:val="24"/>
                  </w:rPr>
                  <m:t>−</m:t>
                </m:r>
                <m:r>
                  <m:rPr/>
                  <w:rPr>
                    <w:rFonts w:ascii="Cambria Math" w:hAnsi="Cambria Math"/>
                    <w:sz w:val="24"/>
                  </w:rPr>
                  <m:t>Δ</m:t>
                </m:r>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t</m:t>
                    </m:r>
                    <m:ctrlPr>
                      <w:rPr>
                        <w:rFonts w:ascii="Cambria Math" w:hAnsi="Cambria Math"/>
                        <w:sz w:val="24"/>
                      </w:rPr>
                    </m:ctrlPr>
                  </m:e>
                  <m:sub>
                    <m:r>
                      <m:rPr/>
                      <w:rPr>
                        <w:rFonts w:ascii="Cambria Math" w:hAnsi="Cambria Math"/>
                        <w:sz w:val="24"/>
                      </w:rPr>
                      <m:t>j</m:t>
                    </m:r>
                    <m:ctrlPr>
                      <w:rPr>
                        <w:rFonts w:ascii="Cambria Math" w:hAnsi="Cambria Math"/>
                        <w:sz w:val="24"/>
                      </w:rPr>
                    </m:ctrlPr>
                  </m:sub>
                </m:sSub>
                <m:r>
                  <m:rPr>
                    <m:sty m:val="p"/>
                  </m:rPr>
                  <w:rPr>
                    <w:rFonts w:ascii="Cambria Math" w:hAnsi="Cambria Math"/>
                    <w:sz w:val="24"/>
                  </w:rPr>
                  <m:t>≤</m:t>
                </m:r>
                <m:r>
                  <m:rPr/>
                  <w:rPr>
                    <w:rFonts w:ascii="Cambria Math" w:hAnsi="Cambria Math"/>
                    <w:sz w:val="24"/>
                  </w:rPr>
                  <m:t>t</m:t>
                </m:r>
                <m:ctrlPr>
                  <w:rPr>
                    <w:rFonts w:ascii="Cambria Math" w:hAnsi="Cambria Math"/>
                    <w:sz w:val="24"/>
                  </w:rPr>
                </m:ctrlPr>
              </m:e>
            </m:d>
            <m:ctrlPr>
              <w:rPr>
                <w:rFonts w:ascii="Cambria Math" w:hAnsi="Cambria Math"/>
                <w:sz w:val="24"/>
              </w:rPr>
            </m:ctrlPr>
          </m:e>
        </m:nary>
        <m:r>
          <m:rPr>
            <m:sty m:val="p"/>
          </m:rPr>
          <w:rPr>
            <w:rFonts w:ascii="Cambria Math" w:hAnsi="Cambria Math"/>
            <w:sz w:val="24"/>
          </w:rPr>
          <m:t xml:space="preserve">, </m:t>
        </m:r>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r>
              <m:rPr>
                <m:sty m:val="p"/>
              </m:rPr>
              <w:rPr>
                <w:rFonts w:ascii="Cambria Math" w:hAnsi="Cambria Math"/>
                <w:sz w:val="24"/>
              </w:rPr>
              <m:t>ip</m:t>
            </m:r>
            <m:ctrlPr>
              <w:rPr>
                <w:rFonts w:ascii="Cambria Math" w:hAnsi="Cambria Math"/>
                <w:sz w:val="24"/>
              </w:rPr>
            </m:ctrlPr>
          </m:sub>
        </m:sSub>
        <m:d>
          <m:dPr>
            <m:ctrlPr>
              <w:rPr>
                <w:rFonts w:ascii="Cambria Math" w:hAnsi="Cambria Math"/>
                <w:sz w:val="24"/>
              </w:rPr>
            </m:ctrlPr>
          </m:dPr>
          <m:e>
            <m:r>
              <m:rPr/>
              <w:rPr>
                <w:rFonts w:ascii="Cambria Math" w:hAnsi="Cambria Math"/>
                <w:sz w:val="24"/>
              </w:rPr>
              <m:t>t</m:t>
            </m:r>
            <m:r>
              <m:rPr>
                <m:sty m:val="p"/>
              </m:rPr>
              <w:rPr>
                <w:rFonts w:ascii="Cambria Math" w:hAnsi="Cambria Math"/>
                <w:sz w:val="24"/>
              </w:rPr>
              <m:t>;</m:t>
            </m:r>
            <m:r>
              <m:rPr/>
              <w:rPr>
                <w:rFonts w:ascii="Cambria Math" w:hAnsi="Cambria Math"/>
                <w:sz w:val="24"/>
              </w:rPr>
              <m:t>Δ</m:t>
            </m:r>
            <m:ctrlPr>
              <w:rPr>
                <w:rFonts w:ascii="Cambria Math" w:hAnsi="Cambria Math"/>
                <w:sz w:val="24"/>
              </w:rPr>
            </m:ctrlPr>
          </m:e>
        </m:d>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R</m:t>
            </m:r>
            <m:ctrlPr>
              <w:rPr>
                <w:rFonts w:ascii="Cambria Math" w:hAnsi="Cambria Math"/>
                <w:sz w:val="24"/>
              </w:rPr>
            </m:ctrlPr>
          </m:e>
          <m:sub>
            <m:r>
              <m:rPr>
                <m:sty m:val="p"/>
              </m:rPr>
              <w:rPr>
                <w:rFonts w:ascii="Cambria Math" w:hAnsi="Cambria Math"/>
                <w:sz w:val="24"/>
              </w:rPr>
              <m:t>ip</m:t>
            </m:r>
            <m:ctrlPr>
              <w:rPr>
                <w:rFonts w:ascii="Cambria Math" w:hAnsi="Cambria Math"/>
                <w:sz w:val="24"/>
              </w:rPr>
            </m:ctrlPr>
          </m:sub>
        </m:sSub>
        <m:r>
          <m:rPr>
            <m:sty m:val="p"/>
          </m:rPr>
          <w:rPr>
            <w:rFonts w:ascii="Cambria Math" w:hAnsi="Cambria Math"/>
            <w:sz w:val="24"/>
          </w:rPr>
          <m:t xml:space="preserve">, </m:t>
        </m:r>
        <m:sSubSup>
          <m:sSubSupPr>
            <m:ctrlPr>
              <w:rPr>
                <w:rFonts w:ascii="Cambria Math" w:hAnsi="Cambria Math"/>
                <w:sz w:val="24"/>
              </w:rPr>
            </m:ctrlPr>
          </m:sSubSupPr>
          <m:e>
            <m:r>
              <m:rPr/>
              <w:rPr>
                <w:rFonts w:ascii="Cambria Math" w:hAnsi="Cambria Math"/>
                <w:sz w:val="24"/>
              </w:rPr>
              <m:t>c</m:t>
            </m:r>
            <m:ctrlPr>
              <w:rPr>
                <w:rFonts w:ascii="Cambria Math" w:hAnsi="Cambria Math"/>
                <w:sz w:val="24"/>
              </w:rPr>
            </m:ctrlPr>
          </m:e>
          <m:sub>
            <m:r>
              <m:rPr>
                <m:sty m:val="p"/>
              </m:rPr>
              <w:rPr>
                <w:rFonts w:ascii="Cambria Math" w:hAnsi="Cambria Math"/>
                <w:sz w:val="24"/>
              </w:rPr>
              <m:t>ip</m:t>
            </m:r>
            <m:ctrlPr>
              <w:rPr>
                <w:rFonts w:ascii="Cambria Math" w:hAnsi="Cambria Math"/>
                <w:sz w:val="24"/>
              </w:rPr>
            </m:ctrlPr>
          </m:sub>
          <m:sup>
            <m:r>
              <m:rPr>
                <m:sty m:val="p"/>
              </m:rPr>
              <w:rPr>
                <w:rFonts w:ascii="Cambria Math" w:hAnsi="Cambria Math"/>
                <w:sz w:val="24"/>
              </w:rPr>
              <m:t>inflight</m:t>
            </m:r>
            <m:ctrlPr>
              <w:rPr>
                <w:rFonts w:ascii="Cambria Math" w:hAnsi="Cambria Math"/>
                <w:sz w:val="24"/>
              </w:rPr>
            </m:ctrlPr>
          </m:sup>
        </m:sSubSup>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C</m:t>
            </m:r>
            <m:ctrlPr>
              <w:rPr>
                <w:rFonts w:ascii="Cambria Math" w:hAnsi="Cambria Math"/>
                <w:sz w:val="24"/>
              </w:rPr>
            </m:ctrlPr>
          </m:e>
          <m:sub>
            <m:r>
              <m:rPr>
                <m:sty m:val="p"/>
              </m:rPr>
              <w:rPr>
                <w:rFonts w:ascii="Cambria Math" w:hAnsi="Cambria Math"/>
                <w:sz w:val="24"/>
              </w:rPr>
              <m:t>ip</m:t>
            </m:r>
            <m:ctrlPr>
              <w:rPr>
                <w:rFonts w:ascii="Cambria Math" w:hAnsi="Cambria Math"/>
                <w:sz w:val="24"/>
              </w:rPr>
            </m:ctrlPr>
          </m:sub>
        </m:sSub>
      </m:oMath>
      <w:r>
        <w:rPr>
          <w:rFonts w:eastAsia="Times New Roman"/>
          <w:sz w:val="24"/>
        </w:rPr>
        <w:tab/>
      </w:r>
      <w:r>
        <w:rPr>
          <w:rFonts w:eastAsia="Times New Roman"/>
          <w:sz w:val="24"/>
        </w:rPr>
        <w:t>(3-9b)</w:t>
      </w:r>
    </w:p>
    <w:p w14:paraId="556C5355">
      <w:pPr>
        <w:spacing w:line="360" w:lineRule="auto"/>
        <w:ind w:firstLine="480"/>
      </w:pPr>
      <w:r>
        <w:rPr>
          <w:rFonts w:ascii="宋体" w:hAnsi="宋体"/>
          <w:sz w:val="24"/>
        </w:rPr>
        <w:t>式（3-6a）给出最终类别 logit 的两方恢复关系；式（3-8a）将离散拉普拉斯响应进一步归约为方差指标，用于度量局部纹理与边缘强度；式（3-9a）与式（3-9b）分别对应载荷指纹去重与来源地址限频 / 并发守卫，从而把服务端控制面中的“去重、限频、准入”逻辑形式化为可验证约束。</w:t>
      </w:r>
    </w:p>
    <w:p w14:paraId="37C5B69A">
      <w:pPr>
        <w:spacing w:line="360" w:lineRule="auto"/>
        <w:ind w:firstLine="480"/>
        <w:rPr>
          <w:rFonts w:ascii="宋体" w:hAnsi="宋体"/>
          <w:sz w:val="24"/>
        </w:rPr>
      </w:pPr>
      <w:r>
        <w:rPr>
          <w:rFonts w:ascii="宋体" w:hAnsi="宋体"/>
          <w:sz w:val="24"/>
        </w:rPr>
        <w:t xml:space="preserve">其中，服务端会先对 share 执行内存对齐复制，再将绝对值小于 </w:t>
      </w:r>
      <m:oMath>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−30</m:t>
            </m:r>
            <m:ctrlPr>
              <w:rPr>
                <w:rFonts w:ascii="Cambria Math" w:hAnsi="Cambria Math"/>
              </w:rPr>
            </m:ctrlPr>
          </m:sup>
        </m:sSup>
      </m:oMath>
      <w:r>
        <w:rPr>
          <w:rFonts w:ascii="宋体" w:hAnsi="宋体"/>
          <w:sz w:val="24"/>
        </w:rPr>
        <w:t>的极小值刷新为零，以切断次正规数带来的微代码异常路径；随后检查 share 与重构张量是否存在非有限值，以及 share 幅值是否超过</w:t>
      </w:r>
      <m:oMath>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3</m:t>
            </m:r>
            <m:ctrlPr>
              <w:rPr>
                <w:rFonts w:ascii="Cambria Math" w:hAnsi="Cambria Math"/>
              </w:rPr>
            </m:ctrlPr>
          </m:sup>
        </m:sSup>
      </m:oMath>
      <w:r>
        <w:rPr>
          <w:rFonts w:ascii="宋体" w:hAnsi="宋体"/>
          <w:sz w:val="24"/>
        </w:rPr>
        <w:t xml:space="preserve">。对客户端与服务端分别得到的质量摘要 </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k</m:t>
            </m:r>
            <m:ctrlPr>
              <w:rPr>
                <w:rFonts w:ascii="Cambria Math" w:hAnsi="Cambria Math"/>
              </w:rPr>
            </m:ctrlPr>
          </m:sub>
        </m:sSub>
      </m:oMath>
      <w:r>
        <w:rPr>
          <w:rFonts w:ascii="宋体" w:hAnsi="宋体"/>
          <w:sz w:val="24"/>
        </w:rPr>
        <w:t>，只在基础连续数值出现显著偏离时才标记可疑漂移，而不会仅凭离散风险标签不一致就直接判定篡改。</w:t>
      </w:r>
    </w:p>
    <w:p w14:paraId="079929A1">
      <w:pPr>
        <w:spacing w:line="360" w:lineRule="auto"/>
        <w:ind w:firstLine="480"/>
        <w:rPr>
          <w:rFonts w:hint="eastAsia" w:ascii="宋体" w:hAnsi="宋体"/>
          <w:sz w:val="24"/>
        </w:rPr>
      </w:pPr>
      <w:r>
        <w:rPr>
          <w:rFonts w:hint="eastAsia" w:ascii="宋体" w:hAnsi="宋体"/>
          <w:sz w:val="24"/>
        </w:rPr>
        <w:t>为了把服务端权威快检、重放防护、并发守卫与审计落盘过程概括为可执行步骤，算法3给出服务器侧的统一验证与审计流程。</w:t>
      </w:r>
    </w:p>
    <w:p w14:paraId="211D7C45">
      <w:pPr>
        <w:spacing w:line="360" w:lineRule="auto"/>
        <w:ind w:firstLine="480"/>
        <w:rPr>
          <w:rFonts w:hint="eastAsia" w:ascii="宋体" w:hAnsi="宋体"/>
          <w:sz w:val="24"/>
        </w:rPr>
      </w:pPr>
      <w:r>
        <w:drawing>
          <wp:inline distT="0" distB="0" distL="114300" distR="114300">
            <wp:extent cx="5596255" cy="2949575"/>
            <wp:effectExtent l="0" t="0" r="4445" b="952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2"/>
                    <a:stretch>
                      <a:fillRect/>
                    </a:stretch>
                  </pic:blipFill>
                  <pic:spPr>
                    <a:xfrm>
                      <a:off x="0" y="0"/>
                      <a:ext cx="5596255" cy="2949575"/>
                    </a:xfrm>
                    <a:prstGeom prst="rect">
                      <a:avLst/>
                    </a:prstGeom>
                    <a:noFill/>
                    <a:ln>
                      <a:noFill/>
                    </a:ln>
                  </pic:spPr>
                </pic:pic>
              </a:graphicData>
            </a:graphic>
          </wp:inline>
        </w:drawing>
      </w:r>
    </w:p>
    <w:p w14:paraId="36FAF9CD">
      <w:pPr>
        <w:spacing w:line="360" w:lineRule="auto"/>
        <w:ind w:firstLine="480"/>
        <w:rPr>
          <w:rFonts w:hint="eastAsia" w:ascii="宋体" w:hAnsi="宋体"/>
          <w:sz w:val="24"/>
        </w:rPr>
      </w:pPr>
      <w:r>
        <w:rPr>
          <w:rFonts w:ascii="宋体" w:hAnsi="宋体"/>
          <w:sz w:val="24"/>
        </w:rPr>
        <w:t>为便于对应服务端控制面的实际落地点，图 3-3 将权威快检与审计闭环拆解为原始请求体读取、协议结构预检、JSON 长度门、share 哈希校验、张量快检、重放并发守卫与审计落盘等连续门控步骤。该图与本节公式部分共同说明：客户端声明不会直接成为最终裁决依据，请求只有在全部检查通过后才会进入 SPU 密态执行域。</w:t>
      </w:r>
    </w:p>
    <w:p w14:paraId="554E0EBB">
      <w:pPr>
        <w:spacing w:line="360" w:lineRule="auto"/>
        <w:ind w:firstLine="480"/>
        <w:rPr>
          <w:rFonts w:hint="eastAsia" w:ascii="宋体" w:hAnsi="宋体"/>
          <w:sz w:val="24"/>
        </w:rPr>
      </w:pPr>
      <w:r>
        <w:rPr>
          <w:rFonts w:ascii="宋体" w:hAnsi="宋体" w:cs="宋体"/>
          <w:sz w:val="24"/>
        </w:rPr>
        <w:t xml:space="preserve">本章出现的核心数学符号及其含义汇总如表 </w:t>
      </w:r>
      <w:r>
        <w:rPr>
          <w:rFonts w:hint="eastAsia" w:ascii="宋体" w:hAnsi="宋体" w:cs="宋体"/>
          <w:sz w:val="24"/>
        </w:rPr>
        <w:t>5</w:t>
      </w:r>
      <w:r>
        <w:rPr>
          <w:rFonts w:ascii="宋体" w:hAnsi="宋体" w:cs="宋体"/>
          <w:sz w:val="24"/>
        </w:rPr>
        <w:t xml:space="preserve"> 所示。</w:t>
      </w:r>
    </w:p>
    <w:p w14:paraId="2E97ECEF">
      <w:pPr>
        <w:spacing w:line="360" w:lineRule="auto"/>
        <w:jc w:val="center"/>
      </w:pPr>
      <w:r>
        <w:drawing>
          <wp:inline distT="0" distB="0" distL="114300" distR="114300">
            <wp:extent cx="5590540" cy="3006090"/>
            <wp:effectExtent l="0" t="0" r="1016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5590540" cy="3006090"/>
                    </a:xfrm>
                    <a:prstGeom prst="rect">
                      <a:avLst/>
                    </a:prstGeom>
                    <a:noFill/>
                    <a:ln>
                      <a:noFill/>
                    </a:ln>
                  </pic:spPr>
                </pic:pic>
              </a:graphicData>
            </a:graphic>
          </wp:inline>
        </w:drawing>
      </w:r>
    </w:p>
    <w:p w14:paraId="15694DDD">
      <w:pPr>
        <w:spacing w:line="288" w:lineRule="auto"/>
        <w:jc w:val="left"/>
        <w:rPr>
          <w:sz w:val="24"/>
        </w:rPr>
      </w:pPr>
      <w:r>
        <w:rPr>
          <w:rFonts w:ascii="宋体" w:hAnsi="宋体"/>
          <w:sz w:val="24"/>
        </w:rPr>
        <w:t>图3-3 服务端权威快检与审计闭环图：请求仅在全部门控通过后进入 SPU，任一层失败均立即阻断并记录审计结果。</w:t>
      </w:r>
    </w:p>
    <w:p w14:paraId="03DCE43E">
      <w:pPr>
        <w:spacing w:line="288" w:lineRule="auto"/>
        <w:jc w:val="center"/>
        <w:rPr>
          <w:sz w:val="24"/>
        </w:rPr>
      </w:pPr>
      <w:r>
        <w:rPr>
          <w:rFonts w:ascii="宋体" w:hAnsi="宋体"/>
          <w:sz w:val="24"/>
        </w:rPr>
        <w:t>表</w:t>
      </w:r>
      <w:r>
        <w:rPr>
          <w:rFonts w:hint="eastAsia" w:ascii="宋体" w:hAnsi="宋体"/>
          <w:sz w:val="24"/>
        </w:rPr>
        <w:t>5</w:t>
      </w:r>
      <w:r>
        <w:rPr>
          <w:rFonts w:ascii="宋体" w:hAnsi="宋体"/>
          <w:sz w:val="24"/>
        </w:rPr>
        <w:t xml:space="preserve"> 第三章关键符号说明</w:t>
      </w:r>
    </w:p>
    <w:tbl>
      <w:tblPr>
        <w:tblStyle w:val="7"/>
        <w:tblW w:w="8820" w:type="dxa"/>
        <w:jc w:val="center"/>
        <w:tblLayout w:type="autofit"/>
        <w:tblCellMar>
          <w:top w:w="0" w:type="dxa"/>
          <w:left w:w="108" w:type="dxa"/>
          <w:bottom w:w="0" w:type="dxa"/>
          <w:right w:w="108" w:type="dxa"/>
        </w:tblCellMar>
      </w:tblPr>
      <w:tblGrid>
        <w:gridCol w:w="2460"/>
        <w:gridCol w:w="4073"/>
        <w:gridCol w:w="2287"/>
      </w:tblGrid>
      <w:tr w14:paraId="6CA8565A">
        <w:tblPrEx>
          <w:tblCellMar>
            <w:top w:w="0" w:type="dxa"/>
            <w:left w:w="108" w:type="dxa"/>
            <w:bottom w:w="0" w:type="dxa"/>
            <w:right w:w="108" w:type="dxa"/>
          </w:tblCellMar>
        </w:tblPrEx>
        <w:trPr>
          <w:tblHeader/>
          <w:jc w:val="center"/>
        </w:trPr>
        <w:tc>
          <w:tcPr>
            <w:tcW w:w="2460" w:type="dxa"/>
            <w:tcBorders>
              <w:top w:val="single" w:color="auto" w:sz="12" w:space="0"/>
              <w:left w:val="nil"/>
              <w:bottom w:val="nil"/>
              <w:right w:val="nil"/>
            </w:tcBorders>
            <w:tcMar>
              <w:top w:w="-1" w:type="dxa"/>
              <w:left w:w="-1" w:type="dxa"/>
              <w:bottom w:w="-1" w:type="dxa"/>
              <w:right w:w="-1" w:type="dxa"/>
            </w:tcMar>
            <w:vAlign w:val="center"/>
          </w:tcPr>
          <w:p w14:paraId="4C2CC08A">
            <w:pPr>
              <w:snapToGrid w:val="0"/>
              <w:jc w:val="center"/>
              <w:rPr>
                <w:rFonts w:ascii="宋体"/>
                <w:b/>
                <w:sz w:val="24"/>
              </w:rPr>
            </w:pPr>
            <w:r>
              <w:rPr>
                <w:rFonts w:ascii="宋体" w:hAnsi="宋体"/>
                <w:b/>
                <w:sz w:val="24"/>
              </w:rPr>
              <w:t>符号</w:t>
            </w:r>
          </w:p>
        </w:tc>
        <w:tc>
          <w:tcPr>
            <w:tcW w:w="4073" w:type="dxa"/>
            <w:tcBorders>
              <w:top w:val="single" w:color="auto" w:sz="12" w:space="0"/>
              <w:left w:val="nil"/>
              <w:bottom w:val="nil"/>
              <w:right w:val="nil"/>
            </w:tcBorders>
            <w:tcMar>
              <w:top w:w="-1" w:type="dxa"/>
              <w:left w:w="-1" w:type="dxa"/>
              <w:bottom w:w="-1" w:type="dxa"/>
              <w:right w:w="-1" w:type="dxa"/>
            </w:tcMar>
            <w:vAlign w:val="center"/>
          </w:tcPr>
          <w:p w14:paraId="6BE359CD">
            <w:pPr>
              <w:snapToGrid w:val="0"/>
              <w:jc w:val="center"/>
              <w:rPr>
                <w:rFonts w:ascii="宋体"/>
                <w:b/>
                <w:sz w:val="24"/>
              </w:rPr>
            </w:pPr>
            <w:r>
              <w:rPr>
                <w:rFonts w:ascii="宋体" w:hAnsi="宋体"/>
                <w:b/>
                <w:sz w:val="24"/>
              </w:rPr>
              <w:t>含义</w:t>
            </w:r>
          </w:p>
        </w:tc>
        <w:tc>
          <w:tcPr>
            <w:tcW w:w="2287" w:type="dxa"/>
            <w:tcBorders>
              <w:top w:val="single" w:color="auto" w:sz="12" w:space="0"/>
              <w:left w:val="nil"/>
              <w:bottom w:val="nil"/>
              <w:right w:val="nil"/>
            </w:tcBorders>
            <w:tcMar>
              <w:top w:w="-1" w:type="dxa"/>
              <w:left w:w="-1" w:type="dxa"/>
              <w:bottom w:w="-1" w:type="dxa"/>
              <w:right w:w="-1" w:type="dxa"/>
            </w:tcMar>
            <w:vAlign w:val="center"/>
          </w:tcPr>
          <w:p w14:paraId="0BF90E5A">
            <w:pPr>
              <w:snapToGrid w:val="0"/>
              <w:jc w:val="center"/>
              <w:rPr>
                <w:rFonts w:ascii="宋体"/>
                <w:b/>
                <w:sz w:val="24"/>
              </w:rPr>
            </w:pPr>
            <w:r>
              <w:rPr>
                <w:rFonts w:ascii="宋体" w:hAnsi="宋体"/>
                <w:b/>
                <w:sz w:val="24"/>
              </w:rPr>
              <w:t>出现位置</w:t>
            </w:r>
          </w:p>
        </w:tc>
      </w:tr>
      <w:tr w14:paraId="79B3D81A">
        <w:tblPrEx>
          <w:tblCellMar>
            <w:top w:w="0" w:type="dxa"/>
            <w:left w:w="108" w:type="dxa"/>
            <w:bottom w:w="0" w:type="dxa"/>
            <w:right w:w="108" w:type="dxa"/>
          </w:tblCellMar>
        </w:tblPrEx>
        <w:trPr>
          <w:jc w:val="center"/>
        </w:trPr>
        <w:tc>
          <w:tcPr>
            <w:tcW w:w="2460" w:type="dxa"/>
            <w:tcBorders>
              <w:top w:val="single" w:color="auto" w:sz="4" w:space="0"/>
              <w:left w:val="nil"/>
              <w:bottom w:val="nil"/>
              <w:right w:val="nil"/>
            </w:tcBorders>
            <w:tcMar>
              <w:top w:w="-1" w:type="dxa"/>
              <w:left w:w="-1" w:type="dxa"/>
              <w:bottom w:w="-1" w:type="dxa"/>
              <w:right w:w="-1" w:type="dxa"/>
            </w:tcMar>
            <w:vAlign w:val="center"/>
          </w:tcPr>
          <w:p w14:paraId="1105BBBA">
            <w:pPr>
              <w:snapToGrid w:val="0"/>
              <w:jc w:val="center"/>
              <w:rPr>
                <w:rFonts w:ascii="宋体"/>
                <w:sz w:val="24"/>
              </w:rPr>
            </w:pPr>
            <m:oMathPara>
              <m:oMath>
                <m:sSup>
                  <m:sSupPr>
                    <m:ctrlPr>
                      <w:rPr>
                        <w:rFonts w:ascii="Cambria Math" w:hAnsi="Cambria Math"/>
                        <w:sz w:val="24"/>
                      </w:rPr>
                    </m:ctrlPr>
                  </m:sSupPr>
                  <m:e>
                    <m:r>
                      <m:rPr/>
                      <w:rPr>
                        <w:rFonts w:ascii="Cambria Math" w:hAnsi="Cambria Math"/>
                        <w:sz w:val="24"/>
                      </w:rPr>
                      <m:t>s</m:t>
                    </m:r>
                    <m:ctrlPr>
                      <w:rPr>
                        <w:rFonts w:ascii="Cambria Math" w:hAnsi="Cambria Math"/>
                        <w:sz w:val="24"/>
                      </w:rPr>
                    </m:ctrlPr>
                  </m:e>
                  <m:sup>
                    <m:d>
                      <m:dPr>
                        <m:ctrlPr>
                          <w:rPr>
                            <w:rFonts w:ascii="Cambria Math" w:hAnsi="Cambria Math"/>
                            <w:sz w:val="24"/>
                          </w:rPr>
                        </m:ctrlPr>
                      </m:dPr>
                      <m:e>
                        <m:r>
                          <m:rPr/>
                          <w:rPr>
                            <w:rFonts w:ascii="Cambria Math" w:hAnsi="Cambria Math"/>
                            <w:sz w:val="24"/>
                          </w:rPr>
                          <m:t>l</m:t>
                        </m:r>
                        <m:ctrlPr>
                          <w:rPr>
                            <w:rFonts w:ascii="Cambria Math" w:hAnsi="Cambria Math"/>
                            <w:sz w:val="24"/>
                          </w:rPr>
                        </m:ctrlPr>
                      </m:e>
                    </m:d>
                    <m:ctrlPr>
                      <w:rPr>
                        <w:rFonts w:ascii="Cambria Math" w:hAnsi="Cambria Math"/>
                        <w:sz w:val="24"/>
                      </w:rPr>
                    </m:ctrlPr>
                  </m:sup>
                </m:sSup>
              </m:oMath>
            </m:oMathPara>
          </w:p>
        </w:tc>
        <w:tc>
          <w:tcPr>
            <w:tcW w:w="4073" w:type="dxa"/>
            <w:tcBorders>
              <w:top w:val="single" w:color="auto" w:sz="4" w:space="0"/>
              <w:left w:val="nil"/>
              <w:bottom w:val="nil"/>
              <w:right w:val="nil"/>
            </w:tcBorders>
            <w:tcMar>
              <w:top w:w="-1" w:type="dxa"/>
              <w:left w:w="-1" w:type="dxa"/>
              <w:bottom w:w="-1" w:type="dxa"/>
              <w:right w:w="-1" w:type="dxa"/>
            </w:tcMar>
            <w:vAlign w:val="center"/>
          </w:tcPr>
          <w:p w14:paraId="23FF79F5">
            <w:pPr>
              <w:snapToGrid w:val="0"/>
              <w:jc w:val="left"/>
              <w:rPr>
                <w:rFonts w:ascii="宋体"/>
                <w:sz w:val="24"/>
              </w:rPr>
            </w:pPr>
            <w:r>
              <w:rPr>
                <w:rFonts w:ascii="宋体" w:hAnsi="宋体"/>
                <w:sz w:val="24"/>
              </w:rPr>
              <w:t>第 l 个剪枝 stage 的词元得分向量</w:t>
            </w:r>
          </w:p>
        </w:tc>
        <w:tc>
          <w:tcPr>
            <w:tcW w:w="2287" w:type="dxa"/>
            <w:tcBorders>
              <w:top w:val="single" w:color="auto" w:sz="4" w:space="0"/>
              <w:left w:val="nil"/>
              <w:bottom w:val="nil"/>
              <w:right w:val="nil"/>
            </w:tcBorders>
            <w:tcMar>
              <w:top w:w="-1" w:type="dxa"/>
              <w:left w:w="-1" w:type="dxa"/>
              <w:bottom w:w="-1" w:type="dxa"/>
              <w:right w:w="-1" w:type="dxa"/>
            </w:tcMar>
            <w:vAlign w:val="center"/>
          </w:tcPr>
          <w:p w14:paraId="1AF66600">
            <w:pPr>
              <w:snapToGrid w:val="0"/>
              <w:jc w:val="left"/>
              <w:rPr>
                <w:rFonts w:ascii="宋体"/>
                <w:sz w:val="24"/>
              </w:rPr>
            </w:pPr>
            <w:r>
              <w:rPr>
                <w:rFonts w:ascii="宋体" w:hAnsi="宋体"/>
                <w:sz w:val="24"/>
              </w:rPr>
              <w:t>式(3-1)</w:t>
            </w:r>
          </w:p>
        </w:tc>
      </w:tr>
      <w:tr w14:paraId="7CEB6AE2">
        <w:tblPrEx>
          <w:tblCellMar>
            <w:top w:w="0" w:type="dxa"/>
            <w:left w:w="108" w:type="dxa"/>
            <w:bottom w:w="0" w:type="dxa"/>
            <w:right w:w="108" w:type="dxa"/>
          </w:tblCellMar>
        </w:tblPrEx>
        <w:trPr>
          <w:jc w:val="center"/>
        </w:trPr>
        <w:tc>
          <w:tcPr>
            <w:tcW w:w="2460" w:type="dxa"/>
            <w:tcBorders>
              <w:top w:val="nil"/>
              <w:left w:val="nil"/>
              <w:bottom w:val="nil"/>
              <w:right w:val="nil"/>
            </w:tcBorders>
            <w:tcMar>
              <w:top w:w="-1" w:type="dxa"/>
              <w:left w:w="-1" w:type="dxa"/>
              <w:bottom w:w="-1" w:type="dxa"/>
              <w:right w:w="-1" w:type="dxa"/>
            </w:tcMar>
            <w:vAlign w:val="center"/>
          </w:tcPr>
          <w:p w14:paraId="03764FF1">
            <w:pPr>
              <w:snapToGrid w:val="0"/>
              <w:jc w:val="center"/>
              <w:rPr>
                <w:rFonts w:ascii="宋体"/>
                <w:sz w:val="24"/>
              </w:rPr>
            </w:pPr>
            <m:oMathPara>
              <m:oMath>
                <m:sSup>
                  <m:sSupPr>
                    <m:ctrlPr>
                      <w:rPr>
                        <w:rFonts w:ascii="Cambria Math" w:hAnsi="Cambria Math"/>
                        <w:sz w:val="24"/>
                      </w:rPr>
                    </m:ctrlPr>
                  </m:sSupPr>
                  <m:e>
                    <m:r>
                      <m:rPr/>
                      <w:rPr>
                        <w:rFonts w:ascii="Cambria Math" w:hAnsi="Cambria Math"/>
                        <w:sz w:val="24"/>
                      </w:rPr>
                      <m:t>K</m:t>
                    </m:r>
                    <m:ctrlPr>
                      <w:rPr>
                        <w:rFonts w:ascii="Cambria Math" w:hAnsi="Cambria Math"/>
                        <w:sz w:val="24"/>
                      </w:rPr>
                    </m:ctrlPr>
                  </m:e>
                  <m:sup>
                    <m:d>
                      <m:dPr>
                        <m:ctrlPr>
                          <w:rPr>
                            <w:rFonts w:ascii="Cambria Math" w:hAnsi="Cambria Math"/>
                            <w:sz w:val="24"/>
                          </w:rPr>
                        </m:ctrlPr>
                      </m:dPr>
                      <m:e>
                        <m:r>
                          <m:rPr/>
                          <w:rPr>
                            <w:rFonts w:ascii="Cambria Math" w:hAnsi="Cambria Math"/>
                            <w:sz w:val="24"/>
                          </w:rPr>
                          <m:t>l</m:t>
                        </m:r>
                        <m:ctrlPr>
                          <w:rPr>
                            <w:rFonts w:ascii="Cambria Math" w:hAnsi="Cambria Math"/>
                            <w:sz w:val="24"/>
                          </w:rPr>
                        </m:ctrlPr>
                      </m:e>
                    </m:d>
                    <m:ctrlPr>
                      <w:rPr>
                        <w:rFonts w:ascii="Cambria Math" w:hAnsi="Cambria Math"/>
                        <w:sz w:val="24"/>
                      </w:rPr>
                    </m:ctrlPr>
                  </m:sup>
                </m:sSup>
              </m:oMath>
            </m:oMathPara>
          </w:p>
        </w:tc>
        <w:tc>
          <w:tcPr>
            <w:tcW w:w="4073" w:type="dxa"/>
            <w:tcBorders>
              <w:top w:val="nil"/>
              <w:left w:val="nil"/>
              <w:bottom w:val="nil"/>
              <w:right w:val="nil"/>
            </w:tcBorders>
            <w:tcMar>
              <w:top w:w="-1" w:type="dxa"/>
              <w:left w:w="-1" w:type="dxa"/>
              <w:bottom w:w="-1" w:type="dxa"/>
              <w:right w:w="-1" w:type="dxa"/>
            </w:tcMar>
            <w:vAlign w:val="center"/>
          </w:tcPr>
          <w:p w14:paraId="6CE572A4">
            <w:pPr>
              <w:snapToGrid w:val="0"/>
              <w:jc w:val="left"/>
              <w:rPr>
                <w:rFonts w:ascii="宋体"/>
                <w:sz w:val="24"/>
              </w:rPr>
            </w:pPr>
            <w:r>
              <w:rPr>
                <w:rFonts w:ascii="宋体" w:hAnsi="宋体"/>
                <w:sz w:val="24"/>
              </w:rPr>
              <w:t>第 l 个剪枝 stage 允许保留的词元数</w:t>
            </w:r>
          </w:p>
        </w:tc>
        <w:tc>
          <w:tcPr>
            <w:tcW w:w="2287" w:type="dxa"/>
            <w:tcBorders>
              <w:top w:val="nil"/>
              <w:left w:val="nil"/>
              <w:bottom w:val="nil"/>
              <w:right w:val="nil"/>
            </w:tcBorders>
            <w:tcMar>
              <w:top w:w="-1" w:type="dxa"/>
              <w:left w:w="-1" w:type="dxa"/>
              <w:bottom w:w="-1" w:type="dxa"/>
              <w:right w:w="-1" w:type="dxa"/>
            </w:tcMar>
            <w:vAlign w:val="center"/>
          </w:tcPr>
          <w:p w14:paraId="396BF038">
            <w:pPr>
              <w:snapToGrid w:val="0"/>
              <w:jc w:val="left"/>
              <w:rPr>
                <w:rFonts w:ascii="宋体"/>
                <w:sz w:val="24"/>
              </w:rPr>
            </w:pPr>
            <w:r>
              <w:rPr>
                <w:rFonts w:ascii="宋体" w:hAnsi="宋体"/>
                <w:sz w:val="24"/>
              </w:rPr>
              <w:t>式(3-1)</w:t>
            </w:r>
          </w:p>
        </w:tc>
      </w:tr>
      <w:tr w14:paraId="5428DB7C">
        <w:tblPrEx>
          <w:tblCellMar>
            <w:top w:w="0" w:type="dxa"/>
            <w:left w:w="108" w:type="dxa"/>
            <w:bottom w:w="0" w:type="dxa"/>
            <w:right w:w="108" w:type="dxa"/>
          </w:tblCellMar>
        </w:tblPrEx>
        <w:trPr>
          <w:jc w:val="center"/>
        </w:trPr>
        <w:tc>
          <w:tcPr>
            <w:tcW w:w="2460" w:type="dxa"/>
            <w:tcBorders>
              <w:top w:val="nil"/>
              <w:left w:val="nil"/>
              <w:bottom w:val="nil"/>
              <w:right w:val="nil"/>
            </w:tcBorders>
            <w:tcMar>
              <w:top w:w="-1" w:type="dxa"/>
              <w:left w:w="-1" w:type="dxa"/>
              <w:bottom w:w="-1" w:type="dxa"/>
              <w:right w:w="-1" w:type="dxa"/>
            </w:tcMar>
            <w:vAlign w:val="center"/>
          </w:tcPr>
          <w:p w14:paraId="6E70586F">
            <w:pPr>
              <w:snapToGrid w:val="0"/>
              <w:jc w:val="center"/>
              <w:rPr>
                <w:rFonts w:ascii="宋体"/>
                <w:sz w:val="24"/>
              </w:rPr>
            </w:pPr>
            <m:oMathPara>
              <m:oMath>
                <m:sSup>
                  <m:sSupPr>
                    <m:ctrlPr>
                      <w:rPr>
                        <w:rFonts w:ascii="Cambria Math" w:hAnsi="Cambria Math"/>
                        <w:sz w:val="24"/>
                      </w:rPr>
                    </m:ctrlPr>
                  </m:sSupPr>
                  <m:e>
                    <m:r>
                      <m:rPr/>
                      <w:rPr>
                        <w:rFonts w:ascii="Cambria Math" w:hAnsi="Cambria Math"/>
                        <w:sz w:val="24"/>
                      </w:rPr>
                      <m:t>τ</m:t>
                    </m:r>
                    <m:ctrlPr>
                      <w:rPr>
                        <w:rFonts w:ascii="Cambria Math" w:hAnsi="Cambria Math"/>
                        <w:sz w:val="24"/>
                      </w:rPr>
                    </m:ctrlPr>
                  </m:e>
                  <m:sup>
                    <m:d>
                      <m:dPr>
                        <m:ctrlPr>
                          <w:rPr>
                            <w:rFonts w:ascii="Cambria Math" w:hAnsi="Cambria Math"/>
                            <w:sz w:val="24"/>
                          </w:rPr>
                        </m:ctrlPr>
                      </m:dPr>
                      <m:e>
                        <m:r>
                          <m:rPr/>
                          <w:rPr>
                            <w:rFonts w:ascii="Cambria Math" w:hAnsi="Cambria Math"/>
                            <w:sz w:val="24"/>
                          </w:rPr>
                          <m:t>l</m:t>
                        </m:r>
                        <m:ctrlPr>
                          <w:rPr>
                            <w:rFonts w:ascii="Cambria Math" w:hAnsi="Cambria Math"/>
                            <w:sz w:val="24"/>
                          </w:rPr>
                        </m:ctrlPr>
                      </m:e>
                    </m:d>
                    <m:ctrlPr>
                      <w:rPr>
                        <w:rFonts w:ascii="Cambria Math" w:hAnsi="Cambria Math"/>
                        <w:sz w:val="24"/>
                      </w:rPr>
                    </m:ctrlPr>
                  </m:sup>
                </m:sSup>
              </m:oMath>
            </m:oMathPara>
          </w:p>
        </w:tc>
        <w:tc>
          <w:tcPr>
            <w:tcW w:w="4073" w:type="dxa"/>
            <w:tcBorders>
              <w:top w:val="nil"/>
              <w:left w:val="nil"/>
              <w:bottom w:val="nil"/>
              <w:right w:val="nil"/>
            </w:tcBorders>
            <w:tcMar>
              <w:top w:w="-1" w:type="dxa"/>
              <w:left w:w="-1" w:type="dxa"/>
              <w:bottom w:w="-1" w:type="dxa"/>
              <w:right w:w="-1" w:type="dxa"/>
            </w:tcMar>
            <w:vAlign w:val="center"/>
          </w:tcPr>
          <w:p w14:paraId="66FD8FBC">
            <w:pPr>
              <w:snapToGrid w:val="0"/>
              <w:jc w:val="left"/>
              <w:rPr>
                <w:rFonts w:ascii="宋体"/>
                <w:sz w:val="24"/>
              </w:rPr>
            </w:pPr>
            <w:r>
              <w:rPr>
                <w:rFonts w:ascii="宋体" w:hAnsi="宋体"/>
                <w:sz w:val="24"/>
              </w:rPr>
              <w:t>由安全 Top-</w:t>
            </w:r>
            <m:oMath>
              <m:r>
                <m:rPr/>
                <w:rPr>
                  <w:rFonts w:ascii="Cambria Math" w:hAnsi="Cambria Math"/>
                  <w:sz w:val="24"/>
                </w:rPr>
                <m:t>K</m:t>
              </m:r>
            </m:oMath>
            <w:r>
              <w:rPr>
                <w:rFonts w:ascii="宋体" w:hAnsi="宋体"/>
                <w:sz w:val="24"/>
              </w:rPr>
              <w:t>边界导出的保留阈值</w:t>
            </w:r>
          </w:p>
        </w:tc>
        <w:tc>
          <w:tcPr>
            <w:tcW w:w="2287" w:type="dxa"/>
            <w:tcBorders>
              <w:top w:val="nil"/>
              <w:left w:val="nil"/>
              <w:bottom w:val="nil"/>
              <w:right w:val="nil"/>
            </w:tcBorders>
            <w:tcMar>
              <w:top w:w="-1" w:type="dxa"/>
              <w:left w:w="-1" w:type="dxa"/>
              <w:bottom w:w="-1" w:type="dxa"/>
              <w:right w:w="-1" w:type="dxa"/>
            </w:tcMar>
            <w:vAlign w:val="center"/>
          </w:tcPr>
          <w:p w14:paraId="2880116A">
            <w:pPr>
              <w:snapToGrid w:val="0"/>
              <w:jc w:val="left"/>
              <w:rPr>
                <w:rFonts w:ascii="宋体"/>
                <w:sz w:val="24"/>
              </w:rPr>
            </w:pPr>
            <w:r>
              <w:rPr>
                <w:rFonts w:ascii="宋体" w:hAnsi="宋体"/>
                <w:sz w:val="24"/>
              </w:rPr>
              <w:t>式(3-1)</w:t>
            </w:r>
          </w:p>
        </w:tc>
      </w:tr>
      <w:tr w14:paraId="3101FC18">
        <w:tblPrEx>
          <w:tblCellMar>
            <w:top w:w="0" w:type="dxa"/>
            <w:left w:w="108" w:type="dxa"/>
            <w:bottom w:w="0" w:type="dxa"/>
            <w:right w:w="108" w:type="dxa"/>
          </w:tblCellMar>
        </w:tblPrEx>
        <w:trPr>
          <w:jc w:val="center"/>
        </w:trPr>
        <w:tc>
          <w:tcPr>
            <w:tcW w:w="2460" w:type="dxa"/>
            <w:tcBorders>
              <w:top w:val="nil"/>
              <w:left w:val="nil"/>
              <w:bottom w:val="nil"/>
              <w:right w:val="nil"/>
            </w:tcBorders>
            <w:tcMar>
              <w:top w:w="-1" w:type="dxa"/>
              <w:left w:w="-1" w:type="dxa"/>
              <w:bottom w:w="-1" w:type="dxa"/>
              <w:right w:w="-1" w:type="dxa"/>
            </w:tcMar>
            <w:vAlign w:val="center"/>
          </w:tcPr>
          <w:p w14:paraId="3E7904EE">
            <w:pPr>
              <w:snapToGrid w:val="0"/>
              <w:jc w:val="center"/>
              <w:rPr>
                <w:rFonts w:ascii="宋体"/>
                <w:sz w:val="24"/>
              </w:rPr>
            </w:pPr>
            <m:oMathPara>
              <m:oMath>
                <m:sSubSup>
                  <m:sSubSupPr>
                    <m:ctrlPr>
                      <w:rPr>
                        <w:rFonts w:ascii="Cambria Math" w:hAnsi="Cambria Math"/>
                        <w:sz w:val="24"/>
                      </w:rPr>
                    </m:ctrlPr>
                  </m:sSubSupPr>
                  <m:e>
                    <m:r>
                      <m:rPr/>
                      <w:rPr>
                        <w:rFonts w:ascii="Cambria Math" w:hAnsi="Cambria Math"/>
                        <w:sz w:val="24"/>
                      </w:rPr>
                      <m:t>e</m:t>
                    </m:r>
                    <m:ctrlPr>
                      <w:rPr>
                        <w:rFonts w:ascii="Cambria Math" w:hAnsi="Cambria Math"/>
                        <w:sz w:val="24"/>
                      </w:rPr>
                    </m:ctrlPr>
                  </m:e>
                  <m:sub>
                    <m:r>
                      <m:rPr/>
                      <w:rPr>
                        <w:rFonts w:ascii="Cambria Math" w:hAnsi="Cambria Math"/>
                        <w:sz w:val="24"/>
                      </w:rPr>
                      <m:t>i</m:t>
                    </m:r>
                    <m:ctrlPr>
                      <w:rPr>
                        <w:rFonts w:ascii="Cambria Math" w:hAnsi="Cambria Math"/>
                        <w:sz w:val="24"/>
                      </w:rPr>
                    </m:ctrlPr>
                  </m:sub>
                  <m:sup>
                    <m:d>
                      <m:dPr>
                        <m:ctrlPr>
                          <w:rPr>
                            <w:rFonts w:ascii="Cambria Math" w:hAnsi="Cambria Math"/>
                            <w:sz w:val="24"/>
                          </w:rPr>
                        </m:ctrlPr>
                      </m:dPr>
                      <m:e>
                        <m:r>
                          <m:rPr/>
                          <w:rPr>
                            <w:rFonts w:ascii="Cambria Math" w:hAnsi="Cambria Math"/>
                            <w:sz w:val="24"/>
                          </w:rPr>
                          <m:t>l</m:t>
                        </m:r>
                        <m:ctrlPr>
                          <w:rPr>
                            <w:rFonts w:ascii="Cambria Math" w:hAnsi="Cambria Math"/>
                            <w:sz w:val="24"/>
                          </w:rPr>
                        </m:ctrlPr>
                      </m:e>
                    </m:d>
                    <m:ctrlPr>
                      <w:rPr>
                        <w:rFonts w:ascii="Cambria Math" w:hAnsi="Cambria Math"/>
                        <w:sz w:val="24"/>
                      </w:rPr>
                    </m:ctrlPr>
                  </m:sup>
                </m:sSubSup>
                <m:r>
                  <m:rPr>
                    <m:sty m:val="p"/>
                  </m:rPr>
                  <w:rPr>
                    <w:rFonts w:ascii="Cambria Math" w:hAnsi="Cambria Math"/>
                    <w:sz w:val="24"/>
                  </w:rPr>
                  <m:t xml:space="preserve">, </m:t>
                </m:r>
                <m:sSup>
                  <m:sSupPr>
                    <m:ctrlPr>
                      <w:rPr>
                        <w:rFonts w:ascii="Cambria Math" w:hAnsi="Cambria Math"/>
                        <w:sz w:val="24"/>
                      </w:rPr>
                    </m:ctrlPr>
                  </m:sSupPr>
                  <m:e>
                    <m:r>
                      <m:rPr/>
                      <w:rPr>
                        <w:rFonts w:ascii="Cambria Math" w:hAnsi="Cambria Math"/>
                        <w:sz w:val="24"/>
                      </w:rPr>
                      <m:t>π</m:t>
                    </m:r>
                    <m:ctrlPr>
                      <w:rPr>
                        <w:rFonts w:ascii="Cambria Math" w:hAnsi="Cambria Math"/>
                        <w:sz w:val="24"/>
                      </w:rPr>
                    </m:ctrlPr>
                  </m:e>
                  <m:sup>
                    <m:d>
                      <m:dPr>
                        <m:ctrlPr>
                          <w:rPr>
                            <w:rFonts w:ascii="Cambria Math" w:hAnsi="Cambria Math"/>
                            <w:sz w:val="24"/>
                          </w:rPr>
                        </m:ctrlPr>
                      </m:dPr>
                      <m:e>
                        <m:r>
                          <m:rPr/>
                          <w:rPr>
                            <w:rFonts w:ascii="Cambria Math" w:hAnsi="Cambria Math"/>
                            <w:sz w:val="24"/>
                          </w:rPr>
                          <m:t>l</m:t>
                        </m:r>
                        <m:ctrlPr>
                          <w:rPr>
                            <w:rFonts w:ascii="Cambria Math" w:hAnsi="Cambria Math"/>
                            <w:sz w:val="24"/>
                          </w:rPr>
                        </m:ctrlPr>
                      </m:e>
                    </m:d>
                    <m:ctrlPr>
                      <w:rPr>
                        <w:rFonts w:ascii="Cambria Math" w:hAnsi="Cambria Math"/>
                        <w:sz w:val="24"/>
                      </w:rPr>
                    </m:ctrlPr>
                  </m:sup>
                </m:sSup>
              </m:oMath>
            </m:oMathPara>
          </w:p>
        </w:tc>
        <w:tc>
          <w:tcPr>
            <w:tcW w:w="4073" w:type="dxa"/>
            <w:tcBorders>
              <w:top w:val="nil"/>
              <w:left w:val="nil"/>
              <w:bottom w:val="nil"/>
              <w:right w:val="nil"/>
            </w:tcBorders>
            <w:tcMar>
              <w:top w:w="-1" w:type="dxa"/>
              <w:left w:w="-1" w:type="dxa"/>
              <w:bottom w:w="-1" w:type="dxa"/>
              <w:right w:w="-1" w:type="dxa"/>
            </w:tcMar>
            <w:vAlign w:val="center"/>
          </w:tcPr>
          <w:p w14:paraId="43BEF2FB">
            <w:pPr>
              <w:snapToGrid w:val="0"/>
              <w:jc w:val="left"/>
              <w:rPr>
                <w:rFonts w:ascii="宋体"/>
                <w:sz w:val="24"/>
              </w:rPr>
            </w:pPr>
            <w:r>
              <w:rPr>
                <w:rFonts w:ascii="宋体" w:hAnsi="宋体"/>
                <w:sz w:val="24"/>
              </w:rPr>
              <w:t>编码键与经双调排序得到的索引排列</w:t>
            </w:r>
          </w:p>
        </w:tc>
        <w:tc>
          <w:tcPr>
            <w:tcW w:w="2287" w:type="dxa"/>
            <w:tcBorders>
              <w:top w:val="nil"/>
              <w:left w:val="nil"/>
              <w:bottom w:val="nil"/>
              <w:right w:val="nil"/>
            </w:tcBorders>
            <w:tcMar>
              <w:top w:w="-1" w:type="dxa"/>
              <w:left w:w="-1" w:type="dxa"/>
              <w:bottom w:w="-1" w:type="dxa"/>
              <w:right w:w="-1" w:type="dxa"/>
            </w:tcMar>
            <w:vAlign w:val="center"/>
          </w:tcPr>
          <w:p w14:paraId="0F7C5CD4">
            <w:pPr>
              <w:snapToGrid w:val="0"/>
              <w:jc w:val="left"/>
              <w:rPr>
                <w:rFonts w:ascii="宋体"/>
                <w:sz w:val="24"/>
              </w:rPr>
            </w:pPr>
            <w:r>
              <w:rPr>
                <w:rFonts w:ascii="宋体" w:hAnsi="宋体"/>
                <w:sz w:val="24"/>
              </w:rPr>
              <w:t>式(3-2a)、式(3-2b)</w:t>
            </w:r>
          </w:p>
        </w:tc>
      </w:tr>
      <w:tr w14:paraId="2C778CCD">
        <w:tblPrEx>
          <w:tblCellMar>
            <w:top w:w="0" w:type="dxa"/>
            <w:left w:w="108" w:type="dxa"/>
            <w:bottom w:w="0" w:type="dxa"/>
            <w:right w:w="108" w:type="dxa"/>
          </w:tblCellMar>
        </w:tblPrEx>
        <w:trPr>
          <w:jc w:val="center"/>
        </w:trPr>
        <w:tc>
          <w:tcPr>
            <w:tcW w:w="2460" w:type="dxa"/>
            <w:tcBorders>
              <w:top w:val="nil"/>
              <w:left w:val="nil"/>
              <w:bottom w:val="nil"/>
              <w:right w:val="nil"/>
            </w:tcBorders>
            <w:tcMar>
              <w:top w:w="-1" w:type="dxa"/>
              <w:left w:w="-1" w:type="dxa"/>
              <w:bottom w:w="-1" w:type="dxa"/>
              <w:right w:w="-1" w:type="dxa"/>
            </w:tcMar>
            <w:vAlign w:val="center"/>
          </w:tcPr>
          <w:p w14:paraId="3430FEB5">
            <w:pPr>
              <w:snapToGrid w:val="0"/>
              <w:jc w:val="center"/>
              <w:rPr>
                <w:rFonts w:ascii="宋体"/>
                <w:sz w:val="24"/>
              </w:rPr>
            </w:pPr>
            <m:oMathPara>
              <m:oMath>
                <m:sSubSup>
                  <m:sSubSupPr>
                    <m:ctrlPr>
                      <w:rPr>
                        <w:rFonts w:ascii="Cambria Math" w:hAnsi="Cambria Math"/>
                        <w:sz w:val="24"/>
                      </w:rPr>
                    </m:ctrlPr>
                  </m:sSubSupPr>
                  <m:e>
                    <m:r>
                      <m:rPr/>
                      <w:rPr>
                        <w:rFonts w:ascii="Cambria Math" w:hAnsi="Cambria Math"/>
                        <w:sz w:val="24"/>
                      </w:rPr>
                      <m:t>m</m:t>
                    </m:r>
                    <m:ctrlPr>
                      <w:rPr>
                        <w:rFonts w:ascii="Cambria Math" w:hAnsi="Cambria Math"/>
                        <w:sz w:val="24"/>
                      </w:rPr>
                    </m:ctrlPr>
                  </m:e>
                  <m:sub>
                    <m:r>
                      <m:rPr/>
                      <w:rPr>
                        <w:rFonts w:ascii="Cambria Math" w:hAnsi="Cambria Math"/>
                        <w:sz w:val="24"/>
                      </w:rPr>
                      <m:t>i</m:t>
                    </m:r>
                    <m:ctrlPr>
                      <w:rPr>
                        <w:rFonts w:ascii="Cambria Math" w:hAnsi="Cambria Math"/>
                        <w:sz w:val="24"/>
                      </w:rPr>
                    </m:ctrlPr>
                  </m:sub>
                  <m:sup>
                    <m:d>
                      <m:dPr>
                        <m:ctrlPr>
                          <w:rPr>
                            <w:rFonts w:ascii="Cambria Math" w:hAnsi="Cambria Math"/>
                            <w:sz w:val="24"/>
                          </w:rPr>
                        </m:ctrlPr>
                      </m:dPr>
                      <m:e>
                        <m:r>
                          <m:rPr/>
                          <w:rPr>
                            <w:rFonts w:ascii="Cambria Math" w:hAnsi="Cambria Math"/>
                            <w:sz w:val="24"/>
                          </w:rPr>
                          <m:t>l</m:t>
                        </m:r>
                        <m:ctrlPr>
                          <w:rPr>
                            <w:rFonts w:ascii="Cambria Math" w:hAnsi="Cambria Math"/>
                            <w:sz w:val="24"/>
                          </w:rPr>
                        </m:ctrlPr>
                      </m:e>
                    </m:d>
                    <m:ctrlPr>
                      <w:rPr>
                        <w:rFonts w:ascii="Cambria Math" w:hAnsi="Cambria Math"/>
                        <w:sz w:val="24"/>
                      </w:rPr>
                    </m:ctrlPr>
                  </m:sup>
                </m:sSubSup>
              </m:oMath>
            </m:oMathPara>
          </w:p>
        </w:tc>
        <w:tc>
          <w:tcPr>
            <w:tcW w:w="4073" w:type="dxa"/>
            <w:tcBorders>
              <w:top w:val="nil"/>
              <w:left w:val="nil"/>
              <w:bottom w:val="nil"/>
              <w:right w:val="nil"/>
            </w:tcBorders>
            <w:tcMar>
              <w:top w:w="-1" w:type="dxa"/>
              <w:left w:w="-1" w:type="dxa"/>
              <w:bottom w:w="-1" w:type="dxa"/>
              <w:right w:w="-1" w:type="dxa"/>
            </w:tcMar>
            <w:vAlign w:val="center"/>
          </w:tcPr>
          <w:p w14:paraId="56A8455D">
            <w:pPr>
              <w:snapToGrid w:val="0"/>
              <w:jc w:val="left"/>
              <w:rPr>
                <w:rFonts w:ascii="宋体"/>
                <w:sz w:val="24"/>
              </w:rPr>
            </w:pPr>
            <w:r>
              <w:rPr>
                <w:rFonts w:ascii="宋体" w:hAnsi="宋体"/>
                <w:sz w:val="24"/>
              </w:rPr>
              <w:t>第 i 个词元在第 l 个 stage 的保留掩码</w:t>
            </w:r>
          </w:p>
        </w:tc>
        <w:tc>
          <w:tcPr>
            <w:tcW w:w="2287" w:type="dxa"/>
            <w:tcBorders>
              <w:top w:val="nil"/>
              <w:left w:val="nil"/>
              <w:bottom w:val="nil"/>
              <w:right w:val="nil"/>
            </w:tcBorders>
            <w:tcMar>
              <w:top w:w="-1" w:type="dxa"/>
              <w:left w:w="-1" w:type="dxa"/>
              <w:bottom w:w="-1" w:type="dxa"/>
              <w:right w:w="-1" w:type="dxa"/>
            </w:tcMar>
            <w:vAlign w:val="center"/>
          </w:tcPr>
          <w:p w14:paraId="1079D1F0">
            <w:pPr>
              <w:snapToGrid w:val="0"/>
              <w:jc w:val="left"/>
              <w:rPr>
                <w:rFonts w:ascii="宋体"/>
                <w:sz w:val="24"/>
              </w:rPr>
            </w:pPr>
            <w:r>
              <w:rPr>
                <w:rFonts w:ascii="宋体" w:hAnsi="宋体"/>
                <w:sz w:val="24"/>
              </w:rPr>
              <w:t>式(3-1)、式(3-2)、式(3-2b)</w:t>
            </w:r>
          </w:p>
        </w:tc>
      </w:tr>
      <w:tr w14:paraId="0522957D">
        <w:tblPrEx>
          <w:tblCellMar>
            <w:top w:w="0" w:type="dxa"/>
            <w:left w:w="108" w:type="dxa"/>
            <w:bottom w:w="0" w:type="dxa"/>
            <w:right w:w="108" w:type="dxa"/>
          </w:tblCellMar>
        </w:tblPrEx>
        <w:trPr>
          <w:jc w:val="center"/>
        </w:trPr>
        <w:tc>
          <w:tcPr>
            <w:tcW w:w="2460" w:type="dxa"/>
            <w:tcBorders>
              <w:top w:val="nil"/>
              <w:left w:val="nil"/>
              <w:bottom w:val="nil"/>
              <w:right w:val="nil"/>
            </w:tcBorders>
            <w:tcMar>
              <w:top w:w="-1" w:type="dxa"/>
              <w:left w:w="-1" w:type="dxa"/>
              <w:bottom w:w="-1" w:type="dxa"/>
              <w:right w:w="-1" w:type="dxa"/>
            </w:tcMar>
            <w:vAlign w:val="center"/>
          </w:tcPr>
          <w:p w14:paraId="01615930">
            <w:pPr>
              <w:snapToGrid w:val="0"/>
              <w:jc w:val="center"/>
              <w:rPr>
                <w:rFonts w:ascii="宋体"/>
                <w:sz w:val="24"/>
              </w:rPr>
            </w:pPr>
            <m:oMathPara>
              <m:oMath>
                <m:sSubSup>
                  <m:sSubSupPr>
                    <m:ctrlPr>
                      <w:rPr>
                        <w:rFonts w:ascii="Cambria Math" w:hAnsi="Cambria Math"/>
                        <w:sz w:val="24"/>
                      </w:rPr>
                    </m:ctrlPr>
                  </m:sSubSupPr>
                  <m:e>
                    <m:r>
                      <m:rPr/>
                      <w:rPr>
                        <w:rFonts w:ascii="Cambria Math" w:hAnsi="Cambria Math"/>
                        <w:sz w:val="24"/>
                      </w:rPr>
                      <m:t>h</m:t>
                    </m:r>
                    <m:ctrlPr>
                      <w:rPr>
                        <w:rFonts w:ascii="Cambria Math" w:hAnsi="Cambria Math"/>
                        <w:sz w:val="24"/>
                      </w:rPr>
                    </m:ctrlPr>
                  </m:e>
                  <m:sub>
                    <m:r>
                      <m:rPr/>
                      <w:rPr>
                        <w:rFonts w:ascii="Cambria Math" w:hAnsi="Cambria Math"/>
                        <w:sz w:val="24"/>
                      </w:rPr>
                      <m:t>i</m:t>
                    </m:r>
                    <m:ctrlPr>
                      <w:rPr>
                        <w:rFonts w:ascii="Cambria Math" w:hAnsi="Cambria Math"/>
                        <w:sz w:val="24"/>
                      </w:rPr>
                    </m:ctrlPr>
                  </m:sub>
                  <m:sup>
                    <m:d>
                      <m:dPr>
                        <m:ctrlPr>
                          <w:rPr>
                            <w:rFonts w:ascii="Cambria Math" w:hAnsi="Cambria Math"/>
                            <w:sz w:val="24"/>
                          </w:rPr>
                        </m:ctrlPr>
                      </m:dPr>
                      <m:e>
                        <m:r>
                          <m:rPr/>
                          <w:rPr>
                            <w:rFonts w:ascii="Cambria Math" w:hAnsi="Cambria Math"/>
                            <w:sz w:val="24"/>
                          </w:rPr>
                          <m:t>l</m:t>
                        </m:r>
                        <m:ctrlPr>
                          <w:rPr>
                            <w:rFonts w:ascii="Cambria Math" w:hAnsi="Cambria Math"/>
                            <w:sz w:val="24"/>
                          </w:rPr>
                        </m:ctrlPr>
                      </m:e>
                    </m:d>
                    <m:ctrlPr>
                      <w:rPr>
                        <w:rFonts w:ascii="Cambria Math" w:hAnsi="Cambria Math"/>
                        <w:sz w:val="24"/>
                      </w:rPr>
                    </m:ctrlPr>
                  </m:sup>
                </m:sSubSup>
                <m:r>
                  <m:rPr>
                    <m:sty m:val="p"/>
                  </m:rPr>
                  <w:rPr>
                    <w:rFonts w:ascii="Cambria Math" w:hAnsi="Cambria Math"/>
                    <w:sz w:val="24"/>
                  </w:rPr>
                  <m:t xml:space="preserve">, </m:t>
                </m:r>
                <m:sSubSup>
                  <m:sSubSupPr>
                    <m:ctrlPr>
                      <w:rPr>
                        <w:rFonts w:ascii="Cambria Math" w:hAnsi="Cambria Math"/>
                        <w:sz w:val="24"/>
                      </w:rPr>
                    </m:ctrlPr>
                  </m:sSubSupPr>
                  <m:e>
                    <m:acc>
                      <m:accPr>
                        <m:chr m:val="̃"/>
                        <m:ctrlPr>
                          <w:rPr>
                            <w:rFonts w:ascii="Cambria Math" w:hAnsi="Cambria Math"/>
                            <w:sz w:val="24"/>
                          </w:rPr>
                        </m:ctrlPr>
                      </m:accPr>
                      <m:e>
                        <m:r>
                          <m:rPr/>
                          <w:rPr>
                            <w:rFonts w:ascii="Cambria Math" w:hAnsi="Cambria Math"/>
                            <w:sz w:val="24"/>
                          </w:rPr>
                          <m:t>h</m:t>
                        </m:r>
                        <m:ctrlPr>
                          <w:rPr>
                            <w:rFonts w:ascii="Cambria Math" w:hAnsi="Cambria Math"/>
                            <w:sz w:val="24"/>
                          </w:rPr>
                        </m:ctrlPr>
                      </m:e>
                    </m:acc>
                    <m:ctrlPr>
                      <w:rPr>
                        <w:rFonts w:ascii="Cambria Math" w:hAnsi="Cambria Math"/>
                        <w:sz w:val="24"/>
                      </w:rPr>
                    </m:ctrlPr>
                  </m:e>
                  <m:sub>
                    <m:r>
                      <m:rPr/>
                      <w:rPr>
                        <w:rFonts w:ascii="Cambria Math" w:hAnsi="Cambria Math"/>
                        <w:sz w:val="24"/>
                      </w:rPr>
                      <m:t>i</m:t>
                    </m:r>
                    <m:ctrlPr>
                      <w:rPr>
                        <w:rFonts w:ascii="Cambria Math" w:hAnsi="Cambria Math"/>
                        <w:sz w:val="24"/>
                      </w:rPr>
                    </m:ctrlPr>
                  </m:sub>
                  <m:sup>
                    <m:d>
                      <m:dPr>
                        <m:ctrlPr>
                          <w:rPr>
                            <w:rFonts w:ascii="Cambria Math" w:hAnsi="Cambria Math"/>
                            <w:sz w:val="24"/>
                          </w:rPr>
                        </m:ctrlPr>
                      </m:dPr>
                      <m:e>
                        <m:r>
                          <m:rPr/>
                          <w:rPr>
                            <w:rFonts w:ascii="Cambria Math" w:hAnsi="Cambria Math"/>
                            <w:sz w:val="24"/>
                          </w:rPr>
                          <m:t>l</m:t>
                        </m:r>
                        <m:ctrlPr>
                          <w:rPr>
                            <w:rFonts w:ascii="Cambria Math" w:hAnsi="Cambria Math"/>
                            <w:sz w:val="24"/>
                          </w:rPr>
                        </m:ctrlPr>
                      </m:e>
                    </m:d>
                    <m:ctrlPr>
                      <w:rPr>
                        <w:rFonts w:ascii="Cambria Math" w:hAnsi="Cambria Math"/>
                        <w:sz w:val="24"/>
                      </w:rPr>
                    </m:ctrlPr>
                  </m:sup>
                </m:sSubSup>
              </m:oMath>
            </m:oMathPara>
          </w:p>
        </w:tc>
        <w:tc>
          <w:tcPr>
            <w:tcW w:w="4073" w:type="dxa"/>
            <w:tcBorders>
              <w:top w:val="nil"/>
              <w:left w:val="nil"/>
              <w:bottom w:val="nil"/>
              <w:right w:val="nil"/>
            </w:tcBorders>
            <w:tcMar>
              <w:top w:w="-1" w:type="dxa"/>
              <w:left w:w="-1" w:type="dxa"/>
              <w:bottom w:w="-1" w:type="dxa"/>
              <w:right w:w="-1" w:type="dxa"/>
            </w:tcMar>
            <w:vAlign w:val="center"/>
          </w:tcPr>
          <w:p w14:paraId="0EA72935">
            <w:pPr>
              <w:snapToGrid w:val="0"/>
              <w:jc w:val="left"/>
              <w:rPr>
                <w:rFonts w:ascii="宋体"/>
                <w:sz w:val="24"/>
              </w:rPr>
            </w:pPr>
            <w:r>
              <w:rPr>
                <w:rFonts w:ascii="宋体" w:hAnsi="宋体"/>
                <w:sz w:val="24"/>
              </w:rPr>
              <w:t>原始词元表征与掩码后的词元表征</w:t>
            </w:r>
          </w:p>
        </w:tc>
        <w:tc>
          <w:tcPr>
            <w:tcW w:w="2287" w:type="dxa"/>
            <w:tcBorders>
              <w:top w:val="nil"/>
              <w:left w:val="nil"/>
              <w:bottom w:val="nil"/>
              <w:right w:val="nil"/>
            </w:tcBorders>
            <w:tcMar>
              <w:top w:w="-1" w:type="dxa"/>
              <w:left w:w="-1" w:type="dxa"/>
              <w:bottom w:w="-1" w:type="dxa"/>
              <w:right w:w="-1" w:type="dxa"/>
            </w:tcMar>
            <w:vAlign w:val="center"/>
          </w:tcPr>
          <w:p w14:paraId="3DE49485">
            <w:pPr>
              <w:snapToGrid w:val="0"/>
              <w:jc w:val="left"/>
              <w:rPr>
                <w:rFonts w:ascii="宋体"/>
                <w:sz w:val="24"/>
              </w:rPr>
            </w:pPr>
            <w:r>
              <w:rPr>
                <w:rFonts w:ascii="宋体" w:hAnsi="宋体"/>
                <w:sz w:val="24"/>
              </w:rPr>
              <w:t>式(3-2)</w:t>
            </w:r>
          </w:p>
        </w:tc>
      </w:tr>
      <w:tr w14:paraId="087F68B2">
        <w:tblPrEx>
          <w:tblCellMar>
            <w:top w:w="0" w:type="dxa"/>
            <w:left w:w="108" w:type="dxa"/>
            <w:bottom w:w="0" w:type="dxa"/>
            <w:right w:w="108" w:type="dxa"/>
          </w:tblCellMar>
        </w:tblPrEx>
        <w:trPr>
          <w:jc w:val="center"/>
        </w:trPr>
        <w:tc>
          <w:tcPr>
            <w:tcW w:w="2460" w:type="dxa"/>
            <w:tcBorders>
              <w:top w:val="nil"/>
              <w:left w:val="nil"/>
              <w:bottom w:val="nil"/>
              <w:right w:val="nil"/>
            </w:tcBorders>
            <w:tcMar>
              <w:top w:w="-1" w:type="dxa"/>
              <w:left w:w="-1" w:type="dxa"/>
              <w:bottom w:w="-1" w:type="dxa"/>
              <w:right w:w="-1" w:type="dxa"/>
            </w:tcMar>
            <w:vAlign w:val="center"/>
          </w:tcPr>
          <w:p w14:paraId="1ACD8C11">
            <w:pPr>
              <w:snapToGrid w:val="0"/>
              <w:jc w:val="center"/>
              <w:rPr>
                <w:rFonts w:ascii="宋体"/>
                <w:sz w:val="24"/>
              </w:rPr>
            </w:pPr>
            <m:oMathPara>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c</m:t>
                    </m:r>
                    <m:r>
                      <m:rPr>
                        <m:sty m:val="p"/>
                      </m:rPr>
                      <w:rPr>
                        <w:rFonts w:ascii="Cambria Math" w:hAnsi="Cambria Math"/>
                        <w:sz w:val="24"/>
                      </w:rPr>
                      <m:t>,</m:t>
                    </m:r>
                    <m:r>
                      <m:rPr/>
                      <w:rPr>
                        <w:rFonts w:ascii="Cambria Math" w:hAnsi="Cambria Math"/>
                        <w:sz w:val="24"/>
                      </w:rPr>
                      <m:t>h</m:t>
                    </m:r>
                    <m:r>
                      <m:rPr>
                        <m:sty m:val="p"/>
                      </m:rPr>
                      <w:rPr>
                        <w:rFonts w:ascii="Cambria Math" w:hAnsi="Cambria Math"/>
                        <w:sz w:val="24"/>
                      </w:rPr>
                      <m:t>,</m:t>
                    </m:r>
                    <m:r>
                      <m:rPr/>
                      <w:rPr>
                        <w:rFonts w:ascii="Cambria Math" w:hAnsi="Cambria Math"/>
                        <w:sz w:val="24"/>
                      </w:rPr>
                      <m:t>w</m:t>
                    </m:r>
                    <m:ctrlPr>
                      <w:rPr>
                        <w:rFonts w:ascii="Cambria Math" w:hAnsi="Cambria Math"/>
                        <w:sz w:val="24"/>
                      </w:rPr>
                    </m:ctrlPr>
                  </m:sub>
                </m:sSub>
              </m:oMath>
            </m:oMathPara>
          </w:p>
        </w:tc>
        <w:tc>
          <w:tcPr>
            <w:tcW w:w="4073" w:type="dxa"/>
            <w:tcBorders>
              <w:top w:val="nil"/>
              <w:left w:val="nil"/>
              <w:bottom w:val="nil"/>
              <w:right w:val="nil"/>
            </w:tcBorders>
            <w:tcMar>
              <w:top w:w="-1" w:type="dxa"/>
              <w:left w:w="-1" w:type="dxa"/>
              <w:bottom w:w="-1" w:type="dxa"/>
              <w:right w:w="-1" w:type="dxa"/>
            </w:tcMar>
            <w:vAlign w:val="center"/>
          </w:tcPr>
          <w:p w14:paraId="5A832FBB">
            <w:pPr>
              <w:snapToGrid w:val="0"/>
              <w:jc w:val="left"/>
              <w:rPr>
                <w:rFonts w:ascii="宋体"/>
                <w:sz w:val="24"/>
              </w:rPr>
            </w:pPr>
            <w:r>
              <w:rPr>
                <w:rFonts w:ascii="宋体" w:hAnsi="宋体"/>
                <w:sz w:val="24"/>
              </w:rPr>
              <w:t>裁剪后图像在通道 c、位置 (h,w) 的原始像素值</w:t>
            </w:r>
          </w:p>
        </w:tc>
        <w:tc>
          <w:tcPr>
            <w:tcW w:w="2287" w:type="dxa"/>
            <w:tcBorders>
              <w:top w:val="nil"/>
              <w:left w:val="nil"/>
              <w:bottom w:val="nil"/>
              <w:right w:val="nil"/>
            </w:tcBorders>
            <w:tcMar>
              <w:top w:w="-1" w:type="dxa"/>
              <w:left w:w="-1" w:type="dxa"/>
              <w:bottom w:w="-1" w:type="dxa"/>
              <w:right w:w="-1" w:type="dxa"/>
            </w:tcMar>
            <w:vAlign w:val="center"/>
          </w:tcPr>
          <w:p w14:paraId="75CB04AD">
            <w:pPr>
              <w:snapToGrid w:val="0"/>
              <w:jc w:val="left"/>
              <w:rPr>
                <w:rFonts w:ascii="宋体"/>
                <w:sz w:val="24"/>
              </w:rPr>
            </w:pPr>
            <w:r>
              <w:rPr>
                <w:rFonts w:ascii="宋体" w:hAnsi="宋体"/>
                <w:sz w:val="24"/>
              </w:rPr>
              <w:t>式(3-3)</w:t>
            </w:r>
          </w:p>
        </w:tc>
      </w:tr>
      <w:tr w14:paraId="57E0E526">
        <w:tblPrEx>
          <w:tblCellMar>
            <w:top w:w="0" w:type="dxa"/>
            <w:left w:w="108" w:type="dxa"/>
            <w:bottom w:w="0" w:type="dxa"/>
            <w:right w:w="108" w:type="dxa"/>
          </w:tblCellMar>
        </w:tblPrEx>
        <w:trPr>
          <w:jc w:val="center"/>
        </w:trPr>
        <w:tc>
          <w:tcPr>
            <w:tcW w:w="2460" w:type="dxa"/>
            <w:tcBorders>
              <w:top w:val="nil"/>
              <w:left w:val="nil"/>
              <w:bottom w:val="nil"/>
              <w:right w:val="nil"/>
            </w:tcBorders>
            <w:tcMar>
              <w:top w:w="-1" w:type="dxa"/>
              <w:left w:w="-1" w:type="dxa"/>
              <w:bottom w:w="-1" w:type="dxa"/>
              <w:right w:w="-1" w:type="dxa"/>
            </w:tcMar>
            <w:vAlign w:val="center"/>
          </w:tcPr>
          <w:p w14:paraId="1AE03448">
            <w:pPr>
              <w:snapToGrid w:val="0"/>
              <w:jc w:val="center"/>
              <w:rPr>
                <w:rFonts w:ascii="宋体"/>
                <w:sz w:val="24"/>
              </w:rPr>
            </w:pPr>
            <m:oMathPara>
              <m:oMath>
                <m:sSub>
                  <m:sSubPr>
                    <m:ctrlPr>
                      <w:rPr>
                        <w:rFonts w:ascii="Cambria Math" w:hAnsi="Cambria Math"/>
                        <w:sz w:val="24"/>
                      </w:rPr>
                    </m:ctrlPr>
                  </m:sSubPr>
                  <m:e>
                    <m:r>
                      <m:rPr/>
                      <w:rPr>
                        <w:rFonts w:ascii="Cambria Math" w:hAnsi="Cambria Math"/>
                        <w:sz w:val="24"/>
                      </w:rPr>
                      <m:t>μ</m:t>
                    </m:r>
                    <m:ctrlPr>
                      <w:rPr>
                        <w:rFonts w:ascii="Cambria Math" w:hAnsi="Cambria Math"/>
                        <w:sz w:val="24"/>
                      </w:rPr>
                    </m:ctrlPr>
                  </m:e>
                  <m:sub>
                    <m:r>
                      <m:rPr/>
                      <w:rPr>
                        <w:rFonts w:ascii="Cambria Math" w:hAnsi="Cambria Math"/>
                        <w:sz w:val="24"/>
                      </w:rPr>
                      <m:t>c</m:t>
                    </m:r>
                    <m:ctrlPr>
                      <w:rPr>
                        <w:rFonts w:ascii="Cambria Math" w:hAnsi="Cambria Math"/>
                        <w:sz w:val="24"/>
                      </w:rPr>
                    </m:ctrlPr>
                  </m:sub>
                </m:sSub>
                <m:r>
                  <m:rPr>
                    <m:sty m:val="p"/>
                  </m:rPr>
                  <w:rPr>
                    <w:rFonts w:ascii="Cambria Math" w:hAnsi="Cambria Math"/>
                    <w:sz w:val="24"/>
                  </w:rPr>
                  <m:t xml:space="preserve">, </m:t>
                </m:r>
                <m:sSub>
                  <m:sSubPr>
                    <m:ctrlPr>
                      <w:rPr>
                        <w:rFonts w:ascii="Cambria Math" w:hAnsi="Cambria Math"/>
                        <w:sz w:val="24"/>
                      </w:rPr>
                    </m:ctrlPr>
                  </m:sSubPr>
                  <m:e>
                    <m:r>
                      <m:rPr/>
                      <w:rPr>
                        <w:rFonts w:ascii="Cambria Math" w:hAnsi="Cambria Math"/>
                        <w:sz w:val="24"/>
                      </w:rPr>
                      <m:t>σ</m:t>
                    </m:r>
                    <m:ctrlPr>
                      <w:rPr>
                        <w:rFonts w:ascii="Cambria Math" w:hAnsi="Cambria Math"/>
                        <w:sz w:val="24"/>
                      </w:rPr>
                    </m:ctrlPr>
                  </m:e>
                  <m:sub>
                    <m:r>
                      <m:rPr/>
                      <w:rPr>
                        <w:rFonts w:ascii="Cambria Math" w:hAnsi="Cambria Math"/>
                        <w:sz w:val="24"/>
                      </w:rPr>
                      <m:t>c</m:t>
                    </m:r>
                    <m:ctrlPr>
                      <w:rPr>
                        <w:rFonts w:ascii="Cambria Math" w:hAnsi="Cambria Math"/>
                        <w:sz w:val="24"/>
                      </w:rPr>
                    </m:ctrlPr>
                  </m:sub>
                </m:sSub>
              </m:oMath>
            </m:oMathPara>
          </w:p>
        </w:tc>
        <w:tc>
          <w:tcPr>
            <w:tcW w:w="4073" w:type="dxa"/>
            <w:tcBorders>
              <w:top w:val="nil"/>
              <w:left w:val="nil"/>
              <w:bottom w:val="nil"/>
              <w:right w:val="nil"/>
            </w:tcBorders>
            <w:tcMar>
              <w:top w:w="-1" w:type="dxa"/>
              <w:left w:w="-1" w:type="dxa"/>
              <w:bottom w:w="-1" w:type="dxa"/>
              <w:right w:w="-1" w:type="dxa"/>
            </w:tcMar>
            <w:vAlign w:val="center"/>
          </w:tcPr>
          <w:p w14:paraId="264269CD">
            <w:pPr>
              <w:snapToGrid w:val="0"/>
              <w:jc w:val="left"/>
              <w:rPr>
                <w:rFonts w:ascii="宋体"/>
                <w:sz w:val="24"/>
              </w:rPr>
            </w:pPr>
            <w:r>
              <w:rPr>
                <w:rFonts w:ascii="宋体" w:hAnsi="宋体"/>
                <w:sz w:val="24"/>
              </w:rPr>
              <w:t>通道 c 的归一化均值与标准差</w:t>
            </w:r>
          </w:p>
        </w:tc>
        <w:tc>
          <w:tcPr>
            <w:tcW w:w="2287" w:type="dxa"/>
            <w:tcBorders>
              <w:top w:val="nil"/>
              <w:left w:val="nil"/>
              <w:bottom w:val="nil"/>
              <w:right w:val="nil"/>
            </w:tcBorders>
            <w:tcMar>
              <w:top w:w="-1" w:type="dxa"/>
              <w:left w:w="-1" w:type="dxa"/>
              <w:bottom w:w="-1" w:type="dxa"/>
              <w:right w:w="-1" w:type="dxa"/>
            </w:tcMar>
            <w:vAlign w:val="center"/>
          </w:tcPr>
          <w:p w14:paraId="5CE1A76D">
            <w:pPr>
              <w:snapToGrid w:val="0"/>
              <w:jc w:val="left"/>
              <w:rPr>
                <w:rFonts w:ascii="宋体"/>
                <w:sz w:val="24"/>
              </w:rPr>
            </w:pPr>
            <w:r>
              <w:rPr>
                <w:rFonts w:ascii="宋体" w:hAnsi="宋体"/>
                <w:sz w:val="24"/>
              </w:rPr>
              <w:t>式(3-3)、式(3-6)</w:t>
            </w:r>
          </w:p>
        </w:tc>
      </w:tr>
      <w:tr w14:paraId="10A201E8">
        <w:tblPrEx>
          <w:tblCellMar>
            <w:top w:w="0" w:type="dxa"/>
            <w:left w:w="108" w:type="dxa"/>
            <w:bottom w:w="0" w:type="dxa"/>
            <w:right w:w="108" w:type="dxa"/>
          </w:tblCellMar>
        </w:tblPrEx>
        <w:trPr>
          <w:jc w:val="center"/>
        </w:trPr>
        <w:tc>
          <w:tcPr>
            <w:tcW w:w="2460" w:type="dxa"/>
            <w:tcBorders>
              <w:top w:val="nil"/>
              <w:left w:val="nil"/>
              <w:bottom w:val="nil"/>
              <w:right w:val="nil"/>
            </w:tcBorders>
            <w:tcMar>
              <w:top w:w="-1" w:type="dxa"/>
              <w:left w:w="-1" w:type="dxa"/>
              <w:bottom w:w="-1" w:type="dxa"/>
              <w:right w:w="-1" w:type="dxa"/>
            </w:tcMar>
            <w:vAlign w:val="center"/>
          </w:tcPr>
          <w:p w14:paraId="69C3D9DD">
            <w:pPr>
              <w:snapToGrid w:val="0"/>
              <w:jc w:val="center"/>
              <w:rPr>
                <w:rFonts w:ascii="宋体"/>
                <w:sz w:val="24"/>
              </w:rPr>
            </w:pPr>
            <m:oMathPara>
              <m:oMath>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c</m:t>
                    </m:r>
                    <m:r>
                      <m:rPr>
                        <m:sty m:val="p"/>
                      </m:rPr>
                      <w:rPr>
                        <w:rFonts w:ascii="Cambria Math" w:hAnsi="Cambria Math"/>
                        <w:sz w:val="24"/>
                      </w:rPr>
                      <m:t>,</m:t>
                    </m:r>
                    <m:r>
                      <m:rPr/>
                      <w:rPr>
                        <w:rFonts w:ascii="Cambria Math" w:hAnsi="Cambria Math"/>
                        <w:sz w:val="24"/>
                      </w:rPr>
                      <m:t>h</m:t>
                    </m:r>
                    <m:r>
                      <m:rPr>
                        <m:sty m:val="p"/>
                      </m:rPr>
                      <w:rPr>
                        <w:rFonts w:ascii="Cambria Math" w:hAnsi="Cambria Math"/>
                        <w:sz w:val="24"/>
                      </w:rPr>
                      <m:t>,</m:t>
                    </m:r>
                    <m:r>
                      <m:rPr/>
                      <w:rPr>
                        <w:rFonts w:ascii="Cambria Math" w:hAnsi="Cambria Math"/>
                        <w:sz w:val="24"/>
                      </w:rPr>
                      <m:t>w</m:t>
                    </m:r>
                    <m:ctrlPr>
                      <w:rPr>
                        <w:rFonts w:ascii="Cambria Math" w:hAnsi="Cambria Math"/>
                        <w:sz w:val="24"/>
                      </w:rPr>
                    </m:ctrlPr>
                  </m:sub>
                </m:sSub>
              </m:oMath>
            </m:oMathPara>
          </w:p>
        </w:tc>
        <w:tc>
          <w:tcPr>
            <w:tcW w:w="4073" w:type="dxa"/>
            <w:tcBorders>
              <w:top w:val="nil"/>
              <w:left w:val="nil"/>
              <w:bottom w:val="nil"/>
              <w:right w:val="nil"/>
            </w:tcBorders>
            <w:tcMar>
              <w:top w:w="-1" w:type="dxa"/>
              <w:left w:w="-1" w:type="dxa"/>
              <w:bottom w:w="-1" w:type="dxa"/>
              <w:right w:w="-1" w:type="dxa"/>
            </w:tcMar>
            <w:vAlign w:val="center"/>
          </w:tcPr>
          <w:p w14:paraId="1989E52E">
            <w:pPr>
              <w:snapToGrid w:val="0"/>
              <w:jc w:val="left"/>
              <w:rPr>
                <w:rFonts w:ascii="宋体"/>
                <w:sz w:val="24"/>
              </w:rPr>
            </w:pPr>
            <w:r>
              <w:rPr>
                <w:rFonts w:ascii="宋体" w:hAnsi="宋体"/>
                <w:sz w:val="24"/>
              </w:rPr>
              <w:t>归一化后的模型输入张量</w:t>
            </w:r>
          </w:p>
        </w:tc>
        <w:tc>
          <w:tcPr>
            <w:tcW w:w="2287" w:type="dxa"/>
            <w:tcBorders>
              <w:top w:val="nil"/>
              <w:left w:val="nil"/>
              <w:bottom w:val="nil"/>
              <w:right w:val="nil"/>
            </w:tcBorders>
            <w:tcMar>
              <w:top w:w="-1" w:type="dxa"/>
              <w:left w:w="-1" w:type="dxa"/>
              <w:bottom w:w="-1" w:type="dxa"/>
              <w:right w:w="-1" w:type="dxa"/>
            </w:tcMar>
            <w:vAlign w:val="center"/>
          </w:tcPr>
          <w:p w14:paraId="5A29CCC8">
            <w:pPr>
              <w:snapToGrid w:val="0"/>
              <w:jc w:val="left"/>
              <w:rPr>
                <w:rFonts w:ascii="宋体"/>
                <w:sz w:val="24"/>
              </w:rPr>
            </w:pPr>
            <w:r>
              <w:rPr>
                <w:rFonts w:ascii="宋体" w:hAnsi="宋体"/>
                <w:sz w:val="24"/>
              </w:rPr>
              <w:t>式(3-3)、式(3-4)</w:t>
            </w:r>
          </w:p>
        </w:tc>
      </w:tr>
      <w:tr w14:paraId="07970208">
        <w:tblPrEx>
          <w:tblCellMar>
            <w:top w:w="0" w:type="dxa"/>
            <w:left w:w="108" w:type="dxa"/>
            <w:bottom w:w="0" w:type="dxa"/>
            <w:right w:w="108" w:type="dxa"/>
          </w:tblCellMar>
        </w:tblPrEx>
        <w:trPr>
          <w:jc w:val="center"/>
        </w:trPr>
        <w:tc>
          <w:tcPr>
            <w:tcW w:w="2460" w:type="dxa"/>
            <w:tcBorders>
              <w:top w:val="nil"/>
              <w:left w:val="nil"/>
              <w:bottom w:val="nil"/>
              <w:right w:val="nil"/>
            </w:tcBorders>
            <w:tcMar>
              <w:top w:w="-1" w:type="dxa"/>
              <w:left w:w="-1" w:type="dxa"/>
              <w:bottom w:w="-1" w:type="dxa"/>
              <w:right w:w="-1" w:type="dxa"/>
            </w:tcMar>
            <w:vAlign w:val="center"/>
          </w:tcPr>
          <w:p w14:paraId="322FCE50">
            <w:pPr>
              <w:snapToGrid w:val="0"/>
              <w:jc w:val="center"/>
              <w:rPr>
                <w:rFonts w:ascii="宋体"/>
                <w:sz w:val="24"/>
              </w:rPr>
            </w:pPr>
            <m:oMathPara>
              <m:oMath>
                <m:sSub>
                  <m:sSubPr>
                    <m:ctrlPr>
                      <w:rPr>
                        <w:rFonts w:ascii="Cambria Math" w:hAnsi="Cambria Math"/>
                        <w:sz w:val="24"/>
                      </w:rPr>
                    </m:ctrlPr>
                  </m:sSubPr>
                  <m:e>
                    <m:r>
                      <m:rPr>
                        <m:sty m:val="p"/>
                      </m:rPr>
                      <w:rPr>
                        <w:rFonts w:ascii="Cambria Math" w:hAnsi="Cambria Math"/>
                        <w:sz w:val="24"/>
                      </w:rPr>
                      <m:t>share0</m:t>
                    </m:r>
                    <m:ctrlPr>
                      <w:rPr>
                        <w:rFonts w:ascii="Cambria Math" w:hAnsi="Cambria Math"/>
                        <w:sz w:val="24"/>
                      </w:rPr>
                    </m:ctrlPr>
                  </m:e>
                  <m:sub>
                    <m:r>
                      <m:rPr/>
                      <w:rPr>
                        <w:rFonts w:ascii="Cambria Math" w:hAnsi="Cambria Math"/>
                        <w:sz w:val="24"/>
                      </w:rPr>
                      <m:t>c</m:t>
                    </m:r>
                    <m:r>
                      <m:rPr>
                        <m:sty m:val="p"/>
                      </m:rPr>
                      <w:rPr>
                        <w:rFonts w:ascii="Cambria Math" w:hAnsi="Cambria Math"/>
                        <w:sz w:val="24"/>
                      </w:rPr>
                      <m:t>,</m:t>
                    </m:r>
                    <m:r>
                      <m:rPr/>
                      <w:rPr>
                        <w:rFonts w:ascii="Cambria Math" w:hAnsi="Cambria Math"/>
                        <w:sz w:val="24"/>
                      </w:rPr>
                      <m:t>h</m:t>
                    </m:r>
                    <m:r>
                      <m:rPr>
                        <m:sty m:val="p"/>
                      </m:rPr>
                      <w:rPr>
                        <w:rFonts w:ascii="Cambria Math" w:hAnsi="Cambria Math"/>
                        <w:sz w:val="24"/>
                      </w:rPr>
                      <m:t>,</m:t>
                    </m:r>
                    <m:r>
                      <m:rPr/>
                      <w:rPr>
                        <w:rFonts w:ascii="Cambria Math" w:hAnsi="Cambria Math"/>
                        <w:sz w:val="24"/>
                      </w:rPr>
                      <m:t>w</m:t>
                    </m:r>
                    <m:ctrlPr>
                      <w:rPr>
                        <w:rFonts w:ascii="Cambria Math" w:hAnsi="Cambria Math"/>
                        <w:sz w:val="24"/>
                      </w:rPr>
                    </m:ctrlPr>
                  </m:sub>
                </m:sSub>
                <m:r>
                  <m:rPr>
                    <m:sty m:val="p"/>
                  </m:rPr>
                  <w:rPr>
                    <w:rFonts w:ascii="Cambria Math" w:hAnsi="Cambria Math"/>
                    <w:sz w:val="24"/>
                  </w:rPr>
                  <m:t xml:space="preserve">, </m:t>
                </m:r>
                <m:sSub>
                  <m:sSubPr>
                    <m:ctrlPr>
                      <w:rPr>
                        <w:rFonts w:ascii="Cambria Math" w:hAnsi="Cambria Math"/>
                        <w:sz w:val="24"/>
                      </w:rPr>
                    </m:ctrlPr>
                  </m:sSubPr>
                  <m:e>
                    <m:r>
                      <m:rPr>
                        <m:sty m:val="p"/>
                      </m:rPr>
                      <w:rPr>
                        <w:rFonts w:ascii="Cambria Math" w:hAnsi="Cambria Math"/>
                        <w:sz w:val="24"/>
                      </w:rPr>
                      <m:t>share1</m:t>
                    </m:r>
                    <m:ctrlPr>
                      <w:rPr>
                        <w:rFonts w:ascii="Cambria Math" w:hAnsi="Cambria Math"/>
                        <w:sz w:val="24"/>
                      </w:rPr>
                    </m:ctrlPr>
                  </m:e>
                  <m:sub>
                    <m:r>
                      <m:rPr/>
                      <w:rPr>
                        <w:rFonts w:ascii="Cambria Math" w:hAnsi="Cambria Math"/>
                        <w:sz w:val="24"/>
                      </w:rPr>
                      <m:t>c</m:t>
                    </m:r>
                    <m:r>
                      <m:rPr>
                        <m:sty m:val="p"/>
                      </m:rPr>
                      <w:rPr>
                        <w:rFonts w:ascii="Cambria Math" w:hAnsi="Cambria Math"/>
                        <w:sz w:val="24"/>
                      </w:rPr>
                      <m:t>,</m:t>
                    </m:r>
                    <m:r>
                      <m:rPr/>
                      <w:rPr>
                        <w:rFonts w:ascii="Cambria Math" w:hAnsi="Cambria Math"/>
                        <w:sz w:val="24"/>
                      </w:rPr>
                      <m:t>h</m:t>
                    </m:r>
                    <m:r>
                      <m:rPr>
                        <m:sty m:val="p"/>
                      </m:rPr>
                      <w:rPr>
                        <w:rFonts w:ascii="Cambria Math" w:hAnsi="Cambria Math"/>
                        <w:sz w:val="24"/>
                      </w:rPr>
                      <m:t>,</m:t>
                    </m:r>
                    <m:r>
                      <m:rPr/>
                      <w:rPr>
                        <w:rFonts w:ascii="Cambria Math" w:hAnsi="Cambria Math"/>
                        <w:sz w:val="24"/>
                      </w:rPr>
                      <m:t>w</m:t>
                    </m:r>
                    <m:ctrlPr>
                      <w:rPr>
                        <w:rFonts w:ascii="Cambria Math" w:hAnsi="Cambria Math"/>
                        <w:sz w:val="24"/>
                      </w:rPr>
                    </m:ctrlPr>
                  </m:sub>
                </m:sSub>
              </m:oMath>
            </m:oMathPara>
          </w:p>
        </w:tc>
        <w:tc>
          <w:tcPr>
            <w:tcW w:w="4073" w:type="dxa"/>
            <w:tcBorders>
              <w:top w:val="nil"/>
              <w:left w:val="nil"/>
              <w:bottom w:val="nil"/>
              <w:right w:val="nil"/>
            </w:tcBorders>
            <w:tcMar>
              <w:top w:w="-1" w:type="dxa"/>
              <w:left w:w="-1" w:type="dxa"/>
              <w:bottom w:w="-1" w:type="dxa"/>
              <w:right w:w="-1" w:type="dxa"/>
            </w:tcMar>
            <w:vAlign w:val="center"/>
          </w:tcPr>
          <w:p w14:paraId="6F0AB345">
            <w:pPr>
              <w:snapToGrid w:val="0"/>
              <w:jc w:val="left"/>
              <w:rPr>
                <w:rFonts w:ascii="宋体"/>
                <w:sz w:val="24"/>
              </w:rPr>
            </w:pPr>
            <w:r>
              <w:rPr>
                <w:rFonts w:ascii="宋体" w:hAnsi="宋体"/>
                <w:sz w:val="24"/>
              </w:rPr>
              <w:t>针对输入张量构造的两份秘密分享分片</w:t>
            </w:r>
          </w:p>
        </w:tc>
        <w:tc>
          <w:tcPr>
            <w:tcW w:w="2287" w:type="dxa"/>
            <w:tcBorders>
              <w:top w:val="nil"/>
              <w:left w:val="nil"/>
              <w:bottom w:val="nil"/>
              <w:right w:val="nil"/>
            </w:tcBorders>
            <w:tcMar>
              <w:top w:w="-1" w:type="dxa"/>
              <w:left w:w="-1" w:type="dxa"/>
              <w:bottom w:w="-1" w:type="dxa"/>
              <w:right w:w="-1" w:type="dxa"/>
            </w:tcMar>
            <w:vAlign w:val="center"/>
          </w:tcPr>
          <w:p w14:paraId="088C409A">
            <w:pPr>
              <w:snapToGrid w:val="0"/>
              <w:jc w:val="left"/>
              <w:rPr>
                <w:rFonts w:ascii="宋体"/>
                <w:sz w:val="24"/>
              </w:rPr>
            </w:pPr>
            <w:r>
              <w:rPr>
                <w:rFonts w:ascii="宋体" w:hAnsi="宋体"/>
                <w:sz w:val="24"/>
              </w:rPr>
              <w:t>式(3-4)</w:t>
            </w:r>
          </w:p>
        </w:tc>
      </w:tr>
      <w:tr w14:paraId="7CE13F4C">
        <w:tblPrEx>
          <w:tblCellMar>
            <w:top w:w="0" w:type="dxa"/>
            <w:left w:w="108" w:type="dxa"/>
            <w:bottom w:w="0" w:type="dxa"/>
            <w:right w:w="108" w:type="dxa"/>
          </w:tblCellMar>
        </w:tblPrEx>
        <w:trPr>
          <w:jc w:val="center"/>
        </w:trPr>
        <w:tc>
          <w:tcPr>
            <w:tcW w:w="2460" w:type="dxa"/>
            <w:tcBorders>
              <w:top w:val="nil"/>
              <w:left w:val="nil"/>
              <w:bottom w:val="nil"/>
              <w:right w:val="nil"/>
            </w:tcBorders>
            <w:tcMar>
              <w:top w:w="-1" w:type="dxa"/>
              <w:left w:w="-1" w:type="dxa"/>
              <w:bottom w:w="-1" w:type="dxa"/>
              <w:right w:w="-1" w:type="dxa"/>
            </w:tcMar>
            <w:vAlign w:val="center"/>
          </w:tcPr>
          <w:p w14:paraId="47359538">
            <w:pPr>
              <w:snapToGrid w:val="0"/>
              <w:jc w:val="center"/>
              <w:rPr>
                <w:rFonts w:ascii="宋体"/>
                <w:sz w:val="24"/>
              </w:rPr>
            </w:pPr>
            <m:oMathPara>
              <m:oMath>
                <m:sSub>
                  <m:sSubPr>
                    <m:ctrlPr>
                      <w:rPr>
                        <w:rFonts w:ascii="Cambria Math" w:hAnsi="Cambria Math"/>
                        <w:sz w:val="24"/>
                      </w:rPr>
                    </m:ctrlPr>
                  </m:sSubPr>
                  <m:e>
                    <m:r>
                      <m:rPr/>
                      <w:rPr>
                        <w:rFonts w:ascii="Cambria Math" w:hAnsi="Cambria Math"/>
                        <w:sz w:val="24"/>
                      </w:rPr>
                      <m:t>q</m:t>
                    </m:r>
                    <m:ctrlPr>
                      <w:rPr>
                        <w:rFonts w:ascii="Cambria Math" w:hAnsi="Cambria Math"/>
                        <w:sz w:val="24"/>
                      </w:rPr>
                    </m:ctrlPr>
                  </m:e>
                  <m:sub>
                    <m:r>
                      <m:rPr/>
                      <w:rPr>
                        <w:rFonts w:ascii="Cambria Math" w:hAnsi="Cambria Math"/>
                        <w:sz w:val="24"/>
                      </w:rPr>
                      <m:t>k</m:t>
                    </m:r>
                    <m:ctrlPr>
                      <w:rPr>
                        <w:rFonts w:ascii="Cambria Math" w:hAnsi="Cambria Math"/>
                        <w:sz w:val="24"/>
                      </w:rPr>
                    </m:ctrlPr>
                  </m:sub>
                </m:sSub>
                <m:r>
                  <m:rPr>
                    <m:sty m:val="p"/>
                  </m:rPr>
                  <w:rPr>
                    <w:rFonts w:ascii="Cambria Math" w:hAnsi="Cambria Math"/>
                    <w:sz w:val="24"/>
                  </w:rPr>
                  <m:t xml:space="preserve">, </m:t>
                </m:r>
                <m:sSub>
                  <m:sSubPr>
                    <m:ctrlPr>
                      <w:rPr>
                        <w:rFonts w:ascii="Cambria Math" w:hAnsi="Cambria Math"/>
                        <w:sz w:val="24"/>
                      </w:rPr>
                    </m:ctrlPr>
                  </m:sSubPr>
                  <m:e>
                    <m:r>
                      <m:rPr/>
                      <w:rPr>
                        <w:rFonts w:ascii="Cambria Math" w:hAnsi="Cambria Math"/>
                        <w:sz w:val="24"/>
                      </w:rPr>
                      <m:t>Δ</m:t>
                    </m:r>
                    <m:ctrlPr>
                      <w:rPr>
                        <w:rFonts w:ascii="Cambria Math" w:hAnsi="Cambria Math"/>
                        <w:sz w:val="24"/>
                      </w:rPr>
                    </m:ctrlPr>
                  </m:e>
                  <m:sub>
                    <m:r>
                      <m:rPr/>
                      <w:rPr>
                        <w:rFonts w:ascii="Cambria Math" w:hAnsi="Cambria Math"/>
                        <w:sz w:val="24"/>
                      </w:rPr>
                      <m:t>k</m:t>
                    </m:r>
                    <m:ctrlPr>
                      <w:rPr>
                        <w:rFonts w:ascii="Cambria Math" w:hAnsi="Cambria Math"/>
                        <w:sz w:val="24"/>
                      </w:rPr>
                    </m:ctrlPr>
                  </m:sub>
                </m:sSub>
              </m:oMath>
            </m:oMathPara>
          </w:p>
        </w:tc>
        <w:tc>
          <w:tcPr>
            <w:tcW w:w="4073" w:type="dxa"/>
            <w:tcBorders>
              <w:top w:val="nil"/>
              <w:left w:val="nil"/>
              <w:bottom w:val="nil"/>
              <w:right w:val="nil"/>
            </w:tcBorders>
            <w:tcMar>
              <w:top w:w="-1" w:type="dxa"/>
              <w:left w:w="-1" w:type="dxa"/>
              <w:bottom w:w="-1" w:type="dxa"/>
              <w:right w:w="-1" w:type="dxa"/>
            </w:tcMar>
            <w:vAlign w:val="center"/>
          </w:tcPr>
          <w:p w14:paraId="6DAA548A">
            <w:pPr>
              <w:snapToGrid w:val="0"/>
              <w:jc w:val="left"/>
              <w:rPr>
                <w:rFonts w:ascii="宋体"/>
                <w:sz w:val="24"/>
              </w:rPr>
            </w:pPr>
            <w:r>
              <w:rPr>
                <w:rFonts w:ascii="宋体" w:hAnsi="宋体"/>
                <w:sz w:val="24"/>
              </w:rPr>
              <w:t>第 k 个质量指标及其客户端/服务端绝对偏差</w:t>
            </w:r>
          </w:p>
        </w:tc>
        <w:tc>
          <w:tcPr>
            <w:tcW w:w="2287" w:type="dxa"/>
            <w:tcBorders>
              <w:top w:val="nil"/>
              <w:left w:val="nil"/>
              <w:bottom w:val="nil"/>
              <w:right w:val="nil"/>
            </w:tcBorders>
            <w:tcMar>
              <w:top w:w="-1" w:type="dxa"/>
              <w:left w:w="-1" w:type="dxa"/>
              <w:bottom w:w="-1" w:type="dxa"/>
              <w:right w:w="-1" w:type="dxa"/>
            </w:tcMar>
            <w:vAlign w:val="center"/>
          </w:tcPr>
          <w:p w14:paraId="3A7A321C">
            <w:pPr>
              <w:snapToGrid w:val="0"/>
              <w:jc w:val="left"/>
              <w:rPr>
                <w:rFonts w:ascii="宋体"/>
                <w:sz w:val="24"/>
              </w:rPr>
            </w:pPr>
            <w:r>
              <w:rPr>
                <w:rFonts w:ascii="宋体" w:hAnsi="宋体"/>
                <w:sz w:val="24"/>
              </w:rPr>
              <w:t>式(3-9)</w:t>
            </w:r>
          </w:p>
        </w:tc>
      </w:tr>
      <w:tr w14:paraId="4D41C1D5">
        <w:tblPrEx>
          <w:tblCellMar>
            <w:top w:w="0" w:type="dxa"/>
            <w:left w:w="108" w:type="dxa"/>
            <w:bottom w:w="0" w:type="dxa"/>
            <w:right w:w="108" w:type="dxa"/>
          </w:tblCellMar>
        </w:tblPrEx>
        <w:trPr>
          <w:jc w:val="center"/>
        </w:trPr>
        <w:tc>
          <w:tcPr>
            <w:tcW w:w="2460" w:type="dxa"/>
            <w:tcBorders>
              <w:top w:val="nil"/>
              <w:left w:val="nil"/>
              <w:bottom w:val="single" w:color="auto" w:sz="12" w:space="0"/>
              <w:right w:val="nil"/>
            </w:tcBorders>
            <w:tcMar>
              <w:top w:w="-1" w:type="dxa"/>
              <w:left w:w="-1" w:type="dxa"/>
              <w:bottom w:w="-1" w:type="dxa"/>
              <w:right w:w="-1" w:type="dxa"/>
            </w:tcMar>
            <w:vAlign w:val="center"/>
          </w:tcPr>
          <w:p w14:paraId="684652B9">
            <w:pPr>
              <w:snapToGrid w:val="0"/>
              <w:jc w:val="center"/>
              <w:rPr>
                <w:rFonts w:ascii="宋体"/>
                <w:sz w:val="24"/>
              </w:rPr>
            </w:pPr>
            <m:oMathPara>
              <m:oMath>
                <m:r>
                  <m:rPr/>
                  <w:rPr>
                    <w:rFonts w:ascii="Cambria Math" w:hAnsi="Cambria Math"/>
                    <w:sz w:val="24"/>
                  </w:rPr>
                  <m:t>N</m:t>
                </m:r>
                <m:r>
                  <m:rPr>
                    <m:sty m:val="p"/>
                  </m:rPr>
                  <w:rPr>
                    <w:rFonts w:ascii="Cambria Math" w:hAnsi="Cambria Math"/>
                    <w:sz w:val="24"/>
                  </w:rPr>
                  <m:t xml:space="preserve">, </m:t>
                </m:r>
                <m:r>
                  <m:rPr/>
                  <w:rPr>
                    <w:rFonts w:ascii="Cambria Math" w:hAnsi="Cambria Math"/>
                    <w:sz w:val="24"/>
                  </w:rPr>
                  <m:t>L</m:t>
                </m:r>
                <m:d>
                  <m:dPr>
                    <m:ctrlPr>
                      <w:rPr>
                        <w:rFonts w:ascii="Cambria Math" w:hAnsi="Cambria Math"/>
                        <w:sz w:val="24"/>
                      </w:rPr>
                    </m:ctrlPr>
                  </m:dPr>
                  <m:e>
                    <m:r>
                      <m:rPr/>
                      <w:rPr>
                        <w:rFonts w:ascii="Cambria Math" w:hAnsi="Cambria Math"/>
                        <w:sz w:val="24"/>
                      </w:rPr>
                      <m:t>x</m:t>
                    </m:r>
                    <m:r>
                      <m:rPr>
                        <m:sty m:val="p"/>
                      </m:rPr>
                      <w:rPr>
                        <w:rFonts w:ascii="Cambria Math" w:hAnsi="Cambria Math"/>
                        <w:sz w:val="24"/>
                      </w:rPr>
                      <m:t>,</m:t>
                    </m:r>
                    <m:r>
                      <m:rPr/>
                      <w:rPr>
                        <w:rFonts w:ascii="Cambria Math" w:hAnsi="Cambria Math"/>
                        <w:sz w:val="24"/>
                      </w:rPr>
                      <m:t>y</m:t>
                    </m:r>
                    <m:ctrlPr>
                      <w:rPr>
                        <w:rFonts w:ascii="Cambria Math" w:hAnsi="Cambria Math"/>
                        <w:sz w:val="24"/>
                      </w:rPr>
                    </m:ctrlPr>
                  </m:e>
                </m:d>
                <m:r>
                  <m:rPr>
                    <m:sty m:val="p"/>
                  </m:rPr>
                  <w:rPr>
                    <w:rFonts w:ascii="Cambria Math" w:hAnsi="Cambria Math"/>
                    <w:sz w:val="24"/>
                  </w:rPr>
                  <m:t>, lap</m:t>
                </m:r>
                <m:d>
                  <m:dPr>
                    <m:ctrlPr>
                      <w:rPr>
                        <w:rFonts w:ascii="Cambria Math" w:hAnsi="Cambria Math"/>
                        <w:sz w:val="24"/>
                      </w:rPr>
                    </m:ctrlPr>
                  </m:dPr>
                  <m:e>
                    <m:r>
                      <m:rPr/>
                      <w:rPr>
                        <w:rFonts w:ascii="Cambria Math" w:hAnsi="Cambria Math"/>
                        <w:sz w:val="24"/>
                      </w:rPr>
                      <m:t>x</m:t>
                    </m:r>
                    <m:r>
                      <m:rPr>
                        <m:sty m:val="p"/>
                      </m:rPr>
                      <w:rPr>
                        <w:rFonts w:ascii="Cambria Math" w:hAnsi="Cambria Math"/>
                        <w:sz w:val="24"/>
                      </w:rPr>
                      <m:t>,</m:t>
                    </m:r>
                    <m:r>
                      <m:rPr/>
                      <w:rPr>
                        <w:rFonts w:ascii="Cambria Math" w:hAnsi="Cambria Math"/>
                        <w:sz w:val="24"/>
                      </w:rPr>
                      <m:t>y</m:t>
                    </m:r>
                    <m:ctrlPr>
                      <w:rPr>
                        <w:rFonts w:ascii="Cambria Math" w:hAnsi="Cambria Math"/>
                        <w:sz w:val="24"/>
                      </w:rPr>
                    </m:ctrlPr>
                  </m:e>
                </m:d>
              </m:oMath>
            </m:oMathPara>
          </w:p>
        </w:tc>
        <w:tc>
          <w:tcPr>
            <w:tcW w:w="4073" w:type="dxa"/>
            <w:tcBorders>
              <w:top w:val="nil"/>
              <w:left w:val="nil"/>
              <w:bottom w:val="single" w:color="auto" w:sz="12" w:space="0"/>
              <w:right w:val="nil"/>
            </w:tcBorders>
            <w:tcMar>
              <w:top w:w="-1" w:type="dxa"/>
              <w:left w:w="-1" w:type="dxa"/>
              <w:bottom w:w="-1" w:type="dxa"/>
              <w:right w:w="-1" w:type="dxa"/>
            </w:tcMar>
            <w:vAlign w:val="center"/>
          </w:tcPr>
          <w:p w14:paraId="6CE076D2">
            <w:pPr>
              <w:snapToGrid w:val="0"/>
              <w:jc w:val="left"/>
              <w:rPr>
                <w:rFonts w:ascii="宋体"/>
                <w:sz w:val="24"/>
              </w:rPr>
            </w:pPr>
            <w:r>
              <w:rPr>
                <w:rFonts w:ascii="宋体" w:hAnsi="宋体"/>
                <w:sz w:val="24"/>
              </w:rPr>
              <w:t>像素总数、亮度值与离散拉普拉斯响应</w:t>
            </w:r>
          </w:p>
        </w:tc>
        <w:tc>
          <w:tcPr>
            <w:tcW w:w="2287" w:type="dxa"/>
            <w:tcBorders>
              <w:top w:val="nil"/>
              <w:left w:val="nil"/>
              <w:bottom w:val="single" w:color="auto" w:sz="12" w:space="0"/>
              <w:right w:val="nil"/>
            </w:tcBorders>
            <w:tcMar>
              <w:top w:w="-1" w:type="dxa"/>
              <w:left w:w="-1" w:type="dxa"/>
              <w:bottom w:w="-1" w:type="dxa"/>
              <w:right w:w="-1" w:type="dxa"/>
            </w:tcMar>
            <w:vAlign w:val="center"/>
          </w:tcPr>
          <w:p w14:paraId="7A3B3A8A">
            <w:pPr>
              <w:snapToGrid w:val="0"/>
              <w:jc w:val="left"/>
              <w:rPr>
                <w:rFonts w:ascii="宋体"/>
                <w:sz w:val="24"/>
              </w:rPr>
            </w:pPr>
            <w:r>
              <w:rPr>
                <w:rFonts w:ascii="宋体" w:hAnsi="宋体"/>
                <w:sz w:val="24"/>
              </w:rPr>
              <w:t>式(3-7)、式(3-8)</w:t>
            </w:r>
          </w:p>
        </w:tc>
      </w:tr>
    </w:tbl>
    <w:p w14:paraId="6EB5F266">
      <w:pPr>
        <w:spacing w:line="360" w:lineRule="auto"/>
        <w:outlineLvl w:val="1"/>
        <w:rPr>
          <w:rFonts w:hint="eastAsia" w:ascii="黑体" w:hAnsi="黑体" w:eastAsia="黑体"/>
          <w:b/>
          <w:sz w:val="24"/>
        </w:rPr>
      </w:pPr>
      <w:bookmarkStart w:id="34" w:name="_Toc230691157"/>
      <w:bookmarkStart w:id="35" w:name="Transshield_TOC_section_3_5"/>
      <w:r>
        <w:rPr>
          <w:rFonts w:ascii="黑体" w:hAnsi="黑体" w:eastAsia="黑体"/>
          <w:b/>
          <w:sz w:val="24"/>
        </w:rPr>
        <w:t>3.5 关键交付物与证据落点</w:t>
      </w:r>
      <w:bookmarkEnd w:id="34"/>
      <w:bookmarkEnd w:id="35"/>
    </w:p>
    <w:p w14:paraId="55213415">
      <w:pPr>
        <w:spacing w:line="360" w:lineRule="auto"/>
        <w:rPr>
          <w:rFonts w:hint="eastAsia" w:ascii="宋体" w:hAnsi="宋体" w:cs="宋体"/>
          <w:sz w:val="24"/>
        </w:rPr>
      </w:pPr>
      <w:r>
        <w:rPr>
          <w:rFonts w:ascii="宋体" w:hAnsi="宋体" w:cs="宋体"/>
          <w:sz w:val="24"/>
        </w:rPr>
        <w:t xml:space="preserve">本作品的核心交付物、仓内存储路径与用途说明如表 </w:t>
      </w:r>
      <w:r>
        <w:rPr>
          <w:rFonts w:hint="eastAsia" w:ascii="宋体" w:hAnsi="宋体" w:cs="宋体"/>
          <w:sz w:val="24"/>
        </w:rPr>
        <w:t>6</w:t>
      </w:r>
      <w:r>
        <w:rPr>
          <w:rFonts w:ascii="宋体" w:hAnsi="宋体" w:cs="宋体"/>
          <w:sz w:val="24"/>
        </w:rPr>
        <w:t xml:space="preserve"> 所示。</w:t>
      </w:r>
    </w:p>
    <w:p w14:paraId="75D7DB5F">
      <w:pPr>
        <w:spacing w:line="360" w:lineRule="auto"/>
        <w:jc w:val="center"/>
        <w:rPr>
          <w:rFonts w:hint="eastAsia" w:ascii="宋体" w:hAnsi="宋体" w:cs="宋体"/>
          <w:sz w:val="24"/>
        </w:rPr>
      </w:pPr>
      <w:r>
        <w:rPr>
          <w:rFonts w:ascii="宋体" w:hAnsi="宋体" w:cs="宋体"/>
          <w:sz w:val="24"/>
        </w:rPr>
        <w:t xml:space="preserve">表 </w:t>
      </w:r>
      <w:r>
        <w:rPr>
          <w:rFonts w:hint="eastAsia" w:ascii="宋体" w:hAnsi="宋体" w:cs="宋体"/>
          <w:sz w:val="24"/>
        </w:rPr>
        <w:t>6</w:t>
      </w:r>
      <w:r>
        <w:rPr>
          <w:rFonts w:ascii="宋体" w:hAnsi="宋体" w:cs="宋体"/>
          <w:sz w:val="24"/>
        </w:rPr>
        <w:t xml:space="preserve"> 系统关键交付物与仓内落点说明</w:t>
      </w:r>
    </w:p>
    <w:tbl>
      <w:tblPr>
        <w:tblStyle w:val="7"/>
        <w:tblW w:w="8820" w:type="dxa"/>
        <w:jc w:val="center"/>
        <w:tblLayout w:type="autofit"/>
        <w:tblCellMar>
          <w:top w:w="0" w:type="dxa"/>
          <w:left w:w="108" w:type="dxa"/>
          <w:bottom w:w="0" w:type="dxa"/>
          <w:right w:w="108" w:type="dxa"/>
        </w:tblCellMar>
      </w:tblPr>
      <w:tblGrid>
        <w:gridCol w:w="1841"/>
        <w:gridCol w:w="4906"/>
        <w:gridCol w:w="2073"/>
      </w:tblGrid>
      <w:tr w14:paraId="2DCF2378">
        <w:tblPrEx>
          <w:tblCellMar>
            <w:top w:w="0" w:type="dxa"/>
            <w:left w:w="108" w:type="dxa"/>
            <w:bottom w:w="0" w:type="dxa"/>
            <w:right w:w="108" w:type="dxa"/>
          </w:tblCellMar>
        </w:tblPrEx>
        <w:trPr>
          <w:tblHeader/>
          <w:jc w:val="center"/>
        </w:trPr>
        <w:tc>
          <w:tcPr>
            <w:tcW w:w="2178" w:type="dxa"/>
            <w:tcBorders>
              <w:top w:val="single" w:color="auto" w:sz="12" w:space="0"/>
              <w:left w:val="nil"/>
              <w:bottom w:val="nil"/>
              <w:right w:val="nil"/>
            </w:tcBorders>
            <w:tcMar>
              <w:top w:w="-1" w:type="dxa"/>
              <w:left w:w="-1" w:type="dxa"/>
              <w:bottom w:w="-1" w:type="dxa"/>
              <w:right w:w="-1" w:type="dxa"/>
            </w:tcMar>
            <w:vAlign w:val="center"/>
          </w:tcPr>
          <w:p w14:paraId="7507D23B">
            <w:pPr>
              <w:keepNext/>
              <w:snapToGrid w:val="0"/>
              <w:jc w:val="center"/>
              <w:rPr>
                <w:rFonts w:ascii="宋体"/>
                <w:b/>
                <w:sz w:val="24"/>
              </w:rPr>
            </w:pPr>
            <w:r>
              <w:rPr>
                <w:rFonts w:ascii="宋体" w:hAnsi="宋体"/>
                <w:b/>
                <w:sz w:val="24"/>
              </w:rPr>
              <w:t>类别</w:t>
            </w:r>
          </w:p>
        </w:tc>
        <w:tc>
          <w:tcPr>
            <w:tcW w:w="4546" w:type="dxa"/>
            <w:tcBorders>
              <w:top w:val="single" w:color="auto" w:sz="12" w:space="0"/>
              <w:left w:val="nil"/>
              <w:bottom w:val="nil"/>
              <w:right w:val="nil"/>
            </w:tcBorders>
            <w:tcMar>
              <w:top w:w="-1" w:type="dxa"/>
              <w:left w:w="-1" w:type="dxa"/>
              <w:bottom w:w="-1" w:type="dxa"/>
              <w:right w:w="-1" w:type="dxa"/>
            </w:tcMar>
            <w:vAlign w:val="center"/>
          </w:tcPr>
          <w:p w14:paraId="4819120D">
            <w:pPr>
              <w:keepNext/>
              <w:snapToGrid w:val="0"/>
              <w:jc w:val="center"/>
              <w:rPr>
                <w:rFonts w:ascii="宋体"/>
                <w:b/>
                <w:sz w:val="24"/>
              </w:rPr>
            </w:pPr>
            <w:r>
              <w:rPr>
                <w:rFonts w:ascii="宋体" w:hAnsi="宋体"/>
                <w:b/>
                <w:sz w:val="24"/>
              </w:rPr>
              <w:t>仓内落点</w:t>
            </w:r>
          </w:p>
        </w:tc>
        <w:tc>
          <w:tcPr>
            <w:tcW w:w="2096" w:type="dxa"/>
            <w:tcBorders>
              <w:top w:val="single" w:color="auto" w:sz="12" w:space="0"/>
              <w:left w:val="nil"/>
              <w:bottom w:val="nil"/>
              <w:right w:val="nil"/>
            </w:tcBorders>
            <w:tcMar>
              <w:top w:w="-1" w:type="dxa"/>
              <w:left w:w="-1" w:type="dxa"/>
              <w:bottom w:w="-1" w:type="dxa"/>
              <w:right w:w="-1" w:type="dxa"/>
            </w:tcMar>
            <w:vAlign w:val="center"/>
          </w:tcPr>
          <w:p w14:paraId="04D656DE">
            <w:pPr>
              <w:keepNext/>
              <w:snapToGrid w:val="0"/>
              <w:jc w:val="center"/>
              <w:rPr>
                <w:rFonts w:ascii="宋体"/>
                <w:b/>
                <w:sz w:val="24"/>
              </w:rPr>
            </w:pPr>
            <w:r>
              <w:rPr>
                <w:rFonts w:ascii="宋体" w:hAnsi="宋体"/>
                <w:b/>
                <w:sz w:val="24"/>
              </w:rPr>
              <w:t>用途</w:t>
            </w:r>
          </w:p>
        </w:tc>
      </w:tr>
      <w:tr w14:paraId="46D4E3F1">
        <w:tblPrEx>
          <w:tblCellMar>
            <w:top w:w="0" w:type="dxa"/>
            <w:left w:w="108" w:type="dxa"/>
            <w:bottom w:w="0" w:type="dxa"/>
            <w:right w:w="108" w:type="dxa"/>
          </w:tblCellMar>
        </w:tblPrEx>
        <w:trPr>
          <w:jc w:val="center"/>
        </w:trPr>
        <w:tc>
          <w:tcPr>
            <w:tcW w:w="2178" w:type="dxa"/>
            <w:tcBorders>
              <w:top w:val="single" w:color="auto" w:sz="4" w:space="0"/>
              <w:left w:val="nil"/>
              <w:bottom w:val="nil"/>
              <w:right w:val="nil"/>
            </w:tcBorders>
            <w:tcMar>
              <w:top w:w="-1" w:type="dxa"/>
              <w:left w:w="-1" w:type="dxa"/>
              <w:bottom w:w="-1" w:type="dxa"/>
              <w:right w:w="-1" w:type="dxa"/>
            </w:tcMar>
            <w:vAlign w:val="center"/>
          </w:tcPr>
          <w:p w14:paraId="7E907B7F">
            <w:pPr>
              <w:keepNext/>
              <w:snapToGrid w:val="0"/>
              <w:jc w:val="center"/>
              <w:rPr>
                <w:rFonts w:ascii="宋体"/>
                <w:sz w:val="24"/>
              </w:rPr>
            </w:pPr>
            <w:r>
              <w:rPr>
                <w:rFonts w:ascii="宋体" w:hAnsi="宋体"/>
                <w:sz w:val="24"/>
              </w:rPr>
              <w:t>前后端演示程序</w:t>
            </w:r>
          </w:p>
        </w:tc>
        <w:tc>
          <w:tcPr>
            <w:tcW w:w="4546" w:type="dxa"/>
            <w:tcBorders>
              <w:top w:val="single" w:color="auto" w:sz="4" w:space="0"/>
              <w:left w:val="nil"/>
              <w:bottom w:val="nil"/>
              <w:right w:val="nil"/>
            </w:tcBorders>
            <w:tcMar>
              <w:top w:w="-1" w:type="dxa"/>
              <w:left w:w="-1" w:type="dxa"/>
              <w:bottom w:w="-1" w:type="dxa"/>
              <w:right w:w="-1" w:type="dxa"/>
            </w:tcMar>
            <w:vAlign w:val="center"/>
          </w:tcPr>
          <w:p w14:paraId="07DEAD3A">
            <w:r>
              <w:t>showcase/src/；showcase/src/workers/medicalControlPlaneWorker.ts；showcase_api/app.py；showcase_api/control_plane.py</w:t>
            </w:r>
          </w:p>
        </w:tc>
        <w:tc>
          <w:tcPr>
            <w:tcW w:w="2096" w:type="dxa"/>
            <w:tcBorders>
              <w:top w:val="single" w:color="auto" w:sz="4" w:space="0"/>
              <w:left w:val="nil"/>
              <w:bottom w:val="nil"/>
              <w:right w:val="nil"/>
            </w:tcBorders>
            <w:tcMar>
              <w:top w:w="-1" w:type="dxa"/>
              <w:left w:w="-1" w:type="dxa"/>
              <w:bottom w:w="-1" w:type="dxa"/>
              <w:right w:w="-1" w:type="dxa"/>
            </w:tcMar>
            <w:vAlign w:val="center"/>
          </w:tcPr>
          <w:p w14:paraId="04A847BE">
            <w:r>
              <w:t>承载浏览器工作线程、服务端权威快检、页面交互与 /api/medical/live-run 入口</w:t>
            </w:r>
          </w:p>
        </w:tc>
      </w:tr>
      <w:tr w14:paraId="11CB4AE5">
        <w:tblPrEx>
          <w:tblCellMar>
            <w:top w:w="0" w:type="dxa"/>
            <w:left w:w="108" w:type="dxa"/>
            <w:bottom w:w="0" w:type="dxa"/>
            <w:right w:w="108" w:type="dxa"/>
          </w:tblCellMar>
        </w:tblPrEx>
        <w:trPr>
          <w:jc w:val="center"/>
        </w:trPr>
        <w:tc>
          <w:tcPr>
            <w:tcW w:w="2178" w:type="dxa"/>
            <w:tcBorders>
              <w:top w:val="nil"/>
              <w:left w:val="nil"/>
              <w:bottom w:val="nil"/>
              <w:right w:val="nil"/>
            </w:tcBorders>
            <w:tcMar>
              <w:top w:w="-1" w:type="dxa"/>
              <w:left w:w="-1" w:type="dxa"/>
              <w:bottom w:w="-1" w:type="dxa"/>
              <w:right w:w="-1" w:type="dxa"/>
            </w:tcMar>
            <w:vAlign w:val="center"/>
          </w:tcPr>
          <w:p w14:paraId="70397CEC">
            <w:pPr>
              <w:keepNext/>
              <w:snapToGrid w:val="0"/>
              <w:jc w:val="center"/>
              <w:rPr>
                <w:rFonts w:ascii="宋体"/>
                <w:sz w:val="24"/>
              </w:rPr>
            </w:pPr>
            <w:r>
              <w:rPr>
                <w:rFonts w:ascii="宋体" w:hAnsi="宋体"/>
                <w:sz w:val="24"/>
              </w:rPr>
              <w:t>自动化验证脚本</w:t>
            </w:r>
          </w:p>
        </w:tc>
        <w:tc>
          <w:tcPr>
            <w:tcW w:w="4546" w:type="dxa"/>
            <w:tcBorders>
              <w:top w:val="nil"/>
              <w:left w:val="nil"/>
              <w:bottom w:val="nil"/>
              <w:right w:val="nil"/>
            </w:tcBorders>
            <w:tcMar>
              <w:top w:w="-1" w:type="dxa"/>
              <w:left w:w="-1" w:type="dxa"/>
              <w:bottom w:w="-1" w:type="dxa"/>
              <w:right w:w="-1" w:type="dxa"/>
            </w:tcMar>
            <w:vAlign w:val="center"/>
          </w:tcPr>
          <w:p w14:paraId="687A6AE9">
            <w:r>
              <w:t>tools/showcase_protocol_fuzz.py；tools/showcase_guard_stress.py</w:t>
            </w:r>
          </w:p>
        </w:tc>
        <w:tc>
          <w:tcPr>
            <w:tcW w:w="2096" w:type="dxa"/>
            <w:tcBorders>
              <w:top w:val="nil"/>
              <w:left w:val="nil"/>
              <w:bottom w:val="nil"/>
              <w:right w:val="nil"/>
            </w:tcBorders>
            <w:tcMar>
              <w:top w:w="-1" w:type="dxa"/>
              <w:left w:w="-1" w:type="dxa"/>
              <w:bottom w:w="-1" w:type="dxa"/>
              <w:right w:w="-1" w:type="dxa"/>
            </w:tcMar>
            <w:vAlign w:val="center"/>
          </w:tcPr>
          <w:p w14:paraId="3B644C2E">
            <w:r>
              <w:t>验证协议层异常输入、重放与并发守卫</w:t>
            </w:r>
          </w:p>
        </w:tc>
      </w:tr>
      <w:tr w14:paraId="5F9822B0">
        <w:tblPrEx>
          <w:tblCellMar>
            <w:top w:w="0" w:type="dxa"/>
            <w:left w:w="108" w:type="dxa"/>
            <w:bottom w:w="0" w:type="dxa"/>
            <w:right w:w="108" w:type="dxa"/>
          </w:tblCellMar>
        </w:tblPrEx>
        <w:trPr>
          <w:jc w:val="center"/>
        </w:trPr>
        <w:tc>
          <w:tcPr>
            <w:tcW w:w="2178" w:type="dxa"/>
            <w:tcBorders>
              <w:top w:val="nil"/>
              <w:left w:val="nil"/>
              <w:bottom w:val="nil"/>
              <w:right w:val="nil"/>
            </w:tcBorders>
            <w:tcMar>
              <w:top w:w="-1" w:type="dxa"/>
              <w:left w:w="-1" w:type="dxa"/>
              <w:bottom w:w="-1" w:type="dxa"/>
              <w:right w:w="-1" w:type="dxa"/>
            </w:tcMar>
            <w:vAlign w:val="center"/>
          </w:tcPr>
          <w:p w14:paraId="3F04DFED">
            <w:r>
              <w:t>图件与报告生成脚本</w:t>
            </w:r>
          </w:p>
        </w:tc>
        <w:tc>
          <w:tcPr>
            <w:tcW w:w="4546" w:type="dxa"/>
            <w:tcBorders>
              <w:top w:val="nil"/>
              <w:left w:val="nil"/>
              <w:bottom w:val="nil"/>
              <w:right w:val="nil"/>
            </w:tcBorders>
            <w:tcMar>
              <w:top w:w="-1" w:type="dxa"/>
              <w:left w:w="-1" w:type="dxa"/>
              <w:bottom w:w="-1" w:type="dxa"/>
              <w:right w:w="-1" w:type="dxa"/>
            </w:tcMar>
            <w:vAlign w:val="center"/>
          </w:tcPr>
          <w:p w14:paraId="390F4B6F">
            <w:r>
              <w:t>tools/showcase_extract_report_assets.py；showcase/public/report-assets/；showcase/src/generated/report_content.json</w:t>
            </w:r>
          </w:p>
        </w:tc>
        <w:tc>
          <w:tcPr>
            <w:tcW w:w="2096" w:type="dxa"/>
            <w:tcBorders>
              <w:top w:val="nil"/>
              <w:left w:val="nil"/>
              <w:bottom w:val="nil"/>
              <w:right w:val="nil"/>
            </w:tcBorders>
            <w:tcMar>
              <w:top w:w="-1" w:type="dxa"/>
              <w:left w:w="-1" w:type="dxa"/>
              <w:bottom w:w="-1" w:type="dxa"/>
              <w:right w:w="-1" w:type="dxa"/>
            </w:tcMar>
            <w:vAlign w:val="center"/>
          </w:tcPr>
          <w:p w14:paraId="1ACDADFA">
            <w:r>
              <w:t>从正式 DOCX 提取展示图件与章节 JSON，用于重建展示站内容</w:t>
            </w:r>
          </w:p>
        </w:tc>
      </w:tr>
      <w:tr w14:paraId="5D83135A">
        <w:tblPrEx>
          <w:tblCellMar>
            <w:top w:w="0" w:type="dxa"/>
            <w:left w:w="108" w:type="dxa"/>
            <w:bottom w:w="0" w:type="dxa"/>
            <w:right w:w="108" w:type="dxa"/>
          </w:tblCellMar>
        </w:tblPrEx>
        <w:trPr>
          <w:jc w:val="center"/>
        </w:trPr>
        <w:tc>
          <w:tcPr>
            <w:tcW w:w="2178" w:type="dxa"/>
            <w:tcBorders>
              <w:top w:val="nil"/>
              <w:left w:val="nil"/>
              <w:bottom w:val="nil"/>
              <w:right w:val="nil"/>
            </w:tcBorders>
            <w:tcMar>
              <w:top w:w="-1" w:type="dxa"/>
              <w:left w:w="-1" w:type="dxa"/>
              <w:bottom w:w="-1" w:type="dxa"/>
              <w:right w:w="-1" w:type="dxa"/>
            </w:tcMar>
            <w:vAlign w:val="center"/>
          </w:tcPr>
          <w:p w14:paraId="6A77B617">
            <w:pPr>
              <w:keepNext/>
              <w:snapToGrid w:val="0"/>
              <w:jc w:val="center"/>
              <w:rPr>
                <w:rFonts w:ascii="宋体"/>
                <w:sz w:val="24"/>
              </w:rPr>
            </w:pPr>
            <w:r>
              <w:rPr>
                <w:rFonts w:ascii="宋体" w:hAnsi="宋体"/>
                <w:sz w:val="24"/>
              </w:rPr>
              <w:t>复现说明</w:t>
            </w:r>
          </w:p>
        </w:tc>
        <w:tc>
          <w:tcPr>
            <w:tcW w:w="4546" w:type="dxa"/>
            <w:tcBorders>
              <w:top w:val="nil"/>
              <w:left w:val="nil"/>
              <w:bottom w:val="nil"/>
              <w:right w:val="nil"/>
            </w:tcBorders>
            <w:tcMar>
              <w:top w:w="-1" w:type="dxa"/>
              <w:left w:w="-1" w:type="dxa"/>
              <w:bottom w:w="-1" w:type="dxa"/>
              <w:right w:w="-1" w:type="dxa"/>
            </w:tcMar>
            <w:vAlign w:val="center"/>
          </w:tcPr>
          <w:p w14:paraId="0D918FBD">
            <w:pPr>
              <w:keepNext/>
              <w:snapToGrid w:val="0"/>
              <w:jc w:val="left"/>
              <w:rPr>
                <w:rFonts w:ascii="宋体"/>
                <w:sz w:val="24"/>
              </w:rPr>
            </w:pPr>
            <w:r>
              <w:rPr>
                <w:rFonts w:ascii="宋体" w:hAnsi="宋体"/>
                <w:sz w:val="24"/>
              </w:rPr>
              <w:t>README_REPRODUCE.md</w:t>
            </w:r>
          </w:p>
        </w:tc>
        <w:tc>
          <w:tcPr>
            <w:tcW w:w="2096" w:type="dxa"/>
            <w:tcBorders>
              <w:top w:val="nil"/>
              <w:left w:val="nil"/>
              <w:bottom w:val="nil"/>
              <w:right w:val="nil"/>
            </w:tcBorders>
            <w:tcMar>
              <w:top w:w="-1" w:type="dxa"/>
              <w:left w:w="-1" w:type="dxa"/>
              <w:bottom w:w="-1" w:type="dxa"/>
              <w:right w:w="-1" w:type="dxa"/>
            </w:tcMar>
            <w:vAlign w:val="center"/>
          </w:tcPr>
          <w:p w14:paraId="2443F10C">
            <w:pPr>
              <w:keepNext/>
              <w:snapToGrid w:val="0"/>
              <w:jc w:val="left"/>
              <w:rPr>
                <w:rFonts w:ascii="宋体"/>
                <w:sz w:val="24"/>
              </w:rPr>
            </w:pPr>
            <w:r>
              <w:rPr>
                <w:rFonts w:ascii="宋体" w:hAnsi="宋体"/>
                <w:sz w:val="24"/>
              </w:rPr>
              <w:t>提供环境约束、运行步骤与预期输出</w:t>
            </w:r>
          </w:p>
        </w:tc>
      </w:tr>
      <w:tr w14:paraId="08E51484">
        <w:tblPrEx>
          <w:tblCellMar>
            <w:top w:w="0" w:type="dxa"/>
            <w:left w:w="108" w:type="dxa"/>
            <w:bottom w:w="0" w:type="dxa"/>
            <w:right w:w="108" w:type="dxa"/>
          </w:tblCellMar>
        </w:tblPrEx>
        <w:trPr>
          <w:jc w:val="center"/>
        </w:trPr>
        <w:tc>
          <w:tcPr>
            <w:tcW w:w="2178" w:type="dxa"/>
            <w:tcBorders>
              <w:top w:val="nil"/>
              <w:left w:val="nil"/>
              <w:bottom w:val="single" w:color="auto" w:sz="12" w:space="0"/>
              <w:right w:val="nil"/>
            </w:tcBorders>
            <w:tcMar>
              <w:top w:w="-1" w:type="dxa"/>
              <w:left w:w="-1" w:type="dxa"/>
              <w:bottom w:w="-1" w:type="dxa"/>
              <w:right w:w="-1" w:type="dxa"/>
            </w:tcMar>
            <w:vAlign w:val="center"/>
          </w:tcPr>
          <w:p w14:paraId="088A542B">
            <w:pPr>
              <w:keepNext/>
              <w:snapToGrid w:val="0"/>
              <w:jc w:val="center"/>
              <w:rPr>
                <w:rFonts w:ascii="宋体"/>
                <w:sz w:val="24"/>
              </w:rPr>
            </w:pPr>
            <w:r>
              <w:rPr>
                <w:rFonts w:ascii="宋体" w:hAnsi="宋体"/>
                <w:sz w:val="24"/>
              </w:rPr>
              <w:t>许可证与修改映射</w:t>
            </w:r>
          </w:p>
        </w:tc>
        <w:tc>
          <w:tcPr>
            <w:tcW w:w="4546" w:type="dxa"/>
            <w:tcBorders>
              <w:top w:val="nil"/>
              <w:left w:val="nil"/>
              <w:bottom w:val="single" w:color="auto" w:sz="12" w:space="0"/>
              <w:right w:val="nil"/>
            </w:tcBorders>
            <w:tcMar>
              <w:top w:w="-1" w:type="dxa"/>
              <w:left w:w="-1" w:type="dxa"/>
              <w:bottom w:w="-1" w:type="dxa"/>
              <w:right w:w="-1" w:type="dxa"/>
            </w:tcMar>
            <w:vAlign w:val="center"/>
          </w:tcPr>
          <w:p w14:paraId="3DCB9B63">
            <w:pPr>
              <w:keepNext/>
              <w:snapToGrid w:val="0"/>
              <w:jc w:val="left"/>
              <w:rPr>
                <w:rFonts w:ascii="宋体"/>
                <w:sz w:val="24"/>
              </w:rPr>
            </w:pPr>
            <w:r>
              <w:rPr>
                <w:rFonts w:ascii="宋体" w:hAnsi="宋体"/>
                <w:sz w:val="24"/>
              </w:rPr>
              <w:t>spu_vendored/LICENSE；spu_vendored/MODIFICATIONS.md；THIRD_PARTY.md</w:t>
            </w:r>
          </w:p>
        </w:tc>
        <w:tc>
          <w:tcPr>
            <w:tcW w:w="2096" w:type="dxa"/>
            <w:tcBorders>
              <w:top w:val="nil"/>
              <w:left w:val="nil"/>
              <w:bottom w:val="single" w:color="auto" w:sz="12" w:space="0"/>
              <w:right w:val="nil"/>
            </w:tcBorders>
            <w:tcMar>
              <w:top w:w="-1" w:type="dxa"/>
              <w:left w:w="-1" w:type="dxa"/>
              <w:bottom w:w="-1" w:type="dxa"/>
              <w:right w:w="-1" w:type="dxa"/>
            </w:tcMar>
            <w:vAlign w:val="center"/>
          </w:tcPr>
          <w:p w14:paraId="4714ED6C">
            <w:pPr>
              <w:keepNext/>
              <w:snapToGrid w:val="0"/>
              <w:jc w:val="left"/>
              <w:rPr>
                <w:rFonts w:ascii="宋体"/>
                <w:sz w:val="24"/>
              </w:rPr>
            </w:pPr>
            <w:r>
              <w:rPr>
                <w:rFonts w:ascii="宋体" w:hAnsi="宋体"/>
                <w:sz w:val="24"/>
              </w:rPr>
              <w:t>支撑第三方许可与本地修改说明</w:t>
            </w:r>
          </w:p>
        </w:tc>
      </w:tr>
    </w:tbl>
    <w:p w14:paraId="5750BBFB">
      <w:pPr>
        <w:rPr>
          <w:rFonts w:hint="eastAsia" w:ascii="黑体" w:hAnsi="黑体" w:eastAsia="黑体"/>
          <w:b/>
          <w:sz w:val="24"/>
        </w:rPr>
      </w:pPr>
      <w:r>
        <w:rPr>
          <w:rFonts w:ascii="宋体" w:hAnsi="宋体" w:cs="宋体"/>
          <w:sz w:val="24"/>
        </w:rPr>
        <w:t>注：所有交付物均已纳入版本控制，仓内路径与本表格完全一致；自动化验证脚本可直接运行生成对应证据文件。</w:t>
      </w:r>
    </w:p>
    <w:p w14:paraId="4F487695">
      <w:pPr>
        <w:rPr>
          <w:rFonts w:hint="eastAsia" w:ascii="黑体" w:hAnsi="黑体" w:eastAsia="黑体"/>
          <w:b/>
          <w:sz w:val="24"/>
        </w:rPr>
      </w:pPr>
      <w:r>
        <w:rPr>
          <w:rFonts w:ascii="黑体" w:hAnsi="黑体" w:eastAsia="黑体"/>
          <w:b/>
          <w:sz w:val="24"/>
        </w:rPr>
        <w:br w:type="page"/>
      </w:r>
    </w:p>
    <w:p w14:paraId="29FA0946">
      <w:pPr>
        <w:pStyle w:val="2"/>
        <w:jc w:val="center"/>
      </w:pPr>
      <w:bookmarkStart w:id="36" w:name="_Toc230691158"/>
      <w:bookmarkStart w:id="37" w:name="Transshield_TOC_chapter_4"/>
      <w:r>
        <w:rPr>
          <w:rFonts w:ascii="黑体" w:hAnsi="黑体" w:eastAsia="黑体"/>
        </w:rPr>
        <w:t>第四章 测试方案与结果分析</w:t>
      </w:r>
      <w:bookmarkEnd w:id="36"/>
      <w:bookmarkEnd w:id="37"/>
    </w:p>
    <w:p w14:paraId="78427F6B">
      <w:pPr>
        <w:spacing w:line="360" w:lineRule="auto"/>
        <w:outlineLvl w:val="1"/>
        <w:rPr>
          <w:rFonts w:hint="eastAsia" w:ascii="黑体" w:hAnsi="黑体" w:eastAsia="黑体"/>
          <w:b/>
          <w:sz w:val="24"/>
        </w:rPr>
      </w:pPr>
      <w:bookmarkStart w:id="38" w:name="Transshield_TOC_section_4_1"/>
      <w:bookmarkStart w:id="39" w:name="_Toc230691159"/>
      <w:r>
        <w:rPr>
          <w:rFonts w:ascii="黑体" w:hAnsi="黑体" w:eastAsia="黑体"/>
          <w:b/>
          <w:sz w:val="24"/>
        </w:rPr>
        <w:t>4.1 测试环境、数据与评价指标</w:t>
      </w:r>
      <w:bookmarkEnd w:id="38"/>
      <w:bookmarkEnd w:id="39"/>
    </w:p>
    <w:p w14:paraId="2A1F2688">
      <w:pPr>
        <w:spacing w:line="360" w:lineRule="auto"/>
        <w:ind w:firstLine="480"/>
        <w:rPr>
          <w:rFonts w:hint="eastAsia" w:ascii="宋体" w:hAnsi="宋体"/>
          <w:sz w:val="24"/>
        </w:rPr>
      </w:pPr>
      <w:r>
        <w:rPr>
          <w:rFonts w:ascii="宋体" w:hAnsi="宋体" w:cs="宋体"/>
          <w:sz w:val="24"/>
        </w:rPr>
        <w:t xml:space="preserve">本次测试使用的数据集规模、用途与核心评价指标如表 </w:t>
      </w:r>
      <w:r>
        <w:rPr>
          <w:rFonts w:hint="eastAsia" w:ascii="宋体" w:hAnsi="宋体" w:cs="宋体"/>
          <w:sz w:val="24"/>
        </w:rPr>
        <w:t>7</w:t>
      </w:r>
      <w:r>
        <w:rPr>
          <w:rFonts w:ascii="宋体" w:hAnsi="宋体" w:cs="宋体"/>
          <w:sz w:val="24"/>
        </w:rPr>
        <w:t xml:space="preserve"> 所示。</w:t>
      </w:r>
      <w:r>
        <w:rPr>
          <w:rFonts w:hint="eastAsia" w:ascii="宋体" w:hAnsi="宋体"/>
          <w:sz w:val="24"/>
        </w:rPr>
        <w:t>实验主要使用 524 张验证集样本进行医疗主线评估，另使用 8 条金融边界压力样本进行迁移性与稳定性验证。医疗主线采用阈值精度、AUC 和 argmax 精度作为主要指标，其中阈值精度用于反映部署口径下的最终分类效果，AUC 用于衡量整体判别能力，argmax 精度用于描述未校准条件下的直接决策表现。协议层与控制面验证则采用异常输入拦截率、重放拦截率、并发守卫结果和审计落盘状态作为主要观察指标。</w:t>
      </w:r>
    </w:p>
    <w:p w14:paraId="0815F039">
      <w:pPr>
        <w:spacing w:line="360" w:lineRule="auto"/>
        <w:ind w:firstLine="480"/>
        <w:rPr>
          <w:rFonts w:hint="eastAsia" w:ascii="宋体" w:hAnsi="宋体"/>
          <w:sz w:val="24"/>
        </w:rPr>
      </w:pPr>
      <w:r>
        <w:rPr>
          <w:rFonts w:hint="eastAsia" w:ascii="宋体" w:hAnsi="宋体"/>
          <w:sz w:val="24"/>
        </w:rPr>
        <w:t>需要说明的是，本文中涉及的性能结果均以固定 checkpoint 和同口径验证集为基础，反映的是部署态结果而非多随机种子的训练均值。</w:t>
      </w:r>
    </w:p>
    <w:p w14:paraId="4CAD72C1">
      <w:pPr>
        <w:spacing w:line="360" w:lineRule="auto"/>
        <w:jc w:val="center"/>
        <w:rPr>
          <w:rFonts w:hint="eastAsia" w:ascii="宋体" w:hAnsi="宋体"/>
          <w:sz w:val="24"/>
        </w:rPr>
      </w:pPr>
      <w:r>
        <w:rPr>
          <w:rFonts w:ascii="宋体" w:hAnsi="宋体" w:cs="宋体"/>
          <w:sz w:val="24"/>
        </w:rPr>
        <w:t>表</w:t>
      </w:r>
      <w:r>
        <w:rPr>
          <w:rFonts w:hint="eastAsia" w:ascii="宋体" w:hAnsi="宋体" w:cs="宋体"/>
          <w:sz w:val="24"/>
        </w:rPr>
        <w:t xml:space="preserve">7 </w:t>
      </w:r>
      <w:r>
        <w:rPr>
          <w:rFonts w:ascii="宋体" w:hAnsi="宋体" w:cs="宋体"/>
          <w:sz w:val="24"/>
        </w:rPr>
        <w:t>测试数据集与评价指标说明</w:t>
      </w:r>
    </w:p>
    <w:tbl>
      <w:tblPr>
        <w:tblStyle w:val="7"/>
        <w:tblpPr w:leftFromText="180" w:rightFromText="180" w:vertAnchor="text" w:horzAnchor="page" w:tblpX="1653" w:tblpY="303"/>
        <w:tblOverlap w:val="never"/>
        <w:tblW w:w="9082" w:type="dxa"/>
        <w:tblInd w:w="0" w:type="dxa"/>
        <w:tblLayout w:type="autofit"/>
        <w:tblCellMar>
          <w:top w:w="0" w:type="dxa"/>
          <w:left w:w="108" w:type="dxa"/>
          <w:bottom w:w="0" w:type="dxa"/>
          <w:right w:w="108" w:type="dxa"/>
        </w:tblCellMar>
      </w:tblPr>
      <w:tblGrid>
        <w:gridCol w:w="2211"/>
        <w:gridCol w:w="996"/>
        <w:gridCol w:w="3311"/>
        <w:gridCol w:w="2564"/>
      </w:tblGrid>
      <w:tr w14:paraId="4A284BAE">
        <w:tblPrEx>
          <w:tblCellMar>
            <w:top w:w="0" w:type="dxa"/>
            <w:left w:w="108" w:type="dxa"/>
            <w:bottom w:w="0" w:type="dxa"/>
            <w:right w:w="108" w:type="dxa"/>
          </w:tblCellMar>
        </w:tblPrEx>
        <w:trPr>
          <w:tblHeader/>
        </w:trPr>
        <w:tc>
          <w:tcPr>
            <w:tcW w:w="2211" w:type="dxa"/>
            <w:tcBorders>
              <w:top w:val="single" w:color="auto" w:sz="12" w:space="0"/>
              <w:left w:val="nil"/>
              <w:bottom w:val="nil"/>
              <w:right w:val="nil"/>
            </w:tcBorders>
            <w:tcMar>
              <w:top w:w="-1" w:type="dxa"/>
              <w:left w:w="-1" w:type="dxa"/>
              <w:bottom w:w="-1" w:type="dxa"/>
              <w:right w:w="-1" w:type="dxa"/>
            </w:tcMar>
            <w:vAlign w:val="center"/>
          </w:tcPr>
          <w:p w14:paraId="35182ADC">
            <w:pPr>
              <w:snapToGrid w:val="0"/>
              <w:jc w:val="center"/>
              <w:rPr>
                <w:rFonts w:ascii="宋体"/>
                <w:b/>
                <w:sz w:val="24"/>
              </w:rPr>
            </w:pPr>
            <w:r>
              <w:rPr>
                <w:rFonts w:ascii="宋体" w:hAnsi="宋体"/>
                <w:b/>
                <w:sz w:val="24"/>
              </w:rPr>
              <w:t>对象</w:t>
            </w:r>
          </w:p>
        </w:tc>
        <w:tc>
          <w:tcPr>
            <w:tcW w:w="996" w:type="dxa"/>
            <w:tcBorders>
              <w:top w:val="single" w:color="auto" w:sz="12" w:space="0"/>
              <w:left w:val="nil"/>
              <w:bottom w:val="nil"/>
              <w:right w:val="nil"/>
            </w:tcBorders>
            <w:tcMar>
              <w:top w:w="-1" w:type="dxa"/>
              <w:left w:w="-1" w:type="dxa"/>
              <w:bottom w:w="-1" w:type="dxa"/>
              <w:right w:w="-1" w:type="dxa"/>
            </w:tcMar>
            <w:vAlign w:val="center"/>
          </w:tcPr>
          <w:p w14:paraId="7B30FE1A">
            <w:pPr>
              <w:snapToGrid w:val="0"/>
              <w:jc w:val="center"/>
              <w:rPr>
                <w:rFonts w:ascii="宋体"/>
                <w:b/>
                <w:sz w:val="24"/>
              </w:rPr>
            </w:pPr>
            <w:r>
              <w:rPr>
                <w:rFonts w:ascii="宋体" w:hAnsi="宋体"/>
                <w:b/>
                <w:sz w:val="24"/>
              </w:rPr>
              <w:t>样本规模</w:t>
            </w:r>
          </w:p>
        </w:tc>
        <w:tc>
          <w:tcPr>
            <w:tcW w:w="3311" w:type="dxa"/>
            <w:tcBorders>
              <w:top w:val="single" w:color="auto" w:sz="12" w:space="0"/>
              <w:left w:val="nil"/>
              <w:bottom w:val="nil"/>
              <w:right w:val="nil"/>
            </w:tcBorders>
            <w:tcMar>
              <w:top w:w="-1" w:type="dxa"/>
              <w:left w:w="-1" w:type="dxa"/>
              <w:bottom w:w="-1" w:type="dxa"/>
              <w:right w:w="-1" w:type="dxa"/>
            </w:tcMar>
            <w:vAlign w:val="center"/>
          </w:tcPr>
          <w:p w14:paraId="219136E4">
            <w:pPr>
              <w:snapToGrid w:val="0"/>
              <w:jc w:val="center"/>
              <w:rPr>
                <w:rFonts w:ascii="宋体"/>
                <w:b/>
                <w:sz w:val="24"/>
              </w:rPr>
            </w:pPr>
            <w:r>
              <w:rPr>
                <w:rFonts w:ascii="宋体" w:hAnsi="宋体"/>
                <w:b/>
                <w:sz w:val="24"/>
              </w:rPr>
              <w:t>作用</w:t>
            </w:r>
          </w:p>
        </w:tc>
        <w:tc>
          <w:tcPr>
            <w:tcW w:w="2564" w:type="dxa"/>
            <w:tcBorders>
              <w:top w:val="single" w:color="auto" w:sz="12" w:space="0"/>
              <w:left w:val="nil"/>
              <w:bottom w:val="nil"/>
              <w:right w:val="nil"/>
            </w:tcBorders>
            <w:tcMar>
              <w:top w:w="-1" w:type="dxa"/>
              <w:left w:w="-1" w:type="dxa"/>
              <w:bottom w:w="-1" w:type="dxa"/>
              <w:right w:w="-1" w:type="dxa"/>
            </w:tcMar>
            <w:vAlign w:val="center"/>
          </w:tcPr>
          <w:p w14:paraId="5AF37DA7">
            <w:pPr>
              <w:snapToGrid w:val="0"/>
              <w:jc w:val="center"/>
              <w:rPr>
                <w:rFonts w:ascii="宋体"/>
                <w:b/>
                <w:sz w:val="24"/>
              </w:rPr>
            </w:pPr>
            <w:r>
              <w:rPr>
                <w:rFonts w:ascii="宋体" w:hAnsi="宋体"/>
                <w:b/>
                <w:sz w:val="24"/>
              </w:rPr>
              <w:t>主要指标</w:t>
            </w:r>
          </w:p>
        </w:tc>
      </w:tr>
      <w:tr w14:paraId="46950EA5">
        <w:tblPrEx>
          <w:tblCellMar>
            <w:top w:w="0" w:type="dxa"/>
            <w:left w:w="108" w:type="dxa"/>
            <w:bottom w:w="0" w:type="dxa"/>
            <w:right w:w="108" w:type="dxa"/>
          </w:tblCellMar>
        </w:tblPrEx>
        <w:tc>
          <w:tcPr>
            <w:tcW w:w="2211" w:type="dxa"/>
            <w:tcBorders>
              <w:top w:val="single" w:color="auto" w:sz="4" w:space="0"/>
              <w:left w:val="nil"/>
              <w:bottom w:val="nil"/>
              <w:right w:val="nil"/>
            </w:tcBorders>
            <w:tcMar>
              <w:top w:w="-1" w:type="dxa"/>
              <w:left w:w="-1" w:type="dxa"/>
              <w:bottom w:w="-1" w:type="dxa"/>
              <w:right w:w="-1" w:type="dxa"/>
            </w:tcMar>
            <w:vAlign w:val="center"/>
          </w:tcPr>
          <w:p w14:paraId="06EC2E27">
            <w:pPr>
              <w:snapToGrid w:val="0"/>
              <w:jc w:val="center"/>
              <w:rPr>
                <w:rFonts w:ascii="宋体"/>
                <w:sz w:val="24"/>
              </w:rPr>
            </w:pPr>
            <w:r>
              <w:rPr>
                <w:rFonts w:ascii="宋体" w:hAnsi="宋体"/>
                <w:sz w:val="24"/>
              </w:rPr>
              <w:t>医疗全量验证集</w:t>
            </w:r>
          </w:p>
        </w:tc>
        <w:tc>
          <w:tcPr>
            <w:tcW w:w="996" w:type="dxa"/>
            <w:tcBorders>
              <w:top w:val="single" w:color="auto" w:sz="4" w:space="0"/>
              <w:left w:val="nil"/>
              <w:bottom w:val="nil"/>
              <w:right w:val="nil"/>
            </w:tcBorders>
            <w:tcMar>
              <w:top w:w="-1" w:type="dxa"/>
              <w:left w:w="-1" w:type="dxa"/>
              <w:bottom w:w="-1" w:type="dxa"/>
              <w:right w:w="-1" w:type="dxa"/>
            </w:tcMar>
            <w:vAlign w:val="center"/>
          </w:tcPr>
          <w:p w14:paraId="2DB33CC6">
            <w:pPr>
              <w:snapToGrid w:val="0"/>
              <w:jc w:val="left"/>
              <w:rPr>
                <w:rFonts w:ascii="宋体"/>
                <w:sz w:val="24"/>
              </w:rPr>
            </w:pPr>
            <w:r>
              <w:rPr>
                <w:rFonts w:ascii="宋体" w:hAnsi="宋体"/>
                <w:sz w:val="24"/>
              </w:rPr>
              <w:t>524 张</w:t>
            </w:r>
          </w:p>
        </w:tc>
        <w:tc>
          <w:tcPr>
            <w:tcW w:w="3311" w:type="dxa"/>
            <w:tcBorders>
              <w:top w:val="single" w:color="auto" w:sz="4" w:space="0"/>
              <w:left w:val="nil"/>
              <w:bottom w:val="nil"/>
              <w:right w:val="nil"/>
            </w:tcBorders>
            <w:tcMar>
              <w:top w:w="-1" w:type="dxa"/>
              <w:left w:w="-1" w:type="dxa"/>
              <w:bottom w:w="-1" w:type="dxa"/>
              <w:right w:w="-1" w:type="dxa"/>
            </w:tcMar>
            <w:vAlign w:val="center"/>
          </w:tcPr>
          <w:p w14:paraId="502F5105">
            <w:pPr>
              <w:snapToGrid w:val="0"/>
              <w:jc w:val="left"/>
              <w:rPr>
                <w:rFonts w:ascii="宋体"/>
                <w:sz w:val="24"/>
              </w:rPr>
            </w:pPr>
            <w:r>
              <w:rPr>
                <w:rFonts w:ascii="宋体" w:hAnsi="宋体"/>
                <w:sz w:val="24"/>
              </w:rPr>
              <w:t>正式阈值搜索与精度评估</w:t>
            </w:r>
          </w:p>
        </w:tc>
        <w:tc>
          <w:tcPr>
            <w:tcW w:w="2564" w:type="dxa"/>
            <w:tcBorders>
              <w:top w:val="single" w:color="auto" w:sz="4" w:space="0"/>
              <w:left w:val="nil"/>
              <w:bottom w:val="nil"/>
              <w:right w:val="nil"/>
            </w:tcBorders>
            <w:tcMar>
              <w:top w:w="-1" w:type="dxa"/>
              <w:left w:w="-1" w:type="dxa"/>
              <w:bottom w:w="-1" w:type="dxa"/>
              <w:right w:w="-1" w:type="dxa"/>
            </w:tcMar>
            <w:vAlign w:val="center"/>
          </w:tcPr>
          <w:p w14:paraId="42440588">
            <w:pPr>
              <w:snapToGrid w:val="0"/>
              <w:jc w:val="left"/>
              <w:rPr>
                <w:rFonts w:ascii="宋体"/>
                <w:sz w:val="24"/>
              </w:rPr>
            </w:pPr>
            <w:r>
              <w:rPr>
                <w:rFonts w:ascii="宋体" w:hAnsi="宋体"/>
                <w:sz w:val="24"/>
              </w:rPr>
              <w:t>argmax 精度、阈值精度、部署阈值</w:t>
            </w:r>
          </w:p>
        </w:tc>
      </w:tr>
      <w:tr w14:paraId="08F0EC57">
        <w:tblPrEx>
          <w:tblCellMar>
            <w:top w:w="0" w:type="dxa"/>
            <w:left w:w="108" w:type="dxa"/>
            <w:bottom w:w="0" w:type="dxa"/>
            <w:right w:w="108" w:type="dxa"/>
          </w:tblCellMar>
        </w:tblPrEx>
        <w:tc>
          <w:tcPr>
            <w:tcW w:w="2211" w:type="dxa"/>
            <w:tcBorders>
              <w:top w:val="nil"/>
              <w:left w:val="nil"/>
              <w:bottom w:val="nil"/>
              <w:right w:val="nil"/>
            </w:tcBorders>
            <w:tcMar>
              <w:top w:w="-1" w:type="dxa"/>
              <w:left w:w="-1" w:type="dxa"/>
              <w:bottom w:w="-1" w:type="dxa"/>
              <w:right w:w="-1" w:type="dxa"/>
            </w:tcMar>
            <w:vAlign w:val="center"/>
          </w:tcPr>
          <w:p w14:paraId="5F5F9A6B">
            <w:pPr>
              <w:snapToGrid w:val="0"/>
              <w:jc w:val="center"/>
              <w:rPr>
                <w:rFonts w:ascii="宋体"/>
                <w:sz w:val="24"/>
              </w:rPr>
            </w:pPr>
            <w:r>
              <w:rPr>
                <w:rFonts w:ascii="宋体" w:hAnsi="宋体"/>
                <w:sz w:val="24"/>
              </w:rPr>
              <w:t>医疗部署验证批次</w:t>
            </w:r>
          </w:p>
        </w:tc>
        <w:tc>
          <w:tcPr>
            <w:tcW w:w="996" w:type="dxa"/>
            <w:tcBorders>
              <w:top w:val="nil"/>
              <w:left w:val="nil"/>
              <w:bottom w:val="nil"/>
              <w:right w:val="nil"/>
            </w:tcBorders>
            <w:tcMar>
              <w:top w:w="-1" w:type="dxa"/>
              <w:left w:w="-1" w:type="dxa"/>
              <w:bottom w:w="-1" w:type="dxa"/>
              <w:right w:w="-1" w:type="dxa"/>
            </w:tcMar>
            <w:vAlign w:val="center"/>
          </w:tcPr>
          <w:p w14:paraId="71B3E9D6">
            <w:pPr>
              <w:snapToGrid w:val="0"/>
              <w:jc w:val="left"/>
              <w:rPr>
                <w:rFonts w:ascii="宋体"/>
                <w:sz w:val="24"/>
              </w:rPr>
            </w:pPr>
            <w:r>
              <w:rPr>
                <w:rFonts w:ascii="宋体" w:hAnsi="宋体"/>
                <w:sz w:val="24"/>
              </w:rPr>
              <w:t>32 张</w:t>
            </w:r>
          </w:p>
        </w:tc>
        <w:tc>
          <w:tcPr>
            <w:tcW w:w="3311" w:type="dxa"/>
            <w:tcBorders>
              <w:top w:val="nil"/>
              <w:left w:val="nil"/>
              <w:bottom w:val="nil"/>
              <w:right w:val="nil"/>
            </w:tcBorders>
            <w:tcMar>
              <w:top w:w="-1" w:type="dxa"/>
              <w:left w:w="-1" w:type="dxa"/>
              <w:bottom w:w="-1" w:type="dxa"/>
              <w:right w:w="-1" w:type="dxa"/>
            </w:tcMar>
            <w:vAlign w:val="center"/>
          </w:tcPr>
          <w:p w14:paraId="1E1EB752">
            <w:pPr>
              <w:snapToGrid w:val="0"/>
              <w:jc w:val="left"/>
              <w:rPr>
                <w:rFonts w:ascii="宋体"/>
                <w:sz w:val="24"/>
              </w:rPr>
            </w:pPr>
            <w:r>
              <w:rPr>
                <w:rFonts w:ascii="宋体" w:hAnsi="宋体"/>
                <w:sz w:val="24"/>
              </w:rPr>
              <w:t>完整双向隐私原型运行</w:t>
            </w:r>
          </w:p>
        </w:tc>
        <w:tc>
          <w:tcPr>
            <w:tcW w:w="2564" w:type="dxa"/>
            <w:tcBorders>
              <w:top w:val="nil"/>
              <w:left w:val="nil"/>
              <w:bottom w:val="nil"/>
              <w:right w:val="nil"/>
            </w:tcBorders>
            <w:tcMar>
              <w:top w:w="-1" w:type="dxa"/>
              <w:left w:w="-1" w:type="dxa"/>
              <w:bottom w:w="-1" w:type="dxa"/>
              <w:right w:w="-1" w:type="dxa"/>
            </w:tcMar>
            <w:vAlign w:val="center"/>
          </w:tcPr>
          <w:p w14:paraId="1B6B92F1">
            <w:pPr>
              <w:snapToGrid w:val="0"/>
              <w:jc w:val="left"/>
              <w:rPr>
                <w:rFonts w:ascii="宋体"/>
                <w:sz w:val="24"/>
              </w:rPr>
            </w:pPr>
            <w:r>
              <w:rPr>
                <w:rFonts w:ascii="宋体" w:hAnsi="宋体"/>
                <w:sz w:val="24"/>
              </w:rPr>
              <w:t>平均时延、双向总通信量、隐私边界</w:t>
            </w:r>
          </w:p>
        </w:tc>
      </w:tr>
      <w:tr w14:paraId="7F383DDF">
        <w:tblPrEx>
          <w:tblCellMar>
            <w:top w:w="0" w:type="dxa"/>
            <w:left w:w="108" w:type="dxa"/>
            <w:bottom w:w="0" w:type="dxa"/>
            <w:right w:w="108" w:type="dxa"/>
          </w:tblCellMar>
        </w:tblPrEx>
        <w:tc>
          <w:tcPr>
            <w:tcW w:w="2211" w:type="dxa"/>
            <w:tcBorders>
              <w:top w:val="nil"/>
              <w:left w:val="nil"/>
              <w:bottom w:val="nil"/>
              <w:right w:val="nil"/>
            </w:tcBorders>
            <w:tcMar>
              <w:top w:w="-1" w:type="dxa"/>
              <w:left w:w="-1" w:type="dxa"/>
              <w:bottom w:w="-1" w:type="dxa"/>
              <w:right w:w="-1" w:type="dxa"/>
            </w:tcMar>
            <w:vAlign w:val="center"/>
          </w:tcPr>
          <w:p w14:paraId="1DA76F58">
            <w:pPr>
              <w:snapToGrid w:val="0"/>
              <w:jc w:val="center"/>
              <w:rPr>
                <w:rFonts w:ascii="宋体"/>
                <w:sz w:val="24"/>
              </w:rPr>
            </w:pPr>
            <w:r>
              <w:rPr>
                <w:rFonts w:ascii="宋体" w:hAnsi="宋体"/>
                <w:sz w:val="24"/>
              </w:rPr>
              <w:t>金融边界压力样本</w:t>
            </w:r>
          </w:p>
        </w:tc>
        <w:tc>
          <w:tcPr>
            <w:tcW w:w="996" w:type="dxa"/>
            <w:tcBorders>
              <w:top w:val="nil"/>
              <w:left w:val="nil"/>
              <w:bottom w:val="nil"/>
              <w:right w:val="nil"/>
            </w:tcBorders>
            <w:tcMar>
              <w:top w:w="-1" w:type="dxa"/>
              <w:left w:w="-1" w:type="dxa"/>
              <w:bottom w:w="-1" w:type="dxa"/>
              <w:right w:w="-1" w:type="dxa"/>
            </w:tcMar>
            <w:vAlign w:val="center"/>
          </w:tcPr>
          <w:p w14:paraId="3B673D1D">
            <w:pPr>
              <w:snapToGrid w:val="0"/>
              <w:jc w:val="left"/>
              <w:rPr>
                <w:rFonts w:ascii="宋体"/>
                <w:sz w:val="24"/>
              </w:rPr>
            </w:pPr>
            <w:r>
              <w:rPr>
                <w:rFonts w:ascii="宋体" w:hAnsi="宋体"/>
                <w:sz w:val="24"/>
              </w:rPr>
              <w:t>8 条</w:t>
            </w:r>
          </w:p>
        </w:tc>
        <w:tc>
          <w:tcPr>
            <w:tcW w:w="3311" w:type="dxa"/>
            <w:tcBorders>
              <w:top w:val="nil"/>
              <w:left w:val="nil"/>
              <w:bottom w:val="nil"/>
              <w:right w:val="nil"/>
            </w:tcBorders>
            <w:tcMar>
              <w:top w:w="-1" w:type="dxa"/>
              <w:left w:w="-1" w:type="dxa"/>
              <w:bottom w:w="-1" w:type="dxa"/>
              <w:right w:w="-1" w:type="dxa"/>
            </w:tcMar>
            <w:vAlign w:val="center"/>
          </w:tcPr>
          <w:p w14:paraId="02A05994">
            <w:pPr>
              <w:snapToGrid w:val="0"/>
              <w:jc w:val="left"/>
              <w:rPr>
                <w:rFonts w:ascii="宋体"/>
                <w:sz w:val="24"/>
              </w:rPr>
            </w:pPr>
            <w:r>
              <w:rPr>
                <w:rFonts w:ascii="宋体" w:hAnsi="宋体"/>
                <w:sz w:val="24"/>
              </w:rPr>
              <w:t>极端分布输入下的稳定性验证</w:t>
            </w:r>
          </w:p>
        </w:tc>
        <w:tc>
          <w:tcPr>
            <w:tcW w:w="2564" w:type="dxa"/>
            <w:tcBorders>
              <w:top w:val="nil"/>
              <w:left w:val="nil"/>
              <w:bottom w:val="nil"/>
              <w:right w:val="nil"/>
            </w:tcBorders>
            <w:tcMar>
              <w:top w:w="-1" w:type="dxa"/>
              <w:left w:w="-1" w:type="dxa"/>
              <w:bottom w:w="-1" w:type="dxa"/>
              <w:right w:w="-1" w:type="dxa"/>
            </w:tcMar>
            <w:vAlign w:val="center"/>
          </w:tcPr>
          <w:p w14:paraId="5C9946A6">
            <w:pPr>
              <w:snapToGrid w:val="0"/>
              <w:jc w:val="left"/>
              <w:rPr>
                <w:rFonts w:ascii="宋体"/>
                <w:sz w:val="24"/>
              </w:rPr>
            </w:pPr>
            <w:r>
              <w:rPr>
                <w:rFonts w:ascii="宋体" w:hAnsi="宋体"/>
                <w:sz w:val="24"/>
              </w:rPr>
              <w:t>逐样本一致性、时延、通信量</w:t>
            </w:r>
          </w:p>
        </w:tc>
      </w:tr>
      <w:tr w14:paraId="0A00ACB0">
        <w:tblPrEx>
          <w:tblCellMar>
            <w:top w:w="0" w:type="dxa"/>
            <w:left w:w="108" w:type="dxa"/>
            <w:bottom w:w="0" w:type="dxa"/>
            <w:right w:w="108" w:type="dxa"/>
          </w:tblCellMar>
        </w:tblPrEx>
        <w:tc>
          <w:tcPr>
            <w:tcW w:w="2211" w:type="dxa"/>
            <w:tcBorders>
              <w:top w:val="nil"/>
              <w:left w:val="nil"/>
              <w:bottom w:val="single" w:color="auto" w:sz="12" w:space="0"/>
              <w:right w:val="nil"/>
            </w:tcBorders>
            <w:tcMar>
              <w:top w:w="-1" w:type="dxa"/>
              <w:left w:w="-1" w:type="dxa"/>
              <w:bottom w:w="-1" w:type="dxa"/>
              <w:right w:w="-1" w:type="dxa"/>
            </w:tcMar>
            <w:vAlign w:val="center"/>
          </w:tcPr>
          <w:p w14:paraId="2BAA969D">
            <w:pPr>
              <w:snapToGrid w:val="0"/>
              <w:jc w:val="center"/>
              <w:rPr>
                <w:rFonts w:ascii="宋体"/>
                <w:sz w:val="24"/>
              </w:rPr>
            </w:pPr>
            <w:r>
              <w:rPr>
                <w:rFonts w:ascii="宋体" w:hAnsi="宋体"/>
                <w:sz w:val="24"/>
              </w:rPr>
              <w:t>协议层与控制面黑盒用例</w:t>
            </w:r>
          </w:p>
        </w:tc>
        <w:tc>
          <w:tcPr>
            <w:tcW w:w="996" w:type="dxa"/>
            <w:tcBorders>
              <w:top w:val="nil"/>
              <w:left w:val="nil"/>
              <w:bottom w:val="single" w:color="auto" w:sz="12" w:space="0"/>
              <w:right w:val="nil"/>
            </w:tcBorders>
            <w:tcMar>
              <w:top w:w="-1" w:type="dxa"/>
              <w:left w:w="-1" w:type="dxa"/>
              <w:bottom w:w="-1" w:type="dxa"/>
              <w:right w:w="-1" w:type="dxa"/>
            </w:tcMar>
            <w:vAlign w:val="center"/>
          </w:tcPr>
          <w:p w14:paraId="4A60CF97">
            <w:pPr>
              <w:snapToGrid w:val="0"/>
              <w:jc w:val="left"/>
              <w:rPr>
                <w:rFonts w:ascii="宋体"/>
                <w:sz w:val="24"/>
              </w:rPr>
            </w:pPr>
            <w:r>
              <w:rPr>
                <w:rFonts w:ascii="宋体" w:hAnsi="宋体"/>
                <w:sz w:val="24"/>
              </w:rPr>
              <w:t>17 类</w:t>
            </w:r>
          </w:p>
        </w:tc>
        <w:tc>
          <w:tcPr>
            <w:tcW w:w="3311" w:type="dxa"/>
            <w:tcBorders>
              <w:top w:val="nil"/>
              <w:left w:val="nil"/>
              <w:bottom w:val="single" w:color="auto" w:sz="12" w:space="0"/>
              <w:right w:val="nil"/>
            </w:tcBorders>
            <w:tcMar>
              <w:top w:w="-1" w:type="dxa"/>
              <w:left w:w="-1" w:type="dxa"/>
              <w:bottom w:w="-1" w:type="dxa"/>
              <w:right w:w="-1" w:type="dxa"/>
            </w:tcMar>
            <w:vAlign w:val="center"/>
          </w:tcPr>
          <w:p w14:paraId="7F08A36D">
            <w:pPr>
              <w:snapToGrid w:val="0"/>
              <w:jc w:val="left"/>
              <w:rPr>
                <w:rFonts w:ascii="宋体"/>
                <w:sz w:val="24"/>
              </w:rPr>
            </w:pPr>
            <w:r>
              <w:rPr>
                <w:rFonts w:ascii="宋体" w:hAnsi="宋体"/>
                <w:sz w:val="24"/>
              </w:rPr>
              <w:t>异常输入、重放与并发探针验证</w:t>
            </w:r>
          </w:p>
        </w:tc>
        <w:tc>
          <w:tcPr>
            <w:tcW w:w="2564" w:type="dxa"/>
            <w:tcBorders>
              <w:top w:val="nil"/>
              <w:left w:val="nil"/>
              <w:bottom w:val="single" w:color="auto" w:sz="12" w:space="0"/>
              <w:right w:val="nil"/>
            </w:tcBorders>
            <w:tcMar>
              <w:top w:w="-1" w:type="dxa"/>
              <w:left w:w="-1" w:type="dxa"/>
              <w:bottom w:w="-1" w:type="dxa"/>
              <w:right w:w="-1" w:type="dxa"/>
            </w:tcMar>
            <w:vAlign w:val="center"/>
          </w:tcPr>
          <w:p w14:paraId="0972890F">
            <w:pPr>
              <w:snapToGrid w:val="0"/>
              <w:jc w:val="left"/>
              <w:rPr>
                <w:rFonts w:ascii="宋体"/>
                <w:sz w:val="24"/>
              </w:rPr>
            </w:pPr>
            <w:r>
              <w:rPr>
                <w:rFonts w:ascii="宋体" w:hAnsi="宋体"/>
                <w:sz w:val="24"/>
              </w:rPr>
              <w:t>首个拦截层、兜底层级、资源状态</w:t>
            </w:r>
          </w:p>
        </w:tc>
      </w:tr>
    </w:tbl>
    <w:p w14:paraId="56EDA42B">
      <w:pPr>
        <w:spacing w:line="360" w:lineRule="auto"/>
        <w:outlineLvl w:val="1"/>
        <w:rPr>
          <w:rFonts w:hint="eastAsia" w:ascii="黑体" w:hAnsi="黑体" w:eastAsia="黑体"/>
          <w:b/>
          <w:sz w:val="24"/>
        </w:rPr>
      </w:pPr>
      <w:bookmarkStart w:id="40" w:name="_Toc230691160"/>
      <w:bookmarkStart w:id="41" w:name="Transshield_TOC_section_4_2"/>
      <w:r>
        <w:rPr>
          <w:rFonts w:ascii="黑体" w:hAnsi="黑体" w:eastAsia="黑体"/>
          <w:b/>
          <w:sz w:val="24"/>
        </w:rPr>
        <w:t>4.2 基线对比</w:t>
      </w:r>
      <w:bookmarkEnd w:id="40"/>
      <w:bookmarkEnd w:id="41"/>
    </w:p>
    <w:p w14:paraId="75BFE35A">
      <w:pPr>
        <w:spacing w:line="360" w:lineRule="auto"/>
        <w:jc w:val="center"/>
        <w:rPr>
          <w:rFonts w:hint="eastAsia" w:ascii="黑体" w:hAnsi="黑体" w:eastAsia="黑体"/>
          <w:b/>
          <w:sz w:val="24"/>
        </w:rPr>
      </w:pPr>
      <w:r>
        <w:rPr>
          <w:rFonts w:hint="eastAsia" w:ascii="宋体" w:hAnsi="宋体" w:cs="宋体"/>
          <w:sz w:val="24"/>
          <w:lang w:val="en-US" w:eastAsia="zh-CN"/>
        </w:rPr>
        <w:t>图4-1</w:t>
      </w:r>
      <w:r>
        <w:rPr>
          <w:rFonts w:ascii="宋体" w:hAnsi="宋体" w:cs="宋体"/>
          <w:sz w:val="24"/>
        </w:rPr>
        <w:t xml:space="preserve"> 不同方案医疗任务性能基线对比</w:t>
      </w:r>
    </w:p>
    <w:p w14:paraId="3C8C2671">
      <w:pPr>
        <w:spacing w:line="360" w:lineRule="auto"/>
        <w:ind w:firstLine="480"/>
        <w:jc w:val="center"/>
        <w:rPr>
          <w:rFonts w:ascii="宋体" w:hAnsi="宋体" w:cs="宋体"/>
          <w:sz w:val="24"/>
        </w:rPr>
      </w:pPr>
      <w:r>
        <w:drawing>
          <wp:inline distT="0" distB="0" distL="114300" distR="114300">
            <wp:extent cx="4268470" cy="2292350"/>
            <wp:effectExtent l="0" t="0" r="11430" b="635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4"/>
                    <a:srcRect l="3738" t="8601" r="5770" b="3259"/>
                    <a:stretch>
                      <a:fillRect/>
                    </a:stretch>
                  </pic:blipFill>
                  <pic:spPr>
                    <a:xfrm>
                      <a:off x="0" y="0"/>
                      <a:ext cx="4268470" cy="2292350"/>
                    </a:xfrm>
                    <a:prstGeom prst="rect">
                      <a:avLst/>
                    </a:prstGeom>
                    <a:noFill/>
                    <a:ln>
                      <a:noFill/>
                    </a:ln>
                  </pic:spPr>
                </pic:pic>
              </a:graphicData>
            </a:graphic>
          </wp:inline>
        </w:drawing>
      </w:r>
    </w:p>
    <w:p w14:paraId="5A7629DE">
      <w:pPr>
        <w:spacing w:line="360" w:lineRule="auto"/>
        <w:ind w:firstLine="480"/>
      </w:pPr>
      <w:r>
        <w:rPr>
          <w:rFonts w:ascii="宋体" w:hAnsi="宋体" w:cs="宋体"/>
          <w:sz w:val="24"/>
        </w:rPr>
        <w:t>本作品与不同基线方案在医疗任务上的性能对比结果如</w:t>
      </w:r>
      <w:r>
        <w:rPr>
          <w:rFonts w:hint="eastAsia" w:ascii="宋体" w:hAnsi="宋体" w:cs="宋体"/>
          <w:sz w:val="24"/>
          <w:lang w:val="en-US" w:eastAsia="zh-CN"/>
        </w:rPr>
        <w:t>图4-1</w:t>
      </w:r>
      <w:r>
        <w:rPr>
          <w:rFonts w:ascii="宋体" w:hAnsi="宋体" w:cs="宋体"/>
          <w:sz w:val="24"/>
        </w:rPr>
        <w:t xml:space="preserve"> 所示。</w:t>
      </w:r>
      <w:r>
        <w:rPr>
          <w:rFonts w:ascii="宋体" w:hAnsi="宋体"/>
          <w:sz w:val="24"/>
        </w:rPr>
        <w:t>从同仓与外部对比结果看，本作品正式动态主线相较固定结构静态对照线提升 0.7634 个百分点，相较当前仓内可复现的原始 DynamicViT 基线提升 17.3664 个百分点，说明协议友好重写并未使动态路径退化为不可部署状态。另一方面，与同数据集强明文参考 MPCViT（面向多方计算的视觉 Transformer）相比，本作品当前仍存在 4.2366 个百分点的阈值精度差距；与同架构静态上界 DeiT-S（数据高效图像 Transformer 小型模型）相比，差距为 3.2419 个百分点。这些差距说明本作品的价值主要在于“双向隐私 + 动态剪枝安全执行”的系统能力，而不是在明文精度指标上全面超过所有强明文参考。</w:t>
      </w:r>
    </w:p>
    <w:p w14:paraId="02311F4A">
      <w:pPr>
        <w:spacing w:line="360" w:lineRule="auto"/>
        <w:ind w:firstLine="480"/>
      </w:pPr>
      <w:r>
        <w:rPr>
          <w:rFonts w:ascii="宋体" w:hAnsi="宋体"/>
          <w:sz w:val="24"/>
        </w:rPr>
        <w:t>需要说明的是，外部对比表中“原始 DynamicViT”一行现统一采用当前仓内与服务器均可复现的原始明文基线口径。此前遗留的“20 epoch / 80.73%”旧值未能在最终交付仓与服务器环境中追溯到配套权重文件，因此本次修订不再继续引用该旧数值。</w:t>
      </w:r>
    </w:p>
    <w:p w14:paraId="318A141A">
      <w:pPr>
        <w:spacing w:line="360" w:lineRule="auto"/>
        <w:outlineLvl w:val="1"/>
        <w:rPr>
          <w:rFonts w:hint="eastAsia" w:ascii="黑体" w:hAnsi="黑体" w:eastAsia="黑体"/>
          <w:b/>
          <w:sz w:val="24"/>
        </w:rPr>
      </w:pPr>
      <w:bookmarkStart w:id="42" w:name="_Toc230691161"/>
      <w:bookmarkStart w:id="43" w:name="Transshield_TOC_section_4_3"/>
      <w:r>
        <w:rPr>
          <w:rFonts w:ascii="黑体" w:hAnsi="黑体" w:eastAsia="黑体"/>
          <w:b/>
          <w:sz w:val="24"/>
        </w:rPr>
        <w:t>4.3 医疗主要交付场景结果</w:t>
      </w:r>
      <w:bookmarkEnd w:id="42"/>
      <w:bookmarkEnd w:id="43"/>
    </w:p>
    <w:p w14:paraId="19320876">
      <w:pPr>
        <w:spacing w:line="360" w:lineRule="auto"/>
        <w:jc w:val="center"/>
        <w:rPr>
          <w:rFonts w:hint="eastAsia" w:ascii="黑体" w:hAnsi="黑体" w:eastAsia="黑体"/>
          <w:b/>
          <w:sz w:val="24"/>
        </w:rPr>
      </w:pPr>
      <w:r>
        <w:rPr>
          <w:rFonts w:ascii="宋体" w:hAnsi="宋体" w:cs="宋体"/>
          <w:sz w:val="24"/>
        </w:rPr>
        <w:t xml:space="preserve">表 </w:t>
      </w:r>
      <w:r>
        <w:rPr>
          <w:rFonts w:hint="eastAsia" w:ascii="宋体" w:hAnsi="宋体" w:cs="宋体"/>
          <w:sz w:val="24"/>
          <w:lang w:val="en-US" w:eastAsia="zh-CN"/>
        </w:rPr>
        <w:t>8</w:t>
      </w:r>
      <w:r>
        <w:rPr>
          <w:rFonts w:ascii="宋体" w:hAnsi="宋体" w:cs="宋体"/>
          <w:sz w:val="24"/>
        </w:rPr>
        <w:t xml:space="preserve"> 医疗主要交付场景核心指标结果</w:t>
      </w:r>
    </w:p>
    <w:tbl>
      <w:tblPr>
        <w:tblStyle w:val="7"/>
        <w:tblW w:w="8820" w:type="dxa"/>
        <w:jc w:val="center"/>
        <w:tblLayout w:type="autofit"/>
        <w:tblCellMar>
          <w:top w:w="0" w:type="dxa"/>
          <w:left w:w="108" w:type="dxa"/>
          <w:bottom w:w="0" w:type="dxa"/>
          <w:right w:w="108" w:type="dxa"/>
        </w:tblCellMar>
      </w:tblPr>
      <w:tblGrid>
        <w:gridCol w:w="2687"/>
        <w:gridCol w:w="3200"/>
        <w:gridCol w:w="2933"/>
      </w:tblGrid>
      <w:tr w14:paraId="74F99701">
        <w:tblPrEx>
          <w:tblCellMar>
            <w:top w:w="0" w:type="dxa"/>
            <w:left w:w="108" w:type="dxa"/>
            <w:bottom w:w="0" w:type="dxa"/>
            <w:right w:w="108" w:type="dxa"/>
          </w:tblCellMar>
        </w:tblPrEx>
        <w:trPr>
          <w:tblHeader/>
          <w:jc w:val="center"/>
        </w:trPr>
        <w:tc>
          <w:tcPr>
            <w:tcW w:w="2687" w:type="dxa"/>
            <w:tcBorders>
              <w:top w:val="single" w:color="auto" w:sz="12" w:space="0"/>
              <w:left w:val="nil"/>
              <w:bottom w:val="nil"/>
              <w:right w:val="nil"/>
            </w:tcBorders>
            <w:tcMar>
              <w:top w:w="-1" w:type="dxa"/>
              <w:left w:w="-1" w:type="dxa"/>
              <w:bottom w:w="-1" w:type="dxa"/>
              <w:right w:w="-1" w:type="dxa"/>
            </w:tcMar>
            <w:vAlign w:val="center"/>
          </w:tcPr>
          <w:p w14:paraId="2F7B4746">
            <w:pPr>
              <w:snapToGrid w:val="0"/>
              <w:jc w:val="center"/>
              <w:rPr>
                <w:rFonts w:ascii="宋体"/>
                <w:b/>
                <w:sz w:val="24"/>
              </w:rPr>
            </w:pPr>
            <w:r>
              <w:rPr>
                <w:rFonts w:ascii="宋体" w:hAnsi="宋体"/>
                <w:b/>
                <w:sz w:val="24"/>
              </w:rPr>
              <w:t>指标</w:t>
            </w:r>
          </w:p>
        </w:tc>
        <w:tc>
          <w:tcPr>
            <w:tcW w:w="3200" w:type="dxa"/>
            <w:tcBorders>
              <w:top w:val="single" w:color="auto" w:sz="12" w:space="0"/>
              <w:left w:val="nil"/>
              <w:bottom w:val="nil"/>
              <w:right w:val="nil"/>
            </w:tcBorders>
            <w:tcMar>
              <w:top w:w="-1" w:type="dxa"/>
              <w:left w:w="-1" w:type="dxa"/>
              <w:bottom w:w="-1" w:type="dxa"/>
              <w:right w:w="-1" w:type="dxa"/>
            </w:tcMar>
            <w:vAlign w:val="center"/>
          </w:tcPr>
          <w:p w14:paraId="276A08F2">
            <w:pPr>
              <w:snapToGrid w:val="0"/>
              <w:jc w:val="center"/>
              <w:rPr>
                <w:rFonts w:ascii="宋体"/>
                <w:b/>
                <w:sz w:val="24"/>
              </w:rPr>
            </w:pPr>
            <w:r>
              <w:rPr>
                <w:rFonts w:ascii="宋体" w:hAnsi="宋体"/>
                <w:b/>
                <w:sz w:val="24"/>
              </w:rPr>
              <w:t>结果</w:t>
            </w:r>
          </w:p>
        </w:tc>
        <w:tc>
          <w:tcPr>
            <w:tcW w:w="2933" w:type="dxa"/>
            <w:tcBorders>
              <w:top w:val="single" w:color="auto" w:sz="12" w:space="0"/>
              <w:left w:val="nil"/>
              <w:bottom w:val="nil"/>
              <w:right w:val="nil"/>
            </w:tcBorders>
            <w:tcMar>
              <w:top w:w="-1" w:type="dxa"/>
              <w:left w:w="-1" w:type="dxa"/>
              <w:bottom w:w="-1" w:type="dxa"/>
              <w:right w:w="-1" w:type="dxa"/>
            </w:tcMar>
            <w:vAlign w:val="center"/>
          </w:tcPr>
          <w:p w14:paraId="29E5EE74">
            <w:pPr>
              <w:snapToGrid w:val="0"/>
              <w:jc w:val="center"/>
              <w:rPr>
                <w:rFonts w:ascii="宋体"/>
                <w:b/>
                <w:sz w:val="24"/>
              </w:rPr>
            </w:pPr>
            <w:r>
              <w:rPr>
                <w:rFonts w:ascii="宋体" w:hAnsi="宋体"/>
                <w:b/>
                <w:sz w:val="24"/>
              </w:rPr>
              <w:t>说明</w:t>
            </w:r>
          </w:p>
        </w:tc>
      </w:tr>
      <w:tr w14:paraId="6608908F">
        <w:tblPrEx>
          <w:tblCellMar>
            <w:top w:w="0" w:type="dxa"/>
            <w:left w:w="108" w:type="dxa"/>
            <w:bottom w:w="0" w:type="dxa"/>
            <w:right w:w="108" w:type="dxa"/>
          </w:tblCellMar>
        </w:tblPrEx>
        <w:trPr>
          <w:jc w:val="center"/>
        </w:trPr>
        <w:tc>
          <w:tcPr>
            <w:tcW w:w="2687" w:type="dxa"/>
            <w:tcBorders>
              <w:top w:val="single" w:color="auto" w:sz="4" w:space="0"/>
              <w:left w:val="nil"/>
              <w:bottom w:val="nil"/>
              <w:right w:val="nil"/>
            </w:tcBorders>
            <w:tcMar>
              <w:top w:w="-1" w:type="dxa"/>
              <w:left w:w="-1" w:type="dxa"/>
              <w:bottom w:w="-1" w:type="dxa"/>
              <w:right w:w="-1" w:type="dxa"/>
            </w:tcMar>
            <w:vAlign w:val="center"/>
          </w:tcPr>
          <w:p w14:paraId="2622EA6A">
            <w:pPr>
              <w:snapToGrid w:val="0"/>
              <w:jc w:val="center"/>
              <w:rPr>
                <w:rFonts w:ascii="宋体"/>
                <w:sz w:val="24"/>
              </w:rPr>
            </w:pPr>
            <w:r>
              <w:rPr>
                <w:rFonts w:ascii="宋体" w:hAnsi="宋体"/>
                <w:sz w:val="24"/>
              </w:rPr>
              <w:t>全量验证集 argmax 精度</w:t>
            </w:r>
          </w:p>
        </w:tc>
        <w:tc>
          <w:tcPr>
            <w:tcW w:w="3200" w:type="dxa"/>
            <w:tcBorders>
              <w:top w:val="single" w:color="auto" w:sz="4" w:space="0"/>
              <w:left w:val="nil"/>
              <w:bottom w:val="nil"/>
              <w:right w:val="nil"/>
            </w:tcBorders>
            <w:tcMar>
              <w:top w:w="-1" w:type="dxa"/>
              <w:left w:w="-1" w:type="dxa"/>
              <w:bottom w:w="-1" w:type="dxa"/>
              <w:right w:w="-1" w:type="dxa"/>
            </w:tcMar>
            <w:vAlign w:val="center"/>
          </w:tcPr>
          <w:p w14:paraId="2487B176">
            <w:pPr>
              <w:snapToGrid w:val="0"/>
              <w:jc w:val="center"/>
              <w:rPr>
                <w:rFonts w:ascii="宋体"/>
                <w:sz w:val="24"/>
              </w:rPr>
            </w:pPr>
            <w:r>
              <w:rPr>
                <w:rFonts w:ascii="宋体" w:hAnsi="宋体"/>
                <w:sz w:val="24"/>
              </w:rPr>
              <w:t>74.2366%</w:t>
            </w:r>
          </w:p>
        </w:tc>
        <w:tc>
          <w:tcPr>
            <w:tcW w:w="2933" w:type="dxa"/>
            <w:tcBorders>
              <w:top w:val="single" w:color="auto" w:sz="4" w:space="0"/>
              <w:left w:val="nil"/>
              <w:bottom w:val="nil"/>
              <w:right w:val="nil"/>
            </w:tcBorders>
            <w:tcMar>
              <w:top w:w="-1" w:type="dxa"/>
              <w:left w:w="-1" w:type="dxa"/>
              <w:bottom w:w="-1" w:type="dxa"/>
              <w:right w:w="-1" w:type="dxa"/>
            </w:tcMar>
            <w:vAlign w:val="center"/>
          </w:tcPr>
          <w:p w14:paraId="04AFC440">
            <w:pPr>
              <w:snapToGrid w:val="0"/>
              <w:jc w:val="center"/>
              <w:rPr>
                <w:rFonts w:ascii="宋体"/>
                <w:sz w:val="24"/>
              </w:rPr>
            </w:pPr>
            <w:r>
              <w:rPr>
                <w:rFonts w:ascii="宋体" w:hAnsi="宋体"/>
                <w:sz w:val="24"/>
              </w:rPr>
              <w:t>反映动态路径在默认决策边界下的直接分类结果</w:t>
            </w:r>
          </w:p>
        </w:tc>
      </w:tr>
      <w:tr w14:paraId="260BB451">
        <w:tblPrEx>
          <w:tblCellMar>
            <w:top w:w="0" w:type="dxa"/>
            <w:left w:w="108" w:type="dxa"/>
            <w:bottom w:w="0" w:type="dxa"/>
            <w:right w:w="108" w:type="dxa"/>
          </w:tblCellMar>
        </w:tblPrEx>
        <w:trPr>
          <w:jc w:val="center"/>
        </w:trPr>
        <w:tc>
          <w:tcPr>
            <w:tcW w:w="2687" w:type="dxa"/>
            <w:tcBorders>
              <w:top w:val="nil"/>
              <w:left w:val="nil"/>
              <w:bottom w:val="nil"/>
              <w:right w:val="nil"/>
            </w:tcBorders>
            <w:tcMar>
              <w:top w:w="-1" w:type="dxa"/>
              <w:left w:w="-1" w:type="dxa"/>
              <w:bottom w:w="-1" w:type="dxa"/>
              <w:right w:w="-1" w:type="dxa"/>
            </w:tcMar>
            <w:vAlign w:val="center"/>
          </w:tcPr>
          <w:p w14:paraId="719E9876">
            <w:pPr>
              <w:snapToGrid w:val="0"/>
              <w:jc w:val="center"/>
              <w:rPr>
                <w:rFonts w:ascii="宋体"/>
                <w:sz w:val="24"/>
              </w:rPr>
            </w:pPr>
            <w:r>
              <w:rPr>
                <w:rFonts w:ascii="宋体" w:hAnsi="宋体"/>
                <w:sz w:val="24"/>
              </w:rPr>
              <w:t>全量验证集阈值精度</w:t>
            </w:r>
          </w:p>
        </w:tc>
        <w:tc>
          <w:tcPr>
            <w:tcW w:w="3200" w:type="dxa"/>
            <w:tcBorders>
              <w:top w:val="nil"/>
              <w:left w:val="nil"/>
              <w:bottom w:val="nil"/>
              <w:right w:val="nil"/>
            </w:tcBorders>
            <w:tcMar>
              <w:top w:w="-1" w:type="dxa"/>
              <w:left w:w="-1" w:type="dxa"/>
              <w:bottom w:w="-1" w:type="dxa"/>
              <w:right w:w="-1" w:type="dxa"/>
            </w:tcMar>
            <w:vAlign w:val="center"/>
          </w:tcPr>
          <w:p w14:paraId="6C4BD0E3">
            <w:pPr>
              <w:snapToGrid w:val="0"/>
              <w:jc w:val="center"/>
              <w:rPr>
                <w:rFonts w:ascii="宋体"/>
                <w:sz w:val="24"/>
              </w:rPr>
            </w:pPr>
            <w:r>
              <w:rPr>
                <w:rFonts w:ascii="宋体" w:hAnsi="宋体"/>
                <w:sz w:val="24"/>
              </w:rPr>
              <w:t>92.7481%</w:t>
            </w:r>
          </w:p>
        </w:tc>
        <w:tc>
          <w:tcPr>
            <w:tcW w:w="2933" w:type="dxa"/>
            <w:tcBorders>
              <w:top w:val="nil"/>
              <w:left w:val="nil"/>
              <w:bottom w:val="nil"/>
              <w:right w:val="nil"/>
            </w:tcBorders>
            <w:tcMar>
              <w:top w:w="-1" w:type="dxa"/>
              <w:left w:w="-1" w:type="dxa"/>
              <w:bottom w:w="-1" w:type="dxa"/>
              <w:right w:w="-1" w:type="dxa"/>
            </w:tcMar>
            <w:vAlign w:val="center"/>
          </w:tcPr>
          <w:p w14:paraId="33999591">
            <w:pPr>
              <w:snapToGrid w:val="0"/>
              <w:jc w:val="center"/>
              <w:rPr>
                <w:rFonts w:ascii="宋体"/>
                <w:sz w:val="24"/>
              </w:rPr>
            </w:pPr>
            <w:r>
              <w:rPr>
                <w:rFonts w:ascii="宋体" w:hAnsi="宋体"/>
                <w:sz w:val="24"/>
              </w:rPr>
              <w:t>基于 524 张验证样本完成统一阈值搜索后的正式指标</w:t>
            </w:r>
          </w:p>
        </w:tc>
      </w:tr>
      <w:tr w14:paraId="4E5E258F">
        <w:tblPrEx>
          <w:tblCellMar>
            <w:top w:w="0" w:type="dxa"/>
            <w:left w:w="108" w:type="dxa"/>
            <w:bottom w:w="0" w:type="dxa"/>
            <w:right w:w="108" w:type="dxa"/>
          </w:tblCellMar>
        </w:tblPrEx>
        <w:trPr>
          <w:jc w:val="center"/>
        </w:trPr>
        <w:tc>
          <w:tcPr>
            <w:tcW w:w="2687" w:type="dxa"/>
            <w:tcBorders>
              <w:top w:val="nil"/>
              <w:left w:val="nil"/>
              <w:bottom w:val="nil"/>
              <w:right w:val="nil"/>
            </w:tcBorders>
            <w:tcMar>
              <w:top w:w="-1" w:type="dxa"/>
              <w:left w:w="-1" w:type="dxa"/>
              <w:bottom w:w="-1" w:type="dxa"/>
              <w:right w:w="-1" w:type="dxa"/>
            </w:tcMar>
            <w:vAlign w:val="center"/>
          </w:tcPr>
          <w:p w14:paraId="2A115CB2">
            <w:pPr>
              <w:snapToGrid w:val="0"/>
              <w:jc w:val="center"/>
              <w:rPr>
                <w:rFonts w:ascii="宋体"/>
                <w:sz w:val="24"/>
              </w:rPr>
            </w:pPr>
            <w:r>
              <w:rPr>
                <w:rFonts w:ascii="宋体" w:hAnsi="宋体"/>
                <w:sz w:val="24"/>
              </w:rPr>
              <w:t>全量验证集 AUC</w:t>
            </w:r>
          </w:p>
        </w:tc>
        <w:tc>
          <w:tcPr>
            <w:tcW w:w="3200" w:type="dxa"/>
            <w:tcBorders>
              <w:top w:val="nil"/>
              <w:left w:val="nil"/>
              <w:bottom w:val="nil"/>
              <w:right w:val="nil"/>
            </w:tcBorders>
            <w:tcMar>
              <w:top w:w="-1" w:type="dxa"/>
              <w:left w:w="-1" w:type="dxa"/>
              <w:bottom w:w="-1" w:type="dxa"/>
              <w:right w:w="-1" w:type="dxa"/>
            </w:tcMar>
            <w:vAlign w:val="center"/>
          </w:tcPr>
          <w:p w14:paraId="771DE743">
            <w:pPr>
              <w:snapToGrid w:val="0"/>
              <w:jc w:val="center"/>
              <w:rPr>
                <w:rFonts w:ascii="宋体"/>
                <w:sz w:val="24"/>
              </w:rPr>
            </w:pPr>
            <w:r>
              <w:rPr>
                <w:rFonts w:ascii="宋体" w:hAnsi="宋体"/>
                <w:sz w:val="24"/>
              </w:rPr>
              <w:t>0.9639</w:t>
            </w:r>
          </w:p>
        </w:tc>
        <w:tc>
          <w:tcPr>
            <w:tcW w:w="2933" w:type="dxa"/>
            <w:tcBorders>
              <w:top w:val="nil"/>
              <w:left w:val="nil"/>
              <w:bottom w:val="nil"/>
              <w:right w:val="nil"/>
            </w:tcBorders>
            <w:tcMar>
              <w:top w:w="-1" w:type="dxa"/>
              <w:left w:w="-1" w:type="dxa"/>
              <w:bottom w:w="-1" w:type="dxa"/>
              <w:right w:w="-1" w:type="dxa"/>
            </w:tcMar>
            <w:vAlign w:val="center"/>
          </w:tcPr>
          <w:p w14:paraId="513DE3EF">
            <w:pPr>
              <w:snapToGrid w:val="0"/>
              <w:jc w:val="center"/>
              <w:rPr>
                <w:rFonts w:ascii="宋体"/>
                <w:sz w:val="24"/>
              </w:rPr>
            </w:pPr>
            <w:r>
              <w:rPr>
                <w:rFonts w:ascii="宋体" w:hAnsi="宋体"/>
                <w:sz w:val="24"/>
              </w:rPr>
              <w:t>2026 年 5 月 20 日服务器按同口径重跑补齐</w:t>
            </w:r>
          </w:p>
        </w:tc>
      </w:tr>
      <w:tr w14:paraId="4DA4EFAD">
        <w:tblPrEx>
          <w:tblCellMar>
            <w:top w:w="0" w:type="dxa"/>
            <w:left w:w="108" w:type="dxa"/>
            <w:bottom w:w="0" w:type="dxa"/>
            <w:right w:w="108" w:type="dxa"/>
          </w:tblCellMar>
        </w:tblPrEx>
        <w:trPr>
          <w:jc w:val="center"/>
        </w:trPr>
        <w:tc>
          <w:tcPr>
            <w:tcW w:w="2687" w:type="dxa"/>
            <w:tcBorders>
              <w:top w:val="nil"/>
              <w:left w:val="nil"/>
              <w:bottom w:val="nil"/>
              <w:right w:val="nil"/>
            </w:tcBorders>
            <w:tcMar>
              <w:top w:w="-1" w:type="dxa"/>
              <w:left w:w="-1" w:type="dxa"/>
              <w:bottom w:w="-1" w:type="dxa"/>
              <w:right w:w="-1" w:type="dxa"/>
            </w:tcMar>
            <w:vAlign w:val="center"/>
          </w:tcPr>
          <w:p w14:paraId="0CD3C1B5">
            <w:pPr>
              <w:snapToGrid w:val="0"/>
              <w:jc w:val="center"/>
              <w:rPr>
                <w:rFonts w:ascii="宋体"/>
                <w:sz w:val="24"/>
              </w:rPr>
            </w:pPr>
            <w:r>
              <w:rPr>
                <w:rFonts w:ascii="宋体" w:hAnsi="宋体"/>
                <w:sz w:val="24"/>
              </w:rPr>
              <w:t>部署阈值</w:t>
            </w:r>
          </w:p>
        </w:tc>
        <w:tc>
          <w:tcPr>
            <w:tcW w:w="3200" w:type="dxa"/>
            <w:tcBorders>
              <w:top w:val="nil"/>
              <w:left w:val="nil"/>
              <w:bottom w:val="nil"/>
              <w:right w:val="nil"/>
            </w:tcBorders>
            <w:tcMar>
              <w:top w:w="-1" w:type="dxa"/>
              <w:left w:w="-1" w:type="dxa"/>
              <w:bottom w:w="-1" w:type="dxa"/>
              <w:right w:w="-1" w:type="dxa"/>
            </w:tcMar>
            <w:vAlign w:val="center"/>
          </w:tcPr>
          <w:p w14:paraId="32BAFFAA">
            <w:pPr>
              <w:snapToGrid w:val="0"/>
              <w:jc w:val="center"/>
              <w:rPr>
                <w:rFonts w:ascii="宋体"/>
                <w:sz w:val="24"/>
              </w:rPr>
            </w:pPr>
            <w:r>
              <w:rPr>
                <w:rFonts w:ascii="宋体" w:hAnsi="宋体"/>
                <w:sz w:val="24"/>
              </w:rPr>
              <w:t>0.6619606018</w:t>
            </w:r>
          </w:p>
        </w:tc>
        <w:tc>
          <w:tcPr>
            <w:tcW w:w="2933" w:type="dxa"/>
            <w:tcBorders>
              <w:top w:val="nil"/>
              <w:left w:val="nil"/>
              <w:bottom w:val="nil"/>
              <w:right w:val="nil"/>
            </w:tcBorders>
            <w:tcMar>
              <w:top w:w="-1" w:type="dxa"/>
              <w:left w:w="-1" w:type="dxa"/>
              <w:bottom w:w="-1" w:type="dxa"/>
              <w:right w:w="-1" w:type="dxa"/>
            </w:tcMar>
            <w:vAlign w:val="center"/>
          </w:tcPr>
          <w:p w14:paraId="4AEEFE77">
            <w:pPr>
              <w:snapToGrid w:val="0"/>
              <w:jc w:val="center"/>
              <w:rPr>
                <w:rFonts w:ascii="宋体"/>
                <w:sz w:val="24"/>
              </w:rPr>
            </w:pPr>
            <w:r>
              <w:rPr>
                <w:rFonts w:ascii="宋体" w:hAnsi="宋体"/>
                <w:sz w:val="24"/>
              </w:rPr>
              <w:t>动态路径单独校准后的正式部署阈值</w:t>
            </w:r>
          </w:p>
        </w:tc>
      </w:tr>
      <w:tr w14:paraId="609E0DD3">
        <w:tblPrEx>
          <w:tblCellMar>
            <w:top w:w="0" w:type="dxa"/>
            <w:left w:w="108" w:type="dxa"/>
            <w:bottom w:w="0" w:type="dxa"/>
            <w:right w:w="108" w:type="dxa"/>
          </w:tblCellMar>
        </w:tblPrEx>
        <w:trPr>
          <w:jc w:val="center"/>
        </w:trPr>
        <w:tc>
          <w:tcPr>
            <w:tcW w:w="2687" w:type="dxa"/>
            <w:tcBorders>
              <w:top w:val="nil"/>
              <w:left w:val="nil"/>
              <w:bottom w:val="nil"/>
              <w:right w:val="nil"/>
            </w:tcBorders>
            <w:tcMar>
              <w:top w:w="-1" w:type="dxa"/>
              <w:left w:w="-1" w:type="dxa"/>
              <w:bottom w:w="-1" w:type="dxa"/>
              <w:right w:w="-1" w:type="dxa"/>
            </w:tcMar>
            <w:vAlign w:val="center"/>
          </w:tcPr>
          <w:p w14:paraId="4B8B8E86">
            <w:pPr>
              <w:snapToGrid w:val="0"/>
              <w:jc w:val="center"/>
              <w:rPr>
                <w:rFonts w:ascii="宋体"/>
                <w:b/>
                <w:sz w:val="24"/>
              </w:rPr>
            </w:pPr>
            <w:r>
              <w:rPr>
                <w:rFonts w:ascii="宋体" w:hAnsi="宋体"/>
                <w:b/>
                <w:sz w:val="24"/>
              </w:rPr>
              <w:t>32 条样本验证批次平均时延</w:t>
            </w:r>
          </w:p>
        </w:tc>
        <w:tc>
          <w:tcPr>
            <w:tcW w:w="3200" w:type="dxa"/>
            <w:tcBorders>
              <w:top w:val="nil"/>
              <w:left w:val="nil"/>
              <w:bottom w:val="nil"/>
              <w:right w:val="nil"/>
            </w:tcBorders>
            <w:tcMar>
              <w:top w:w="-1" w:type="dxa"/>
              <w:left w:w="-1" w:type="dxa"/>
              <w:bottom w:w="-1" w:type="dxa"/>
              <w:right w:w="-1" w:type="dxa"/>
            </w:tcMar>
            <w:vAlign w:val="center"/>
          </w:tcPr>
          <w:p w14:paraId="43E779E1">
            <w:pPr>
              <w:snapToGrid w:val="0"/>
              <w:jc w:val="center"/>
              <w:rPr>
                <w:rFonts w:ascii="宋体"/>
                <w:b/>
                <w:sz w:val="24"/>
              </w:rPr>
            </w:pPr>
            <w:r>
              <w:rPr>
                <w:rFonts w:ascii="宋体" w:hAnsi="宋体"/>
                <w:b/>
                <w:sz w:val="24"/>
              </w:rPr>
              <w:t>89.06 秒/样本</w:t>
            </w:r>
          </w:p>
        </w:tc>
        <w:tc>
          <w:tcPr>
            <w:tcW w:w="2933" w:type="dxa"/>
            <w:tcBorders>
              <w:top w:val="nil"/>
              <w:left w:val="nil"/>
              <w:bottom w:val="nil"/>
              <w:right w:val="nil"/>
            </w:tcBorders>
            <w:tcMar>
              <w:top w:w="-1" w:type="dxa"/>
              <w:left w:w="-1" w:type="dxa"/>
              <w:bottom w:w="-1" w:type="dxa"/>
              <w:right w:w="-1" w:type="dxa"/>
            </w:tcMar>
            <w:vAlign w:val="center"/>
          </w:tcPr>
          <w:p w14:paraId="223B865B">
            <w:pPr>
              <w:snapToGrid w:val="0"/>
              <w:jc w:val="center"/>
              <w:rPr>
                <w:rFonts w:ascii="宋体"/>
                <w:b/>
                <w:sz w:val="24"/>
              </w:rPr>
            </w:pPr>
            <w:r>
              <w:rPr>
                <w:rFonts w:ascii="宋体" w:hAnsi="宋体"/>
                <w:b/>
                <w:sz w:val="24"/>
              </w:rPr>
              <w:t>当前主要交付场景的端到端双向隐私原型口径</w:t>
            </w:r>
          </w:p>
        </w:tc>
      </w:tr>
      <w:tr w14:paraId="78B1734C">
        <w:tblPrEx>
          <w:tblCellMar>
            <w:top w:w="0" w:type="dxa"/>
            <w:left w:w="108" w:type="dxa"/>
            <w:bottom w:w="0" w:type="dxa"/>
            <w:right w:w="108" w:type="dxa"/>
          </w:tblCellMar>
        </w:tblPrEx>
        <w:trPr>
          <w:jc w:val="center"/>
        </w:trPr>
        <w:tc>
          <w:tcPr>
            <w:tcW w:w="2687" w:type="dxa"/>
            <w:tcBorders>
              <w:top w:val="nil"/>
              <w:left w:val="nil"/>
              <w:bottom w:val="nil"/>
              <w:right w:val="nil"/>
            </w:tcBorders>
            <w:tcMar>
              <w:top w:w="-1" w:type="dxa"/>
              <w:left w:w="-1" w:type="dxa"/>
              <w:bottom w:w="-1" w:type="dxa"/>
              <w:right w:w="-1" w:type="dxa"/>
            </w:tcMar>
            <w:vAlign w:val="center"/>
          </w:tcPr>
          <w:p w14:paraId="2A853D68">
            <w:pPr>
              <w:snapToGrid w:val="0"/>
              <w:jc w:val="center"/>
              <w:rPr>
                <w:rFonts w:ascii="宋体"/>
                <w:sz w:val="24"/>
              </w:rPr>
            </w:pPr>
            <w:r>
              <w:rPr>
                <w:rFonts w:ascii="宋体" w:hAnsi="宋体"/>
                <w:sz w:val="24"/>
              </w:rPr>
              <w:t>32 条样本验证批次双向通信量</w:t>
            </w:r>
          </w:p>
        </w:tc>
        <w:tc>
          <w:tcPr>
            <w:tcW w:w="3200" w:type="dxa"/>
            <w:tcBorders>
              <w:top w:val="nil"/>
              <w:left w:val="nil"/>
              <w:bottom w:val="nil"/>
              <w:right w:val="nil"/>
            </w:tcBorders>
            <w:tcMar>
              <w:top w:w="-1" w:type="dxa"/>
              <w:left w:w="-1" w:type="dxa"/>
              <w:bottom w:w="-1" w:type="dxa"/>
              <w:right w:w="-1" w:type="dxa"/>
            </w:tcMar>
            <w:vAlign w:val="center"/>
          </w:tcPr>
          <w:p w14:paraId="54918BE2">
            <w:pPr>
              <w:snapToGrid w:val="0"/>
              <w:jc w:val="center"/>
              <w:rPr>
                <w:rFonts w:ascii="宋体"/>
                <w:sz w:val="24"/>
              </w:rPr>
            </w:pPr>
            <w:r>
              <w:rPr>
                <w:rFonts w:ascii="宋体" w:hAnsi="宋体"/>
                <w:sz w:val="24"/>
              </w:rPr>
              <w:t>84.47 GiB</w:t>
            </w:r>
          </w:p>
        </w:tc>
        <w:tc>
          <w:tcPr>
            <w:tcW w:w="2933" w:type="dxa"/>
            <w:tcBorders>
              <w:top w:val="nil"/>
              <w:left w:val="nil"/>
              <w:bottom w:val="nil"/>
              <w:right w:val="nil"/>
            </w:tcBorders>
            <w:tcMar>
              <w:top w:w="-1" w:type="dxa"/>
              <w:left w:w="-1" w:type="dxa"/>
              <w:bottom w:w="-1" w:type="dxa"/>
              <w:right w:w="-1" w:type="dxa"/>
            </w:tcMar>
            <w:vAlign w:val="center"/>
          </w:tcPr>
          <w:p w14:paraId="6EB0336B">
            <w:pPr>
              <w:snapToGrid w:val="0"/>
              <w:jc w:val="center"/>
              <w:rPr>
                <w:rFonts w:ascii="宋体"/>
                <w:sz w:val="24"/>
              </w:rPr>
            </w:pPr>
            <w:r>
              <w:rPr>
                <w:rFonts w:ascii="宋体" w:hAnsi="宋体"/>
                <w:sz w:val="24"/>
              </w:rPr>
              <w:t>来自同配置重测记录的双向通信总量</w:t>
            </w:r>
          </w:p>
        </w:tc>
      </w:tr>
      <w:tr w14:paraId="6E723F9B">
        <w:tblPrEx>
          <w:tblCellMar>
            <w:top w:w="0" w:type="dxa"/>
            <w:left w:w="108" w:type="dxa"/>
            <w:bottom w:w="0" w:type="dxa"/>
            <w:right w:w="108" w:type="dxa"/>
          </w:tblCellMar>
        </w:tblPrEx>
        <w:trPr>
          <w:jc w:val="center"/>
        </w:trPr>
        <w:tc>
          <w:tcPr>
            <w:tcW w:w="2687" w:type="dxa"/>
            <w:tcBorders>
              <w:top w:val="nil"/>
              <w:left w:val="nil"/>
              <w:bottom w:val="single" w:color="auto" w:sz="12" w:space="0"/>
              <w:right w:val="nil"/>
            </w:tcBorders>
            <w:tcMar>
              <w:top w:w="-1" w:type="dxa"/>
              <w:left w:w="-1" w:type="dxa"/>
              <w:bottom w:w="-1" w:type="dxa"/>
              <w:right w:w="-1" w:type="dxa"/>
            </w:tcMar>
            <w:vAlign w:val="center"/>
          </w:tcPr>
          <w:p w14:paraId="4AA12C4F">
            <w:pPr>
              <w:snapToGrid w:val="0"/>
              <w:jc w:val="center"/>
              <w:rPr>
                <w:rFonts w:ascii="宋体"/>
                <w:sz w:val="24"/>
              </w:rPr>
            </w:pPr>
            <w:r>
              <w:rPr>
                <w:rFonts w:ascii="宋体" w:hAnsi="宋体"/>
                <w:sz w:val="24"/>
              </w:rPr>
              <w:t>隐私边界</w:t>
            </w:r>
          </w:p>
        </w:tc>
        <w:tc>
          <w:tcPr>
            <w:tcW w:w="3200" w:type="dxa"/>
            <w:tcBorders>
              <w:top w:val="nil"/>
              <w:left w:val="nil"/>
              <w:bottom w:val="single" w:color="auto" w:sz="12" w:space="0"/>
              <w:right w:val="nil"/>
            </w:tcBorders>
            <w:tcMar>
              <w:top w:w="-1" w:type="dxa"/>
              <w:left w:w="-1" w:type="dxa"/>
              <w:bottom w:w="-1" w:type="dxa"/>
              <w:right w:w="-1" w:type="dxa"/>
            </w:tcMar>
            <w:vAlign w:val="center"/>
          </w:tcPr>
          <w:p w14:paraId="242DBCBA">
            <w:pPr>
              <w:snapToGrid w:val="0"/>
              <w:jc w:val="center"/>
              <w:rPr>
                <w:rFonts w:ascii="宋体"/>
                <w:sz w:val="24"/>
              </w:rPr>
            </w:pPr>
            <w:r>
              <w:rPr>
                <w:rFonts w:ascii="宋体" w:hAnsi="宋体"/>
                <w:sz w:val="24"/>
              </w:rPr>
              <w:t>服务端不接收明文像素值，模型参数不以明文暴露</w:t>
            </w:r>
          </w:p>
        </w:tc>
        <w:tc>
          <w:tcPr>
            <w:tcW w:w="2933" w:type="dxa"/>
            <w:tcBorders>
              <w:top w:val="nil"/>
              <w:left w:val="nil"/>
              <w:bottom w:val="single" w:color="auto" w:sz="12" w:space="0"/>
              <w:right w:val="nil"/>
            </w:tcBorders>
            <w:tcMar>
              <w:top w:w="-1" w:type="dxa"/>
              <w:left w:w="-1" w:type="dxa"/>
              <w:bottom w:w="-1" w:type="dxa"/>
              <w:right w:w="-1" w:type="dxa"/>
            </w:tcMar>
            <w:vAlign w:val="center"/>
          </w:tcPr>
          <w:p w14:paraId="09ADDFE0">
            <w:pPr>
              <w:snapToGrid w:val="0"/>
              <w:jc w:val="center"/>
              <w:rPr>
                <w:rFonts w:ascii="宋体"/>
                <w:sz w:val="24"/>
              </w:rPr>
            </w:pPr>
            <w:r>
              <w:rPr>
                <w:rFonts w:ascii="宋体" w:hAnsi="宋体"/>
                <w:sz w:val="24"/>
              </w:rPr>
              <w:t>对外仅返回最终分类结果</w:t>
            </w:r>
          </w:p>
        </w:tc>
      </w:tr>
    </w:tbl>
    <w:p w14:paraId="2FFF1618">
      <w:pPr>
        <w:spacing w:line="360" w:lineRule="auto"/>
        <w:ind w:firstLine="480"/>
      </w:pPr>
      <w:r>
        <w:rPr>
          <w:rFonts w:ascii="宋体" w:hAnsi="宋体" w:cs="宋体"/>
          <w:sz w:val="24"/>
        </w:rPr>
        <w:t xml:space="preserve">医疗主要交付场景下的核心精度、性能与隐私边界指标如表 </w:t>
      </w:r>
      <w:r>
        <w:rPr>
          <w:rFonts w:hint="eastAsia" w:ascii="宋体" w:hAnsi="宋体" w:cs="宋体"/>
          <w:sz w:val="24"/>
          <w:lang w:val="en-US" w:eastAsia="zh-CN"/>
        </w:rPr>
        <w:t>8</w:t>
      </w:r>
      <w:r>
        <w:rPr>
          <w:rFonts w:ascii="宋体" w:hAnsi="宋体" w:cs="宋体"/>
          <w:sz w:val="24"/>
        </w:rPr>
        <w:t xml:space="preserve"> 所示。</w:t>
      </w:r>
      <w:r>
        <w:rPr>
          <w:rFonts w:ascii="宋体" w:hAnsi="宋体"/>
          <w:sz w:val="24"/>
        </w:rPr>
        <w:t>图 4-</w:t>
      </w:r>
      <w:r>
        <w:rPr>
          <w:rFonts w:hint="eastAsia" w:ascii="宋体" w:hAnsi="宋体"/>
          <w:sz w:val="24"/>
          <w:lang w:val="en-US" w:eastAsia="zh-CN"/>
        </w:rPr>
        <w:t>2</w:t>
      </w:r>
      <w:r>
        <w:rPr>
          <w:rFonts w:ascii="宋体" w:hAnsi="宋体"/>
          <w:sz w:val="24"/>
        </w:rPr>
        <w:t xml:space="preserve"> 对比了医疗动态安全剪枝路径与 DenseNet121 明文卷积基线的概率分布及阈值位置。结合 argmax 精度与阈值精度可以看出，当前动态路径的主要问题并非样本排序能力完全丧失，而是部署边界相对固定结构参考发生了系统性偏移。因此，针对动态路径单独校准部署阈值，是当前交付方案中的必要步骤。</w:t>
      </w:r>
    </w:p>
    <w:p w14:paraId="67FF6910">
      <w:pPr>
        <w:spacing w:line="360" w:lineRule="auto"/>
        <w:jc w:val="center"/>
      </w:pPr>
      <w:r>
        <w:drawing>
          <wp:inline distT="0" distB="0" distL="114300" distR="114300">
            <wp:extent cx="5760720" cy="3096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760720" cy="3096387"/>
                    </a:xfrm>
                    <a:prstGeom prst="rect">
                      <a:avLst/>
                    </a:prstGeom>
                  </pic:spPr>
                </pic:pic>
              </a:graphicData>
            </a:graphic>
          </wp:inline>
        </w:drawing>
      </w:r>
    </w:p>
    <w:p w14:paraId="4C6E7C8E">
      <w:pPr>
        <w:spacing w:line="288" w:lineRule="auto"/>
        <w:jc w:val="center"/>
      </w:pPr>
      <w:r>
        <w:rPr>
          <w:rFonts w:ascii="宋体" w:hAnsi="宋体"/>
          <w:sz w:val="20"/>
        </w:rPr>
        <w:t>图4-</w:t>
      </w:r>
      <w:r>
        <w:rPr>
          <w:rFonts w:hint="eastAsia" w:ascii="宋体" w:hAnsi="宋体"/>
          <w:sz w:val="20"/>
          <w:lang w:val="en-US" w:eastAsia="zh-CN"/>
        </w:rPr>
        <w:t>2</w:t>
      </w:r>
      <w:r>
        <w:rPr>
          <w:rFonts w:ascii="宋体" w:hAnsi="宋体"/>
          <w:sz w:val="20"/>
        </w:rPr>
        <w:t xml:space="preserve"> 医疗动态安全剪枝路径与 DenseNet121 明文基线的概率分布与阈值偏移对比。</w:t>
      </w:r>
    </w:p>
    <w:p w14:paraId="45AD2316">
      <w:pPr>
        <w:spacing w:line="360" w:lineRule="auto"/>
        <w:ind w:firstLine="480"/>
      </w:pPr>
      <w:r>
        <w:rPr>
          <w:rFonts w:ascii="宋体" w:hAnsi="宋体"/>
          <w:sz w:val="24"/>
        </w:rPr>
        <w:t>同口径服务器复核表明，动态正式主线在 full-val CPU runtime-pruning reference 口径下的 AUC 为 0.9639。这说明当前动态路径并未失去样本排序能力，影响部署效果的关键问题仍然是决策边界相对固定结构参考发生系统性偏移，因此动态路径单独阈值校准仍是正式部署中的必要步骤。</w:t>
      </w:r>
    </w:p>
    <w:p w14:paraId="1E27D21E">
      <w:pPr>
        <w:spacing w:line="360" w:lineRule="auto"/>
        <w:outlineLvl w:val="1"/>
        <w:rPr>
          <w:rFonts w:hint="eastAsia" w:ascii="黑体" w:hAnsi="黑体" w:eastAsia="黑体"/>
          <w:b/>
          <w:sz w:val="24"/>
        </w:rPr>
      </w:pPr>
      <w:bookmarkStart w:id="44" w:name="Transshield_TOC_section_4_4"/>
      <w:bookmarkStart w:id="45" w:name="_Toc230691162"/>
      <w:r>
        <w:rPr>
          <w:rFonts w:ascii="黑体" w:hAnsi="黑体" w:eastAsia="黑体"/>
          <w:b/>
          <w:sz w:val="24"/>
        </w:rPr>
        <w:t>4.4 性能与通信量分析</w:t>
      </w:r>
      <w:bookmarkEnd w:id="44"/>
      <w:bookmarkEnd w:id="45"/>
    </w:p>
    <w:p w14:paraId="78B49B8B">
      <w:pPr>
        <w:spacing w:line="360" w:lineRule="auto"/>
        <w:ind w:firstLine="480" w:firstLineChars="200"/>
        <w:rPr>
          <w:rFonts w:hint="eastAsia" w:ascii="宋体" w:hAnsi="宋体" w:cs="宋体"/>
          <w:sz w:val="24"/>
        </w:rPr>
      </w:pPr>
      <w:r>
        <w:rPr>
          <w:rFonts w:ascii="宋体" w:hAnsi="宋体" w:cs="宋体"/>
          <w:sz w:val="24"/>
        </w:rPr>
        <w:t>医疗交付场景与金融边界压力验证场景的端到端性能与通信量统计结果</w:t>
      </w:r>
      <w:r>
        <w:rPr>
          <w:rFonts w:hint="eastAsia" w:ascii="宋体" w:hAnsi="宋体" w:cs="宋体"/>
          <w:sz w:val="24"/>
        </w:rPr>
        <w:t>如</w:t>
      </w:r>
      <w:r>
        <w:rPr>
          <w:rFonts w:hint="eastAsia" w:ascii="宋体" w:hAnsi="宋体" w:cs="宋体"/>
          <w:sz w:val="24"/>
          <w:lang w:val="en-US" w:eastAsia="zh-CN"/>
        </w:rPr>
        <w:t>图4-3</w:t>
      </w:r>
      <w:r>
        <w:rPr>
          <w:rFonts w:ascii="宋体" w:hAnsi="宋体" w:cs="宋体"/>
          <w:sz w:val="24"/>
        </w:rPr>
        <w:t>所示。</w:t>
      </w:r>
    </w:p>
    <w:p w14:paraId="43C00ABF">
      <w:pPr>
        <w:spacing w:line="360" w:lineRule="auto"/>
        <w:jc w:val="center"/>
        <w:rPr>
          <w:rFonts w:hint="eastAsia" w:ascii="黑体" w:hAnsi="黑体" w:eastAsia="黑体"/>
          <w:b/>
          <w:sz w:val="24"/>
        </w:rPr>
      </w:pPr>
      <w:r>
        <w:rPr>
          <w:rFonts w:hint="eastAsia" w:ascii="宋体" w:hAnsi="宋体" w:cs="宋体"/>
          <w:sz w:val="24"/>
          <w:lang w:val="en-US" w:eastAsia="zh-CN"/>
        </w:rPr>
        <w:t>图4-3</w:t>
      </w:r>
      <w:r>
        <w:rPr>
          <w:rFonts w:ascii="宋体" w:hAnsi="宋体" w:cs="宋体"/>
          <w:sz w:val="24"/>
        </w:rPr>
        <w:t xml:space="preserve"> 不同场景端到端性能与通信量统计</w:t>
      </w:r>
    </w:p>
    <w:p w14:paraId="4A4AECAD">
      <w:pPr>
        <w:spacing w:line="360" w:lineRule="auto"/>
        <w:jc w:val="left"/>
        <w:rPr>
          <w:rFonts w:hint="eastAsia" w:ascii="宋体" w:hAnsi="宋体" w:cs="宋体"/>
          <w:sz w:val="24"/>
        </w:rPr>
      </w:pPr>
      <w:r>
        <w:drawing>
          <wp:inline distT="0" distB="0" distL="114300" distR="114300">
            <wp:extent cx="5591175" cy="2767965"/>
            <wp:effectExtent l="0" t="0" r="9525" b="63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6"/>
                    <a:stretch>
                      <a:fillRect/>
                    </a:stretch>
                  </pic:blipFill>
                  <pic:spPr>
                    <a:xfrm>
                      <a:off x="0" y="0"/>
                      <a:ext cx="5591175" cy="2767965"/>
                    </a:xfrm>
                    <a:prstGeom prst="rect">
                      <a:avLst/>
                    </a:prstGeom>
                    <a:noFill/>
                    <a:ln>
                      <a:noFill/>
                    </a:ln>
                  </pic:spPr>
                </pic:pic>
              </a:graphicData>
            </a:graphic>
          </wp:inline>
        </w:drawing>
      </w:r>
      <w:r>
        <w:rPr>
          <w:rFonts w:ascii="宋体" w:hAnsi="宋体" w:cs="宋体"/>
          <w:sz w:val="24"/>
        </w:rPr>
        <w:t xml:space="preserve">注：通信量为两方节点之间的双向总字节数，包含协议头与控制报文；所有测试均在同机本地双节点（colocated </w:t>
      </w:r>
      <w:r>
        <w:fldChar w:fldCharType="begin"/>
      </w:r>
      <w:r>
        <w:instrText xml:space="preserve"> HYPERLINK "https://localhost" \t "_blank" \o "autolink" </w:instrText>
      </w:r>
      <w:r>
        <w:fldChar w:fldCharType="separate"/>
      </w:r>
      <w:r>
        <w:rPr>
          <w:rStyle w:val="11"/>
          <w:rFonts w:ascii="宋体" w:hAnsi="宋体" w:cs="宋体"/>
          <w:color w:val="auto"/>
          <w:sz w:val="24"/>
        </w:rPr>
        <w:t>localhost</w:t>
      </w:r>
      <w:r>
        <w:rPr>
          <w:rStyle w:val="11"/>
          <w:rFonts w:ascii="宋体" w:hAnsi="宋体" w:cs="宋体"/>
          <w:color w:val="auto"/>
          <w:sz w:val="24"/>
        </w:rPr>
        <w:fldChar w:fldCharType="end"/>
      </w:r>
      <w:r>
        <w:rPr>
          <w:rFonts w:ascii="宋体" w:hAnsi="宋体" w:cs="宋体"/>
          <w:sz w:val="24"/>
        </w:rPr>
        <w:t>）2PC 模式下执行。</w:t>
      </w:r>
    </w:p>
    <w:p w14:paraId="37667FC4">
      <w:pPr>
        <w:spacing w:line="360" w:lineRule="auto"/>
        <w:ind w:firstLine="480" w:firstLineChars="200"/>
        <w:jc w:val="left"/>
        <w:rPr>
          <w:rFonts w:hint="eastAsia" w:ascii="宋体" w:hAnsi="宋体" w:cs="宋体"/>
          <w:sz w:val="24"/>
        </w:rPr>
      </w:pPr>
      <w:r>
        <w:rPr>
          <w:rFonts w:ascii="宋体" w:hAnsi="宋体" w:cs="宋体"/>
          <w:sz w:val="24"/>
        </w:rPr>
        <w:t>为进一步量化算子优化的收益，本作品补充了统一基准下的算子级代理对比，结果如表</w:t>
      </w:r>
      <w:r>
        <w:rPr>
          <w:rFonts w:hint="eastAsia" w:ascii="宋体" w:hAnsi="宋体" w:cs="宋体"/>
          <w:sz w:val="24"/>
          <w:lang w:val="en-US" w:eastAsia="zh-CN"/>
        </w:rPr>
        <w:t>9</w:t>
      </w:r>
      <w:r>
        <w:rPr>
          <w:rFonts w:ascii="宋体" w:hAnsi="宋体" w:cs="宋体"/>
          <w:sz w:val="24"/>
        </w:rPr>
        <w:t>所示。</w:t>
      </w:r>
    </w:p>
    <w:p w14:paraId="724050A6">
      <w:pPr>
        <w:spacing w:line="360" w:lineRule="auto"/>
        <w:jc w:val="center"/>
      </w:pPr>
      <w:r>
        <w:rPr>
          <w:rFonts w:ascii="宋体" w:hAnsi="宋体" w:cs="宋体"/>
          <w:sz w:val="24"/>
        </w:rPr>
        <w:t xml:space="preserve">表 </w:t>
      </w:r>
      <w:r>
        <w:rPr>
          <w:rFonts w:hint="eastAsia" w:ascii="宋体" w:hAnsi="宋体" w:cs="宋体"/>
          <w:sz w:val="24"/>
          <w:lang w:val="en-US" w:eastAsia="zh-CN"/>
        </w:rPr>
        <w:t>9</w:t>
      </w:r>
      <w:r>
        <w:rPr>
          <w:rFonts w:ascii="宋体" w:hAnsi="宋体" w:cs="宋体"/>
          <w:sz w:val="24"/>
        </w:rPr>
        <w:t xml:space="preserve"> 算子级代理基准对比结果</w:t>
      </w:r>
    </w:p>
    <w:tbl>
      <w:tblPr>
        <w:tblStyle w:val="7"/>
        <w:tblW w:w="8820" w:type="dxa"/>
        <w:jc w:val="center"/>
        <w:tblLayout w:type="autofit"/>
        <w:tblCellMar>
          <w:top w:w="0" w:type="dxa"/>
          <w:left w:w="108" w:type="dxa"/>
          <w:bottom w:w="0" w:type="dxa"/>
          <w:right w:w="108" w:type="dxa"/>
        </w:tblCellMar>
      </w:tblPr>
      <w:tblGrid>
        <w:gridCol w:w="1650"/>
        <w:gridCol w:w="1203"/>
        <w:gridCol w:w="1182"/>
        <w:gridCol w:w="4785"/>
      </w:tblGrid>
      <w:tr w14:paraId="64359937">
        <w:tblPrEx>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2862F754">
            <w:pPr>
              <w:snapToGrid w:val="0"/>
              <w:jc w:val="center"/>
              <w:rPr>
                <w:rFonts w:ascii="宋体"/>
                <w:b/>
                <w:sz w:val="24"/>
              </w:rPr>
            </w:pPr>
            <w:r>
              <w:rPr>
                <w:rFonts w:ascii="宋体" w:hAnsi="宋体"/>
                <w:b/>
                <w:sz w:val="24"/>
              </w:rPr>
              <w:t>代理基准对比组</w:t>
            </w:r>
          </w:p>
        </w:tc>
        <w:tc>
          <w:tcPr>
            <w:tcW w:w="1203" w:type="dxa"/>
            <w:tcBorders>
              <w:top w:val="single" w:color="auto" w:sz="12" w:space="0"/>
              <w:left w:val="nil"/>
              <w:bottom w:val="nil"/>
              <w:right w:val="nil"/>
            </w:tcBorders>
            <w:tcMar>
              <w:top w:w="-1" w:type="dxa"/>
              <w:left w:w="-1" w:type="dxa"/>
              <w:bottom w:w="-1" w:type="dxa"/>
              <w:right w:w="-1" w:type="dxa"/>
            </w:tcMar>
            <w:vAlign w:val="center"/>
          </w:tcPr>
          <w:p w14:paraId="77B71147">
            <w:pPr>
              <w:snapToGrid w:val="0"/>
              <w:jc w:val="center"/>
              <w:rPr>
                <w:rFonts w:hint="eastAsia" w:ascii="宋体" w:hAnsi="宋体"/>
                <w:b/>
                <w:sz w:val="24"/>
              </w:rPr>
            </w:pPr>
            <w:r>
              <w:rPr>
                <w:rFonts w:ascii="宋体" w:hAnsi="宋体"/>
                <w:b/>
                <w:sz w:val="24"/>
              </w:rPr>
              <w:t>通信比值</w:t>
            </w:r>
          </w:p>
          <w:p w14:paraId="451EC0BC">
            <w:pPr>
              <w:snapToGrid w:val="0"/>
              <w:jc w:val="center"/>
              <w:rPr>
                <w:rFonts w:ascii="宋体"/>
                <w:b/>
                <w:sz w:val="24"/>
              </w:rPr>
            </w:pPr>
            <w:r>
              <w:rPr>
                <w:rFonts w:ascii="宋体" w:hAnsi="宋体"/>
                <w:b/>
                <w:sz w:val="24"/>
              </w:rPr>
              <w:t>（左/右）</w:t>
            </w:r>
          </w:p>
        </w:tc>
        <w:tc>
          <w:tcPr>
            <w:tcW w:w="1182" w:type="dxa"/>
            <w:tcBorders>
              <w:top w:val="single" w:color="auto" w:sz="12" w:space="0"/>
              <w:left w:val="nil"/>
              <w:bottom w:val="nil"/>
              <w:right w:val="nil"/>
            </w:tcBorders>
            <w:tcMar>
              <w:top w:w="-1" w:type="dxa"/>
              <w:left w:w="-1" w:type="dxa"/>
              <w:bottom w:w="-1" w:type="dxa"/>
              <w:right w:w="-1" w:type="dxa"/>
            </w:tcMar>
            <w:vAlign w:val="center"/>
          </w:tcPr>
          <w:p w14:paraId="47D4D486">
            <w:pPr>
              <w:snapToGrid w:val="0"/>
              <w:jc w:val="center"/>
              <w:rPr>
                <w:rFonts w:hint="eastAsia" w:ascii="宋体" w:hAnsi="宋体"/>
                <w:b/>
                <w:sz w:val="24"/>
              </w:rPr>
            </w:pPr>
            <w:r>
              <w:rPr>
                <w:rFonts w:ascii="宋体" w:hAnsi="宋体"/>
                <w:b/>
                <w:sz w:val="24"/>
              </w:rPr>
              <w:t>时间比值</w:t>
            </w:r>
          </w:p>
          <w:p w14:paraId="4AE9E58E">
            <w:pPr>
              <w:snapToGrid w:val="0"/>
              <w:jc w:val="center"/>
              <w:rPr>
                <w:rFonts w:ascii="宋体"/>
                <w:b/>
                <w:sz w:val="24"/>
              </w:rPr>
            </w:pPr>
            <w:r>
              <w:rPr>
                <w:rFonts w:ascii="宋体" w:hAnsi="宋体"/>
                <w:b/>
                <w:sz w:val="24"/>
              </w:rPr>
              <w:t>（左/右）</w:t>
            </w:r>
          </w:p>
        </w:tc>
        <w:tc>
          <w:tcPr>
            <w:tcW w:w="4785" w:type="dxa"/>
            <w:tcBorders>
              <w:top w:val="single" w:color="auto" w:sz="12" w:space="0"/>
              <w:left w:val="nil"/>
              <w:bottom w:val="nil"/>
              <w:right w:val="nil"/>
            </w:tcBorders>
            <w:tcMar>
              <w:top w:w="-1" w:type="dxa"/>
              <w:left w:w="-1" w:type="dxa"/>
              <w:bottom w:w="-1" w:type="dxa"/>
              <w:right w:w="-1" w:type="dxa"/>
            </w:tcMar>
            <w:vAlign w:val="center"/>
          </w:tcPr>
          <w:p w14:paraId="0A18605E">
            <w:pPr>
              <w:snapToGrid w:val="0"/>
              <w:jc w:val="center"/>
              <w:rPr>
                <w:rFonts w:ascii="宋体"/>
                <w:b/>
                <w:sz w:val="24"/>
              </w:rPr>
            </w:pPr>
            <w:r>
              <w:rPr>
                <w:rFonts w:ascii="宋体" w:hAnsi="宋体"/>
                <w:b/>
                <w:sz w:val="24"/>
              </w:rPr>
              <w:t>适用范围说明</w:t>
            </w:r>
          </w:p>
        </w:tc>
      </w:tr>
      <w:tr w14:paraId="636FF545">
        <w:tblPrEx>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7743AD1E">
            <w:pPr>
              <w:snapToGrid w:val="0"/>
              <w:jc w:val="center"/>
              <w:rPr>
                <w:rFonts w:ascii="宋体"/>
                <w:sz w:val="24"/>
              </w:rPr>
            </w:pPr>
            <w:r>
              <w:rPr>
                <w:rFonts w:ascii="宋体" w:hAnsi="宋体"/>
                <w:sz w:val="24"/>
              </w:rPr>
              <w:t>同形状算子代理基准</w:t>
            </w:r>
          </w:p>
        </w:tc>
        <w:tc>
          <w:tcPr>
            <w:tcW w:w="1203" w:type="dxa"/>
            <w:tcBorders>
              <w:top w:val="single" w:color="auto" w:sz="4" w:space="0"/>
              <w:left w:val="nil"/>
              <w:bottom w:val="nil"/>
              <w:right w:val="nil"/>
            </w:tcBorders>
            <w:tcMar>
              <w:top w:w="-1" w:type="dxa"/>
              <w:left w:w="-1" w:type="dxa"/>
              <w:bottom w:w="-1" w:type="dxa"/>
              <w:right w:w="-1" w:type="dxa"/>
            </w:tcMar>
            <w:vAlign w:val="center"/>
          </w:tcPr>
          <w:p w14:paraId="7A554571">
            <w:pPr>
              <w:jc w:val="center"/>
            </w:pPr>
            <w:r>
              <w:t>0.149x</w:t>
            </w:r>
          </w:p>
        </w:tc>
        <w:tc>
          <w:tcPr>
            <w:tcW w:w="1182" w:type="dxa"/>
            <w:tcBorders>
              <w:top w:val="single" w:color="auto" w:sz="4" w:space="0"/>
              <w:left w:val="nil"/>
              <w:bottom w:val="nil"/>
              <w:right w:val="nil"/>
            </w:tcBorders>
            <w:tcMar>
              <w:top w:w="-1" w:type="dxa"/>
              <w:left w:w="-1" w:type="dxa"/>
              <w:bottom w:w="-1" w:type="dxa"/>
              <w:right w:w="-1" w:type="dxa"/>
            </w:tcMar>
            <w:vAlign w:val="center"/>
          </w:tcPr>
          <w:p w14:paraId="3455EF78">
            <w:pPr>
              <w:jc w:val="center"/>
            </w:pPr>
            <w:r>
              <w:t>0.528x</w:t>
            </w:r>
          </w:p>
        </w:tc>
        <w:tc>
          <w:tcPr>
            <w:tcW w:w="4785" w:type="dxa"/>
            <w:tcBorders>
              <w:top w:val="single" w:color="auto" w:sz="4" w:space="0"/>
              <w:left w:val="nil"/>
              <w:bottom w:val="nil"/>
              <w:right w:val="nil"/>
            </w:tcBorders>
            <w:tcMar>
              <w:top w:w="-1" w:type="dxa"/>
              <w:left w:w="-1" w:type="dxa"/>
              <w:bottom w:w="-1" w:type="dxa"/>
              <w:right w:w="-1" w:type="dxa"/>
            </w:tcMar>
            <w:vAlign w:val="center"/>
          </w:tcPr>
          <w:p w14:paraId="5FD0AC54">
            <w:pPr>
              <w:snapToGrid w:val="0"/>
              <w:rPr>
                <w:rFonts w:ascii="宋体"/>
                <w:sz w:val="24"/>
              </w:rPr>
            </w:pPr>
            <w:r>
              <w:rPr>
                <w:rFonts w:ascii="宋体" w:hAnsi="宋体"/>
                <w:sz w:val="24"/>
              </w:rPr>
              <w:t>同一模型形状、同一 2PC benchmark harness；主要用于观察算子配置导致的安全开销差异。</w:t>
            </w:r>
          </w:p>
        </w:tc>
      </w:tr>
      <w:tr w14:paraId="05F292FE">
        <w:tblPrEx>
          <w:tblCellMar>
            <w:top w:w="0" w:type="dxa"/>
            <w:left w:w="108" w:type="dxa"/>
            <w:bottom w:w="0" w:type="dxa"/>
            <w:right w:w="108" w:type="dxa"/>
          </w:tblCellMar>
        </w:tblPrEx>
        <w:trPr>
          <w:jc w:val="center"/>
        </w:trPr>
        <w:tc>
          <w:tcPr>
            <w:tcW w:w="1650" w:type="dxa"/>
            <w:tcBorders>
              <w:top w:val="nil"/>
              <w:left w:val="nil"/>
              <w:bottom w:val="single" w:color="auto" w:sz="12" w:space="0"/>
              <w:right w:val="nil"/>
            </w:tcBorders>
            <w:tcMar>
              <w:top w:w="-1" w:type="dxa"/>
              <w:left w:w="-1" w:type="dxa"/>
              <w:bottom w:w="-1" w:type="dxa"/>
              <w:right w:w="-1" w:type="dxa"/>
            </w:tcMar>
            <w:vAlign w:val="center"/>
          </w:tcPr>
          <w:p w14:paraId="59214157">
            <w:pPr>
              <w:snapToGrid w:val="0"/>
              <w:jc w:val="center"/>
              <w:rPr>
                <w:rFonts w:ascii="宋体"/>
                <w:sz w:val="24"/>
              </w:rPr>
            </w:pPr>
            <w:r>
              <w:rPr>
                <w:rFonts w:ascii="宋体" w:hAnsi="宋体"/>
                <w:sz w:val="24"/>
              </w:rPr>
              <w:t>异构结构代理基准</w:t>
            </w:r>
          </w:p>
        </w:tc>
        <w:tc>
          <w:tcPr>
            <w:tcW w:w="1203" w:type="dxa"/>
            <w:tcBorders>
              <w:top w:val="nil"/>
              <w:left w:val="nil"/>
              <w:bottom w:val="single" w:color="auto" w:sz="12" w:space="0"/>
              <w:right w:val="nil"/>
            </w:tcBorders>
            <w:tcMar>
              <w:top w:w="-1" w:type="dxa"/>
              <w:left w:w="-1" w:type="dxa"/>
              <w:bottom w:w="-1" w:type="dxa"/>
              <w:right w:w="-1" w:type="dxa"/>
            </w:tcMar>
            <w:vAlign w:val="center"/>
          </w:tcPr>
          <w:p w14:paraId="6BD4884F">
            <w:pPr>
              <w:jc w:val="center"/>
            </w:pPr>
            <w:r>
              <w:t>16.845x</w:t>
            </w:r>
          </w:p>
        </w:tc>
        <w:tc>
          <w:tcPr>
            <w:tcW w:w="1182" w:type="dxa"/>
            <w:tcBorders>
              <w:top w:val="nil"/>
              <w:left w:val="nil"/>
              <w:bottom w:val="single" w:color="auto" w:sz="12" w:space="0"/>
              <w:right w:val="nil"/>
            </w:tcBorders>
            <w:tcMar>
              <w:top w:w="-1" w:type="dxa"/>
              <w:left w:w="-1" w:type="dxa"/>
              <w:bottom w:w="-1" w:type="dxa"/>
              <w:right w:w="-1" w:type="dxa"/>
            </w:tcMar>
            <w:vAlign w:val="center"/>
          </w:tcPr>
          <w:p w14:paraId="537E3981">
            <w:pPr>
              <w:jc w:val="center"/>
            </w:pPr>
            <w:r>
              <w:t>2.955x</w:t>
            </w:r>
          </w:p>
        </w:tc>
        <w:tc>
          <w:tcPr>
            <w:tcW w:w="4785" w:type="dxa"/>
            <w:tcBorders>
              <w:top w:val="nil"/>
              <w:left w:val="nil"/>
              <w:bottom w:val="single" w:color="auto" w:sz="12" w:space="0"/>
              <w:right w:val="nil"/>
            </w:tcBorders>
            <w:tcMar>
              <w:top w:w="-1" w:type="dxa"/>
              <w:left w:w="-1" w:type="dxa"/>
              <w:bottom w:w="-1" w:type="dxa"/>
              <w:right w:w="-1" w:type="dxa"/>
            </w:tcMar>
            <w:vAlign w:val="center"/>
          </w:tcPr>
          <w:p w14:paraId="2C70FEFA">
            <w:pPr>
              <w:snapToGrid w:val="0"/>
              <w:rPr>
                <w:rFonts w:ascii="宋体"/>
                <w:sz w:val="24"/>
              </w:rPr>
            </w:pPr>
            <w:r>
              <w:rPr>
                <w:rFonts w:ascii="宋体" w:hAnsi="宋体"/>
                <w:sz w:val="24"/>
              </w:rPr>
              <w:t>同一 MPCFormer local 2PC benchmark harness；各 profile 使用各自模型结构参数。这不是 full-val 医学图像 pipeline 通信量。</w:t>
            </w:r>
          </w:p>
        </w:tc>
      </w:tr>
    </w:tbl>
    <w:p w14:paraId="45FDC967">
      <w:pPr>
        <w:spacing w:line="360" w:lineRule="auto"/>
        <w:rPr>
          <w:rFonts w:hint="eastAsia" w:ascii="宋体" w:hAnsi="宋体"/>
          <w:sz w:val="24"/>
        </w:rPr>
      </w:pPr>
      <w:r>
        <w:rPr>
          <w:rFonts w:ascii="宋体" w:hAnsi="宋体" w:cs="宋体"/>
          <w:sz w:val="24"/>
        </w:rPr>
        <w:t>注："同形状算子代理基准" 基于统一 DeiT-S 模型结构测试；"异构结构代理基准" 仅用于说明模型结构差异对性能的影响，不代表医疗主链路性能。</w:t>
      </w:r>
    </w:p>
    <w:p w14:paraId="342457EC">
      <w:pPr>
        <w:spacing w:line="360" w:lineRule="auto"/>
        <w:ind w:firstLine="480"/>
      </w:pPr>
      <w:r>
        <w:rPr>
          <w:rFonts w:ascii="宋体" w:hAnsi="宋体"/>
          <w:sz w:val="24"/>
        </w:rPr>
        <w:t>为便于统一表达时延与通信量的来源，本节先用式（4-1）至式（4-2）给出端到端代价的分解形式，再结合当前原型链路的实测结果解释主要瓶颈。</w:t>
      </w:r>
    </w:p>
    <w:p w14:paraId="714DDAF6">
      <w:pPr>
        <w:tabs>
          <w:tab w:val="center" w:pos="4536"/>
          <w:tab w:val="right" w:pos="8712"/>
        </w:tabs>
        <w:spacing w:before="40" w:after="60"/>
        <w:jc w:val="left"/>
        <w:rPr>
          <w:sz w:val="24"/>
        </w:rPr>
      </w:pPr>
      <w:r>
        <w:rPr>
          <w:sz w:val="24"/>
        </w:rPr>
        <w:tab/>
      </w:r>
      <m:oMath>
        <m:sSub>
          <m:sSubPr>
            <m:ctrlPr>
              <w:rPr>
                <w:rFonts w:ascii="Cambria Math" w:hAnsi="Cambria Math"/>
                <w:sz w:val="24"/>
              </w:rPr>
            </m:ctrlPr>
          </m:sSubPr>
          <m:e>
            <m:r>
              <m:rPr/>
              <w:rPr>
                <w:rFonts w:ascii="Cambria Math" w:hAnsi="Cambria Math"/>
                <w:sz w:val="24"/>
              </w:rPr>
              <m:t>T</m:t>
            </m:r>
            <m:ctrlPr>
              <w:rPr>
                <w:rFonts w:ascii="Cambria Math" w:hAnsi="Cambria Math"/>
                <w:sz w:val="24"/>
              </w:rPr>
            </m:ctrlPr>
          </m:e>
          <m:sub>
            <m:r>
              <m:rPr>
                <m:sty m:val="p"/>
              </m:rPr>
              <w:rPr>
                <w:rFonts w:ascii="Cambria Math" w:hAnsi="Cambria Math"/>
                <w:sz w:val="24"/>
              </w:rPr>
              <m:t>total</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T</m:t>
            </m:r>
            <m:ctrlPr>
              <w:rPr>
                <w:rFonts w:ascii="Cambria Math" w:hAnsi="Cambria Math"/>
                <w:sz w:val="24"/>
              </w:rPr>
            </m:ctrlPr>
          </m:e>
          <m:sub>
            <m:r>
              <m:rPr>
                <m:sty m:val="p"/>
              </m:rPr>
              <w:rPr>
                <w:rFonts w:ascii="Cambria Math" w:hAnsi="Cambria Math"/>
                <w:sz w:val="24"/>
              </w:rPr>
              <m:t>pre</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T</m:t>
            </m:r>
            <m:ctrlPr>
              <w:rPr>
                <w:rFonts w:ascii="Cambria Math" w:hAnsi="Cambria Math"/>
                <w:sz w:val="24"/>
              </w:rPr>
            </m:ctrlPr>
          </m:e>
          <m:sub>
            <m:r>
              <m:rPr>
                <m:sty m:val="p"/>
              </m:rPr>
              <w:rPr>
                <w:rFonts w:ascii="Cambria Math" w:hAnsi="Cambria Math"/>
                <w:sz w:val="24"/>
              </w:rPr>
              <m:t>guard</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T</m:t>
            </m:r>
            <m:ctrlPr>
              <w:rPr>
                <w:rFonts w:ascii="Cambria Math" w:hAnsi="Cambria Math"/>
                <w:sz w:val="24"/>
              </w:rPr>
            </m:ctrlPr>
          </m:e>
          <m:sub>
            <m:r>
              <m:rPr>
                <m:sty m:val="p"/>
              </m:rPr>
              <w:rPr>
                <w:rFonts w:ascii="Cambria Math" w:hAnsi="Cambria Math"/>
                <w:sz w:val="24"/>
              </w:rPr>
              <m:t>SPU</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T</m:t>
            </m:r>
            <m:ctrlPr>
              <w:rPr>
                <w:rFonts w:ascii="Cambria Math" w:hAnsi="Cambria Math"/>
                <w:sz w:val="24"/>
              </w:rPr>
            </m:ctrlPr>
          </m:e>
          <m:sub>
            <m:r>
              <m:rPr>
                <m:sty m:val="p"/>
              </m:rPr>
              <w:rPr>
                <w:rFonts w:ascii="Cambria Math" w:hAnsi="Cambria Math"/>
                <w:sz w:val="24"/>
              </w:rPr>
              <m:t>post</m:t>
            </m:r>
            <m:ctrlPr>
              <w:rPr>
                <w:rFonts w:ascii="Cambria Math" w:hAnsi="Cambria Math"/>
                <w:sz w:val="24"/>
              </w:rPr>
            </m:ctrlPr>
          </m:sub>
        </m:sSub>
      </m:oMath>
      <w:r>
        <w:rPr>
          <w:rFonts w:eastAsia="Times New Roman"/>
          <w:sz w:val="24"/>
        </w:rPr>
        <w:tab/>
      </w:r>
      <w:r>
        <w:rPr>
          <w:rFonts w:eastAsia="Times New Roman"/>
          <w:sz w:val="24"/>
        </w:rPr>
        <w:t>(4-1)</w:t>
      </w:r>
    </w:p>
    <w:p w14:paraId="52D61497">
      <w:pPr>
        <w:tabs>
          <w:tab w:val="center" w:pos="4536"/>
          <w:tab w:val="right" w:pos="8712"/>
        </w:tabs>
        <w:spacing w:before="40" w:after="60"/>
        <w:jc w:val="left"/>
        <w:rPr>
          <w:sz w:val="24"/>
        </w:rPr>
      </w:pPr>
      <w:r>
        <w:rPr>
          <w:sz w:val="24"/>
        </w:rPr>
        <w:tab/>
      </w:r>
      <m:oMath>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m:sty m:val="p"/>
              </m:rPr>
              <w:rPr>
                <w:rFonts w:ascii="Cambria Math" w:hAnsi="Cambria Math"/>
                <w:sz w:val="24"/>
              </w:rPr>
              <m:t>total</m:t>
            </m:r>
            <m:ctrlPr>
              <w:rPr>
                <w:rFonts w:ascii="Cambria Math" w:hAnsi="Cambria Math"/>
                <w:sz w:val="24"/>
              </w:rPr>
            </m:ctrlPr>
          </m:sub>
        </m:sSub>
        <m:r>
          <m:rPr>
            <m:sty m:val="p"/>
          </m:rPr>
          <w:rPr>
            <w:rFonts w:ascii="Cambria Math" w:hAnsi="Cambria Math"/>
            <w:sz w:val="24"/>
          </w:rPr>
          <m:t>=</m:t>
        </m:r>
        <m:nary>
          <m:naryPr>
            <m:chr m:val="∑"/>
            <m:ctrlPr>
              <w:rPr>
                <w:rFonts w:ascii="Cambria Math" w:hAnsi="Cambria Math"/>
                <w:sz w:val="24"/>
              </w:rPr>
            </m:ctrlPr>
          </m:naryPr>
          <m:sub>
            <m:r>
              <m:rPr/>
              <w:rPr>
                <w:rFonts w:ascii="Cambria Math" w:hAnsi="Cambria Math"/>
                <w:sz w:val="24"/>
              </w:rPr>
              <m:t>r</m:t>
            </m:r>
            <m:ctrlPr>
              <w:rPr>
                <w:rFonts w:ascii="Cambria Math" w:hAnsi="Cambria Math"/>
                <w:sz w:val="24"/>
              </w:rPr>
            </m:ctrlPr>
          </m:sub>
          <m:sup>
            <m:ctrlPr>
              <w:rPr>
                <w:rFonts w:ascii="Cambria Math" w:hAnsi="Cambria Math"/>
                <w:sz w:val="24"/>
              </w:rPr>
            </m:ctrlPr>
          </m:sup>
          <m:e>
            <m:d>
              <m:dPr>
                <m:ctrlPr>
                  <w:rPr>
                    <w:rFonts w:ascii="Cambria Math" w:hAnsi="Cambria Math"/>
                    <w:sz w:val="24"/>
                  </w:rPr>
                </m:ctrlPr>
              </m:dPr>
              <m:e>
                <m:sSubSup>
                  <m:sSubSupPr>
                    <m:ctrlPr>
                      <w:rPr>
                        <w:rFonts w:ascii="Cambria Math" w:hAnsi="Cambria Math"/>
                        <w:sz w:val="24"/>
                      </w:rPr>
                    </m:ctrlPr>
                  </m:sSubSupPr>
                  <m:e>
                    <m:r>
                      <m:rPr/>
                      <w:rPr>
                        <w:rFonts w:ascii="Cambria Math" w:hAnsi="Cambria Math"/>
                        <w:sz w:val="24"/>
                      </w:rPr>
                      <m:t>V</m:t>
                    </m:r>
                    <m:ctrlPr>
                      <w:rPr>
                        <w:rFonts w:ascii="Cambria Math" w:hAnsi="Cambria Math"/>
                        <w:sz w:val="24"/>
                      </w:rPr>
                    </m:ctrlPr>
                  </m:e>
                  <m:sub>
                    <m:r>
                      <m:rPr>
                        <m:sty m:val="p"/>
                      </m:rPr>
                      <w:rPr>
                        <w:rFonts w:ascii="Cambria Math" w:hAnsi="Cambria Math"/>
                        <w:sz w:val="24"/>
                      </w:rPr>
                      <m:t>send</m:t>
                    </m:r>
                    <m:ctrlPr>
                      <w:rPr>
                        <w:rFonts w:ascii="Cambria Math" w:hAnsi="Cambria Math"/>
                        <w:sz w:val="24"/>
                      </w:rPr>
                    </m:ctrlPr>
                  </m:sub>
                  <m:sup>
                    <m:r>
                      <m:rPr/>
                      <w:rPr>
                        <w:rFonts w:ascii="Cambria Math" w:hAnsi="Cambria Math"/>
                        <w:sz w:val="24"/>
                      </w:rPr>
                      <m:t>r</m:t>
                    </m:r>
                    <m:ctrlPr>
                      <w:rPr>
                        <w:rFonts w:ascii="Cambria Math" w:hAnsi="Cambria Math"/>
                        <w:sz w:val="24"/>
                      </w:rPr>
                    </m:ctrlPr>
                  </m:sup>
                </m:sSubSup>
                <m:r>
                  <m:rPr>
                    <m:sty m:val="p"/>
                  </m:rPr>
                  <w:rPr>
                    <w:rFonts w:ascii="Cambria Math" w:hAnsi="Cambria Math"/>
                    <w:sz w:val="24"/>
                  </w:rPr>
                  <m:t>+</m:t>
                </m:r>
                <m:sSubSup>
                  <m:sSubSupPr>
                    <m:ctrlPr>
                      <w:rPr>
                        <w:rFonts w:ascii="Cambria Math" w:hAnsi="Cambria Math"/>
                        <w:sz w:val="24"/>
                      </w:rPr>
                    </m:ctrlPr>
                  </m:sSubSupPr>
                  <m:e>
                    <m:r>
                      <m:rPr/>
                      <w:rPr>
                        <w:rFonts w:ascii="Cambria Math" w:hAnsi="Cambria Math"/>
                        <w:sz w:val="24"/>
                      </w:rPr>
                      <m:t>V</m:t>
                    </m:r>
                    <m:ctrlPr>
                      <w:rPr>
                        <w:rFonts w:ascii="Cambria Math" w:hAnsi="Cambria Math"/>
                        <w:sz w:val="24"/>
                      </w:rPr>
                    </m:ctrlPr>
                  </m:e>
                  <m:sub>
                    <m:r>
                      <m:rPr>
                        <m:sty m:val="p"/>
                      </m:rPr>
                      <w:rPr>
                        <w:rFonts w:ascii="Cambria Math" w:hAnsi="Cambria Math"/>
                        <w:sz w:val="24"/>
                      </w:rPr>
                      <m:t>recv</m:t>
                    </m:r>
                    <m:ctrlPr>
                      <w:rPr>
                        <w:rFonts w:ascii="Cambria Math" w:hAnsi="Cambria Math"/>
                        <w:sz w:val="24"/>
                      </w:rPr>
                    </m:ctrlPr>
                  </m:sub>
                  <m:sup>
                    <m:r>
                      <m:rPr/>
                      <w:rPr>
                        <w:rFonts w:ascii="Cambria Math" w:hAnsi="Cambria Math"/>
                        <w:sz w:val="24"/>
                      </w:rPr>
                      <m:t>r</m:t>
                    </m:r>
                    <m:ctrlPr>
                      <w:rPr>
                        <w:rFonts w:ascii="Cambria Math" w:hAnsi="Cambria Math"/>
                        <w:sz w:val="24"/>
                      </w:rPr>
                    </m:ctrlPr>
                  </m:sup>
                </m:sSubSup>
                <m:ctrlPr>
                  <w:rPr>
                    <w:rFonts w:ascii="Cambria Math" w:hAnsi="Cambria Math"/>
                    <w:sz w:val="24"/>
                  </w:rPr>
                </m:ctrlPr>
              </m:e>
            </m:d>
            <m:ctrlPr>
              <w:rPr>
                <w:rFonts w:ascii="Cambria Math" w:hAnsi="Cambria Math"/>
                <w:sz w:val="24"/>
              </w:rPr>
            </m:ctrlPr>
          </m:e>
        </m:nary>
        <m:r>
          <m:rPr>
            <m:sty m:val="p"/>
          </m:rPr>
          <w:rPr>
            <w:rFonts w:ascii="Cambria Math" w:hAnsi="Cambria Math"/>
            <w:sz w:val="24"/>
          </w:rPr>
          <m:t xml:space="preserve">, </m:t>
        </m:r>
        <m:sSub>
          <m:sSubPr>
            <m:ctrlPr>
              <w:rPr>
                <w:rFonts w:ascii="Cambria Math" w:hAnsi="Cambria Math"/>
                <w:sz w:val="24"/>
              </w:rPr>
            </m:ctrlPr>
          </m:sSubPr>
          <m:e>
            <m:r>
              <m:rPr/>
              <w:rPr>
                <w:rFonts w:ascii="Cambria Math" w:hAnsi="Cambria Math"/>
                <w:sz w:val="24"/>
              </w:rPr>
              <m:t>ρ</m:t>
            </m:r>
            <m:ctrlPr>
              <w:rPr>
                <w:rFonts w:ascii="Cambria Math" w:hAnsi="Cambria Math"/>
                <w:sz w:val="24"/>
              </w:rPr>
            </m:ctrlPr>
          </m:e>
          <m:sub>
            <m:r>
              <m:rPr/>
              <w:rPr>
                <w:rFonts w:ascii="Cambria Math" w:hAnsi="Cambria Math"/>
                <w:sz w:val="24"/>
              </w:rPr>
              <m:t>V</m:t>
            </m:r>
            <m:ctrlPr>
              <w:rPr>
                <w:rFonts w:ascii="Cambria Math" w:hAnsi="Cambria Math"/>
                <w:sz w:val="24"/>
              </w:rPr>
            </m:ctrlPr>
          </m:sub>
        </m:sSub>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m:sty m:val="p"/>
                  </m:rPr>
                  <w:rPr>
                    <w:rFonts w:ascii="Cambria Math" w:hAnsi="Cambria Math"/>
                    <w:sz w:val="24"/>
                  </w:rPr>
                  <m:t>密捷</m:t>
                </m:r>
                <m:ctrlPr>
                  <w:rPr>
                    <w:rFonts w:ascii="Cambria Math" w:hAnsi="Cambria Math"/>
                    <w:sz w:val="24"/>
                  </w:rPr>
                </m:ctrlPr>
              </m:sub>
            </m:sSub>
            <m:ctrlPr>
              <w:rPr>
                <w:rFonts w:ascii="Cambria Math" w:hAnsi="Cambria Math"/>
                <w:sz w:val="24"/>
              </w:rPr>
            </m:ctrlPr>
          </m:num>
          <m:den>
            <m:sSub>
              <m:sSubPr>
                <m:ctrlPr>
                  <w:rPr>
                    <w:rFonts w:ascii="Cambria Math" w:hAnsi="Cambria Math"/>
                    <w:sz w:val="24"/>
                  </w:rPr>
                </m:ctrlPr>
              </m:sSubPr>
              <m:e>
                <m:r>
                  <m:rPr/>
                  <w:rPr>
                    <w:rFonts w:ascii="Cambria Math" w:hAnsi="Cambria Math"/>
                    <w:sz w:val="24"/>
                  </w:rPr>
                  <m:t>V</m:t>
                </m:r>
                <m:ctrlPr>
                  <w:rPr>
                    <w:rFonts w:ascii="Cambria Math" w:hAnsi="Cambria Math"/>
                    <w:sz w:val="24"/>
                  </w:rPr>
                </m:ctrlPr>
              </m:e>
              <m:sub>
                <m:r>
                  <m:rPr>
                    <m:sty m:val="p"/>
                  </m:rPr>
                  <w:rPr>
                    <w:rFonts w:ascii="Cambria Math" w:hAnsi="Cambria Math"/>
                    <w:sz w:val="24"/>
                  </w:rPr>
                  <m:t>ref</m:t>
                </m:r>
                <m:ctrlPr>
                  <w:rPr>
                    <w:rFonts w:ascii="Cambria Math" w:hAnsi="Cambria Math"/>
                    <w:sz w:val="24"/>
                  </w:rPr>
                </m:ctrlPr>
              </m:sub>
            </m:sSub>
            <m:ctrlPr>
              <w:rPr>
                <w:rFonts w:ascii="Cambria Math" w:hAnsi="Cambria Math"/>
                <w:sz w:val="24"/>
              </w:rPr>
            </m:ctrlPr>
          </m:den>
        </m:f>
        <m:r>
          <m:rPr>
            <m:sty m:val="p"/>
          </m:rPr>
          <w:rPr>
            <w:rFonts w:ascii="Cambria Math" w:hAnsi="Cambria Math"/>
            <w:sz w:val="24"/>
          </w:rPr>
          <m:t xml:space="preserve">, </m:t>
        </m:r>
        <m:sSub>
          <m:sSubPr>
            <m:ctrlPr>
              <w:rPr>
                <w:rFonts w:ascii="Cambria Math" w:hAnsi="Cambria Math"/>
                <w:sz w:val="24"/>
              </w:rPr>
            </m:ctrlPr>
          </m:sSubPr>
          <m:e>
            <m:r>
              <m:rPr/>
              <w:rPr>
                <w:rFonts w:ascii="Cambria Math" w:hAnsi="Cambria Math"/>
                <w:sz w:val="24"/>
              </w:rPr>
              <m:t>ρ</m:t>
            </m:r>
            <m:ctrlPr>
              <w:rPr>
                <w:rFonts w:ascii="Cambria Math" w:hAnsi="Cambria Math"/>
                <w:sz w:val="24"/>
              </w:rPr>
            </m:ctrlPr>
          </m:e>
          <m:sub>
            <m:r>
              <m:rPr/>
              <w:rPr>
                <w:rFonts w:ascii="Cambria Math" w:hAnsi="Cambria Math"/>
                <w:sz w:val="24"/>
              </w:rPr>
              <m:t>T</m:t>
            </m:r>
            <m:ctrlPr>
              <w:rPr>
                <w:rFonts w:ascii="Cambria Math" w:hAnsi="Cambria Math"/>
                <w:sz w:val="24"/>
              </w:rPr>
            </m:ctrlPr>
          </m:sub>
        </m:sSub>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m:rPr/>
                  <w:rPr>
                    <w:rFonts w:ascii="Cambria Math" w:hAnsi="Cambria Math"/>
                    <w:sz w:val="24"/>
                  </w:rPr>
                  <m:t>T</m:t>
                </m:r>
                <m:ctrlPr>
                  <w:rPr>
                    <w:rFonts w:ascii="Cambria Math" w:hAnsi="Cambria Math"/>
                    <w:sz w:val="24"/>
                  </w:rPr>
                </m:ctrlPr>
              </m:e>
              <m:sub>
                <m:r>
                  <m:rPr>
                    <m:sty m:val="p"/>
                  </m:rPr>
                  <w:rPr>
                    <w:rFonts w:ascii="Cambria Math" w:hAnsi="Cambria Math"/>
                    <w:sz w:val="24"/>
                  </w:rPr>
                  <m:t>密捷</m:t>
                </m:r>
                <m:ctrlPr>
                  <w:rPr>
                    <w:rFonts w:ascii="Cambria Math" w:hAnsi="Cambria Math"/>
                    <w:sz w:val="24"/>
                  </w:rPr>
                </m:ctrlPr>
              </m:sub>
            </m:sSub>
            <m:ctrlPr>
              <w:rPr>
                <w:rFonts w:ascii="Cambria Math" w:hAnsi="Cambria Math"/>
                <w:sz w:val="24"/>
              </w:rPr>
            </m:ctrlPr>
          </m:num>
          <m:den>
            <m:sSub>
              <m:sSubPr>
                <m:ctrlPr>
                  <w:rPr>
                    <w:rFonts w:ascii="Cambria Math" w:hAnsi="Cambria Math"/>
                    <w:sz w:val="24"/>
                  </w:rPr>
                </m:ctrlPr>
              </m:sSubPr>
              <m:e>
                <m:r>
                  <m:rPr/>
                  <w:rPr>
                    <w:rFonts w:ascii="Cambria Math" w:hAnsi="Cambria Math"/>
                    <w:sz w:val="24"/>
                  </w:rPr>
                  <m:t>T</m:t>
                </m:r>
                <m:ctrlPr>
                  <w:rPr>
                    <w:rFonts w:ascii="Cambria Math" w:hAnsi="Cambria Math"/>
                    <w:sz w:val="24"/>
                  </w:rPr>
                </m:ctrlPr>
              </m:e>
              <m:sub>
                <m:r>
                  <m:rPr>
                    <m:sty m:val="p"/>
                  </m:rPr>
                  <w:rPr>
                    <w:rFonts w:ascii="Cambria Math" w:hAnsi="Cambria Math"/>
                    <w:sz w:val="24"/>
                  </w:rPr>
                  <m:t>ref</m:t>
                </m:r>
                <m:ctrlPr>
                  <w:rPr>
                    <w:rFonts w:ascii="Cambria Math" w:hAnsi="Cambria Math"/>
                    <w:sz w:val="24"/>
                  </w:rPr>
                </m:ctrlPr>
              </m:sub>
            </m:sSub>
            <m:ctrlPr>
              <w:rPr>
                <w:rFonts w:ascii="Cambria Math" w:hAnsi="Cambria Math"/>
                <w:sz w:val="24"/>
              </w:rPr>
            </m:ctrlPr>
          </m:den>
        </m:f>
      </m:oMath>
      <w:r>
        <w:rPr>
          <w:rFonts w:eastAsia="Times New Roman"/>
          <w:sz w:val="24"/>
        </w:rPr>
        <w:tab/>
      </w:r>
      <w:r>
        <w:rPr>
          <w:rFonts w:eastAsia="Times New Roman"/>
          <w:sz w:val="24"/>
        </w:rPr>
        <w:t>(4-2)</w:t>
      </w:r>
    </w:p>
    <w:p w14:paraId="79E0BD31">
      <w:pPr>
        <w:spacing w:line="360" w:lineRule="auto"/>
        <w:ind w:firstLine="480"/>
      </w:pPr>
      <w:r>
        <w:rPr>
          <w:rFonts w:ascii="宋体" w:hAnsi="宋体"/>
          <w:sz w:val="24"/>
        </w:rPr>
        <w:t>其中，</w:t>
      </w:r>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total</m:t>
            </m:r>
            <m:ctrlPr>
              <w:rPr>
                <w:rFonts w:ascii="Cambria Math" w:hAnsi="Cambria Math"/>
              </w:rPr>
            </m:ctrlPr>
          </m:sub>
        </m:sSub>
      </m:oMath>
      <w:r>
        <w:rPr>
          <w:rFonts w:ascii="宋体" w:hAnsi="宋体"/>
          <w:sz w:val="24"/>
        </w:rPr>
        <w:t>由前端预处理、服务端控制面快检、SPU 密态执行与结果回传/审计收尾四部分组成；</w:t>
      </w:r>
      <m:oMath>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total</m:t>
            </m:r>
            <m:ctrlPr>
              <w:rPr>
                <w:rFonts w:ascii="Cambria Math" w:hAnsi="Cambria Math"/>
              </w:rPr>
            </m:ctrlPr>
          </m:sub>
        </m:sSub>
      </m:oMath>
      <w:r>
        <w:rPr>
          <w:rFonts w:ascii="宋体" w:hAnsi="宋体"/>
          <w:sz w:val="24"/>
        </w:rPr>
        <w:t>表示一次完整推理的双向总通信量，</w:t>
      </w:r>
      <m:oMath>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V</m:t>
            </m:r>
            <m:ctrlPr>
              <w:rPr>
                <w:rFonts w:ascii="Cambria Math" w:hAnsi="Cambria Math"/>
              </w:rPr>
            </m:ctrlPr>
          </m:sub>
        </m:sSub>
      </m:oMath>
      <w:r>
        <w:rPr>
          <w:rFonts w:ascii="宋体" w:hAnsi="宋体"/>
          <w:sz w:val="24"/>
        </w:rPr>
        <w:t>与</w:t>
      </w:r>
      <m:oMath>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T</m:t>
            </m:r>
            <m:ctrlPr>
              <w:rPr>
                <w:rFonts w:ascii="Cambria Math" w:hAnsi="Cambria Math"/>
              </w:rPr>
            </m:ctrlPr>
          </m:sub>
        </m:sSub>
      </m:oMath>
      <w:r>
        <w:rPr>
          <w:rFonts w:ascii="宋体" w:hAnsi="宋体"/>
          <w:sz w:val="24"/>
        </w:rPr>
        <w:t>分别表示相对通信量与相对时延比。</w:t>
      </w:r>
    </w:p>
    <w:p w14:paraId="3DC706EC">
      <w:pPr>
        <w:spacing w:line="360" w:lineRule="auto"/>
        <w:ind w:firstLine="480"/>
      </w:pPr>
      <w:r>
        <w:rPr>
          <w:rFonts w:ascii="宋体" w:hAnsi="宋体"/>
          <w:sz w:val="24"/>
        </w:rPr>
        <w:t>性能证据分为两层：其一是上述端到端双向隐私运行结果，用于说明正式医疗主线与金融压力样本在当前原型中的总时延和总通信量；其二是统一 secure benchmark 下的代理基准对比，用于说明算子替换本身的开销趋势。在固定同一 DeiT-S 形状的代理基准对比中，密捷的安全友好算子将通信压缩到外部基准算子的</w:t>
      </w:r>
      <m:oMath>
        <m:r>
          <m:rPr/>
          <w:rPr>
            <w:rFonts w:ascii="Cambria Math" w:hAnsi="Cambria Math"/>
          </w:rPr>
          <m:t>0.149×</m:t>
        </m:r>
      </m:oMath>
      <w:r>
        <w:rPr>
          <w:rFonts w:ascii="宋体" w:hAnsi="宋体"/>
          <w:sz w:val="24"/>
        </w:rPr>
        <w:t>，时间压缩到</w:t>
      </w:r>
      <m:oMath>
        <m:r>
          <m:rPr/>
          <w:rPr>
            <w:rFonts w:ascii="Cambria Math" w:hAnsi="Cambria Math"/>
          </w:rPr>
          <m:t>0.528×</m:t>
        </m:r>
      </m:oMath>
      <w:r>
        <w:rPr>
          <w:rFonts w:ascii="宋体" w:hAnsi="宋体"/>
          <w:sz w:val="24"/>
        </w:rPr>
        <w:t>，说明算子替换本身具有正向收益。另一方面，跨模型结构的异构结构代理基准只能用于说明结构尺度差异会显著放大绝对代价，不能与医疗全量验证主链路混写。</w:t>
      </w:r>
    </w:p>
    <w:p w14:paraId="17616AF9">
      <w:pPr>
        <w:spacing w:line="360" w:lineRule="auto"/>
        <w:ind w:firstLine="480"/>
      </w:pPr>
      <w:r>
        <w:rPr>
          <w:rFonts w:ascii="宋体" w:hAnsi="宋体"/>
          <w:sz w:val="24"/>
        </w:rPr>
        <w:t>当前时延与通信量偏高，主要由三类因素共同造成。第一，正式主线保留了动态词元剪枝的密态比较、排序与掩码化决策链，相比固定结构安全推理会引入额外的协议轮次。第二，当前运行口径是同机本地双节点（colocated localhost）2PC 原型链路，虽然两方节点位于同一服务器内，但张量交换、线性层通信与 softmax 归一化指数函数相关算子仍构成主要代价来源，不能将 localhost 原型误解为“几乎无通信成本”。第三，当前 Web 演示后端以正确性与边界防护为首要目标，未针对生产级吞吐做异步化、流水化或任务队列改造。因此，本报告只保留已直接落盘的端到端结果与算子级代理证据，不额外给出未经观测的阶段占比、P50/P95 延迟或生产级并发吞吐承诺。</w:t>
      </w:r>
    </w:p>
    <w:p w14:paraId="0F5180C4">
      <w:pPr>
        <w:spacing w:line="360" w:lineRule="auto"/>
        <w:outlineLvl w:val="1"/>
        <w:rPr>
          <w:rFonts w:hint="eastAsia" w:ascii="黑体" w:hAnsi="黑体" w:eastAsia="黑体"/>
          <w:b/>
          <w:sz w:val="24"/>
        </w:rPr>
      </w:pPr>
      <w:bookmarkStart w:id="46" w:name="Transshield_TOC_section_4_5"/>
      <w:bookmarkStart w:id="47" w:name="_Toc230691163"/>
      <w:r>
        <w:rPr>
          <w:rFonts w:ascii="黑体" w:hAnsi="黑体" w:eastAsia="黑体"/>
          <w:b/>
          <w:sz w:val="24"/>
        </w:rPr>
        <w:t>4.5 金融边界压力验证结果</w:t>
      </w:r>
      <w:bookmarkEnd w:id="46"/>
      <w:bookmarkEnd w:id="47"/>
    </w:p>
    <w:p w14:paraId="44C59C6B">
      <w:pPr>
        <w:spacing w:line="360" w:lineRule="auto"/>
        <w:ind w:firstLine="480"/>
        <w:rPr>
          <w:rFonts w:hint="eastAsia" w:ascii="宋体" w:hAnsi="宋体"/>
          <w:sz w:val="24"/>
        </w:rPr>
      </w:pPr>
      <w:r>
        <w:rPr>
          <w:rFonts w:ascii="宋体" w:hAnsi="宋体" w:cs="宋体"/>
          <w:sz w:val="24"/>
        </w:rPr>
        <w:t xml:space="preserve">金融边界压力验证场景下的核心指标结果如表 </w:t>
      </w:r>
      <w:r>
        <w:rPr>
          <w:rFonts w:hint="eastAsia" w:ascii="宋体" w:hAnsi="宋体" w:cs="宋体"/>
          <w:sz w:val="24"/>
        </w:rPr>
        <w:t>1</w:t>
      </w:r>
      <w:r>
        <w:rPr>
          <w:rFonts w:hint="eastAsia" w:ascii="宋体" w:hAnsi="宋体" w:cs="宋体"/>
          <w:sz w:val="24"/>
          <w:lang w:val="en-US" w:eastAsia="zh-CN"/>
        </w:rPr>
        <w:t>0</w:t>
      </w:r>
      <w:r>
        <w:rPr>
          <w:rFonts w:ascii="宋体" w:hAnsi="宋体" w:cs="宋体"/>
          <w:sz w:val="24"/>
        </w:rPr>
        <w:t xml:space="preserve"> 所示。</w:t>
      </w:r>
      <w:r>
        <w:rPr>
          <w:rFonts w:ascii="宋体" w:hAnsi="宋体"/>
          <w:sz w:val="24"/>
        </w:rPr>
        <w:t>需要说明的是，金融域原始输入并非自然图像，而是信用卡欺诈检测任务中的 30 维 PCA 特征。为了复用 DeiT-S 的块嵌入（Patch Embedding）结构，本作品先将一维金融特征通过拟图像空间连续性编码映射为 224×224 灰度图，使输入保留可供视觉 Transformer 利用的局部平滑先验。仓内冻结 bundle 记录表明，早期的 patch-based 与 DCT 编码未形成稳定可用结果，当前边界压力验证对应的是 v3 image-like smooth/contrast encoding。</w:t>
      </w:r>
    </w:p>
    <w:p w14:paraId="6C0E9E11">
      <w:pPr>
        <w:spacing w:line="360" w:lineRule="auto"/>
        <w:ind w:firstLine="480"/>
        <w:jc w:val="center"/>
        <w:rPr>
          <w:rFonts w:hint="eastAsia" w:ascii="宋体" w:hAnsi="宋体"/>
          <w:sz w:val="24"/>
        </w:rPr>
      </w:pPr>
      <w:r>
        <w:rPr>
          <w:rFonts w:ascii="宋体" w:hAnsi="宋体" w:cs="宋体"/>
          <w:sz w:val="24"/>
        </w:rPr>
        <w:t xml:space="preserve">表 </w:t>
      </w:r>
      <w:r>
        <w:rPr>
          <w:rFonts w:hint="eastAsia" w:ascii="宋体" w:hAnsi="宋体" w:cs="宋体"/>
          <w:sz w:val="24"/>
        </w:rPr>
        <w:t>1</w:t>
      </w:r>
      <w:r>
        <w:rPr>
          <w:rFonts w:hint="eastAsia" w:ascii="宋体" w:hAnsi="宋体" w:cs="宋体"/>
          <w:sz w:val="24"/>
          <w:lang w:val="en-US" w:eastAsia="zh-CN"/>
        </w:rPr>
        <w:t>0</w:t>
      </w:r>
      <w:r>
        <w:rPr>
          <w:rFonts w:ascii="宋体" w:hAnsi="宋体" w:cs="宋体"/>
          <w:sz w:val="24"/>
        </w:rPr>
        <w:t xml:space="preserve"> 金融边界压力验证核心指标</w:t>
      </w:r>
    </w:p>
    <w:tbl>
      <w:tblPr>
        <w:tblStyle w:val="7"/>
        <w:tblW w:w="8820" w:type="dxa"/>
        <w:jc w:val="center"/>
        <w:tblLayout w:type="autofit"/>
        <w:tblCellMar>
          <w:top w:w="0" w:type="dxa"/>
          <w:left w:w="108" w:type="dxa"/>
          <w:bottom w:w="0" w:type="dxa"/>
          <w:right w:w="108" w:type="dxa"/>
        </w:tblCellMar>
      </w:tblPr>
      <w:tblGrid>
        <w:gridCol w:w="3271"/>
        <w:gridCol w:w="2525"/>
        <w:gridCol w:w="3024"/>
      </w:tblGrid>
      <w:tr w14:paraId="3274EBD2">
        <w:tblPrEx>
          <w:tblCellMar>
            <w:top w:w="0" w:type="dxa"/>
            <w:left w:w="108" w:type="dxa"/>
            <w:bottom w:w="0" w:type="dxa"/>
            <w:right w:w="108" w:type="dxa"/>
          </w:tblCellMar>
        </w:tblPrEx>
        <w:trPr>
          <w:tblHeader/>
          <w:jc w:val="center"/>
        </w:trPr>
        <w:tc>
          <w:tcPr>
            <w:tcW w:w="3271" w:type="dxa"/>
            <w:tcBorders>
              <w:top w:val="single" w:color="auto" w:sz="12" w:space="0"/>
              <w:left w:val="nil"/>
              <w:bottom w:val="nil"/>
              <w:right w:val="nil"/>
            </w:tcBorders>
            <w:tcMar>
              <w:top w:w="-1" w:type="dxa"/>
              <w:left w:w="-1" w:type="dxa"/>
              <w:bottom w:w="-1" w:type="dxa"/>
              <w:right w:w="-1" w:type="dxa"/>
            </w:tcMar>
            <w:vAlign w:val="center"/>
          </w:tcPr>
          <w:p w14:paraId="07D2F348">
            <w:pPr>
              <w:snapToGrid w:val="0"/>
              <w:jc w:val="center"/>
              <w:rPr>
                <w:rFonts w:ascii="宋体"/>
                <w:b/>
                <w:sz w:val="24"/>
              </w:rPr>
            </w:pPr>
            <w:r>
              <w:rPr>
                <w:rFonts w:ascii="宋体" w:hAnsi="宋体"/>
                <w:b/>
                <w:sz w:val="24"/>
              </w:rPr>
              <w:t>指标</w:t>
            </w:r>
          </w:p>
        </w:tc>
        <w:tc>
          <w:tcPr>
            <w:tcW w:w="2525" w:type="dxa"/>
            <w:tcBorders>
              <w:top w:val="single" w:color="auto" w:sz="12" w:space="0"/>
              <w:left w:val="nil"/>
              <w:bottom w:val="nil"/>
              <w:right w:val="nil"/>
            </w:tcBorders>
            <w:tcMar>
              <w:top w:w="-1" w:type="dxa"/>
              <w:left w:w="-1" w:type="dxa"/>
              <w:bottom w:w="-1" w:type="dxa"/>
              <w:right w:w="-1" w:type="dxa"/>
            </w:tcMar>
            <w:vAlign w:val="center"/>
          </w:tcPr>
          <w:p w14:paraId="42CBC36F">
            <w:pPr>
              <w:snapToGrid w:val="0"/>
              <w:jc w:val="center"/>
              <w:rPr>
                <w:rFonts w:ascii="宋体"/>
                <w:b/>
                <w:sz w:val="24"/>
              </w:rPr>
            </w:pPr>
            <w:r>
              <w:rPr>
                <w:rFonts w:ascii="宋体" w:hAnsi="宋体"/>
                <w:b/>
                <w:sz w:val="24"/>
              </w:rPr>
              <w:t>结果</w:t>
            </w:r>
          </w:p>
        </w:tc>
        <w:tc>
          <w:tcPr>
            <w:tcW w:w="3024" w:type="dxa"/>
            <w:tcBorders>
              <w:top w:val="single" w:color="auto" w:sz="12" w:space="0"/>
              <w:left w:val="nil"/>
              <w:bottom w:val="nil"/>
              <w:right w:val="nil"/>
            </w:tcBorders>
            <w:tcMar>
              <w:top w:w="-1" w:type="dxa"/>
              <w:left w:w="-1" w:type="dxa"/>
              <w:bottom w:w="-1" w:type="dxa"/>
              <w:right w:w="-1" w:type="dxa"/>
            </w:tcMar>
            <w:vAlign w:val="center"/>
          </w:tcPr>
          <w:p w14:paraId="1E154E98">
            <w:pPr>
              <w:snapToGrid w:val="0"/>
              <w:jc w:val="center"/>
              <w:rPr>
                <w:rFonts w:ascii="宋体"/>
                <w:b/>
                <w:sz w:val="24"/>
              </w:rPr>
            </w:pPr>
            <w:r>
              <w:rPr>
                <w:rFonts w:ascii="宋体" w:hAnsi="宋体"/>
                <w:b/>
                <w:sz w:val="24"/>
              </w:rPr>
              <w:t>说明</w:t>
            </w:r>
          </w:p>
        </w:tc>
      </w:tr>
      <w:tr w14:paraId="505AD998">
        <w:tblPrEx>
          <w:tblCellMar>
            <w:top w:w="0" w:type="dxa"/>
            <w:left w:w="108" w:type="dxa"/>
            <w:bottom w:w="0" w:type="dxa"/>
            <w:right w:w="108" w:type="dxa"/>
          </w:tblCellMar>
        </w:tblPrEx>
        <w:trPr>
          <w:jc w:val="center"/>
        </w:trPr>
        <w:tc>
          <w:tcPr>
            <w:tcW w:w="3271" w:type="dxa"/>
            <w:tcBorders>
              <w:top w:val="single" w:color="auto" w:sz="4" w:space="0"/>
              <w:left w:val="nil"/>
              <w:bottom w:val="nil"/>
              <w:right w:val="nil"/>
            </w:tcBorders>
            <w:tcMar>
              <w:top w:w="-1" w:type="dxa"/>
              <w:left w:w="-1" w:type="dxa"/>
              <w:bottom w:w="-1" w:type="dxa"/>
              <w:right w:w="-1" w:type="dxa"/>
            </w:tcMar>
            <w:vAlign w:val="center"/>
          </w:tcPr>
          <w:p w14:paraId="4A879F85">
            <w:pPr>
              <w:snapToGrid w:val="0"/>
              <w:jc w:val="center"/>
              <w:rPr>
                <w:rFonts w:ascii="宋体"/>
                <w:sz w:val="24"/>
              </w:rPr>
            </w:pPr>
            <w:r>
              <w:rPr>
                <w:rFonts w:ascii="宋体" w:hAnsi="宋体"/>
                <w:sz w:val="24"/>
              </w:rPr>
              <w:t>8 条压力样本逐样本一致性</w:t>
            </w:r>
          </w:p>
        </w:tc>
        <w:tc>
          <w:tcPr>
            <w:tcW w:w="2525" w:type="dxa"/>
            <w:tcBorders>
              <w:top w:val="single" w:color="auto" w:sz="4" w:space="0"/>
              <w:left w:val="nil"/>
              <w:bottom w:val="nil"/>
              <w:right w:val="nil"/>
            </w:tcBorders>
            <w:tcMar>
              <w:top w:w="-1" w:type="dxa"/>
              <w:left w:w="-1" w:type="dxa"/>
              <w:bottom w:w="-1" w:type="dxa"/>
              <w:right w:w="-1" w:type="dxa"/>
            </w:tcMar>
            <w:vAlign w:val="center"/>
          </w:tcPr>
          <w:p w14:paraId="4FFF8F0D">
            <w:pPr>
              <w:snapToGrid w:val="0"/>
              <w:jc w:val="center"/>
              <w:rPr>
                <w:rFonts w:ascii="宋体"/>
                <w:sz w:val="24"/>
              </w:rPr>
            </w:pPr>
            <w:r>
              <w:rPr>
                <w:rFonts w:ascii="宋体" w:hAnsi="宋体"/>
                <w:sz w:val="24"/>
              </w:rPr>
              <w:t>8 / 8 样本差异为 0</w:t>
            </w:r>
          </w:p>
        </w:tc>
        <w:tc>
          <w:tcPr>
            <w:tcW w:w="3024" w:type="dxa"/>
            <w:tcBorders>
              <w:top w:val="single" w:color="auto" w:sz="4" w:space="0"/>
              <w:left w:val="nil"/>
              <w:bottom w:val="nil"/>
              <w:right w:val="nil"/>
            </w:tcBorders>
            <w:tcMar>
              <w:top w:w="-1" w:type="dxa"/>
              <w:left w:w="-1" w:type="dxa"/>
              <w:bottom w:w="-1" w:type="dxa"/>
              <w:right w:w="-1" w:type="dxa"/>
            </w:tcMar>
            <w:vAlign w:val="center"/>
          </w:tcPr>
          <w:p w14:paraId="1A1FC87B">
            <w:pPr>
              <w:snapToGrid w:val="0"/>
              <w:jc w:val="center"/>
              <w:rPr>
                <w:rFonts w:ascii="宋体"/>
                <w:sz w:val="24"/>
              </w:rPr>
            </w:pPr>
            <w:r>
              <w:rPr>
                <w:rFonts w:ascii="宋体" w:hAnsi="宋体"/>
                <w:sz w:val="24"/>
              </w:rPr>
              <w:t>与明文参考逐样本对齐</w:t>
            </w:r>
          </w:p>
        </w:tc>
      </w:tr>
      <w:tr w14:paraId="48D7272F">
        <w:tblPrEx>
          <w:tblCellMar>
            <w:top w:w="0" w:type="dxa"/>
            <w:left w:w="108" w:type="dxa"/>
            <w:bottom w:w="0" w:type="dxa"/>
            <w:right w:w="108" w:type="dxa"/>
          </w:tblCellMar>
        </w:tblPrEx>
        <w:trPr>
          <w:jc w:val="center"/>
        </w:trPr>
        <w:tc>
          <w:tcPr>
            <w:tcW w:w="3271" w:type="dxa"/>
            <w:tcBorders>
              <w:top w:val="nil"/>
              <w:left w:val="nil"/>
              <w:bottom w:val="nil"/>
              <w:right w:val="nil"/>
            </w:tcBorders>
            <w:tcMar>
              <w:top w:w="-1" w:type="dxa"/>
              <w:left w:w="-1" w:type="dxa"/>
              <w:bottom w:w="-1" w:type="dxa"/>
              <w:right w:w="-1" w:type="dxa"/>
            </w:tcMar>
            <w:vAlign w:val="center"/>
          </w:tcPr>
          <w:p w14:paraId="485A7DED">
            <w:pPr>
              <w:snapToGrid w:val="0"/>
              <w:jc w:val="center"/>
              <w:rPr>
                <w:rFonts w:ascii="宋体"/>
                <w:sz w:val="24"/>
              </w:rPr>
            </w:pPr>
            <w:r>
              <w:rPr>
                <w:rFonts w:ascii="宋体" w:hAnsi="宋体"/>
                <w:sz w:val="24"/>
              </w:rPr>
              <w:t>部署效率</w:t>
            </w:r>
          </w:p>
        </w:tc>
        <w:tc>
          <w:tcPr>
            <w:tcW w:w="2525" w:type="dxa"/>
            <w:tcBorders>
              <w:top w:val="nil"/>
              <w:left w:val="nil"/>
              <w:bottom w:val="nil"/>
              <w:right w:val="nil"/>
            </w:tcBorders>
            <w:tcMar>
              <w:top w:w="-1" w:type="dxa"/>
              <w:left w:w="-1" w:type="dxa"/>
              <w:bottom w:w="-1" w:type="dxa"/>
              <w:right w:w="-1" w:type="dxa"/>
            </w:tcMar>
            <w:vAlign w:val="center"/>
          </w:tcPr>
          <w:p w14:paraId="529DC18B">
            <w:pPr>
              <w:snapToGrid w:val="0"/>
              <w:jc w:val="center"/>
              <w:rPr>
                <w:rFonts w:ascii="宋体"/>
                <w:sz w:val="24"/>
              </w:rPr>
            </w:pPr>
            <w:r>
              <w:rPr>
                <w:rFonts w:ascii="宋体" w:hAnsi="宋体"/>
                <w:sz w:val="24"/>
              </w:rPr>
              <w:t>106.16 秒/样本</w:t>
            </w:r>
          </w:p>
        </w:tc>
        <w:tc>
          <w:tcPr>
            <w:tcW w:w="3024" w:type="dxa"/>
            <w:tcBorders>
              <w:top w:val="nil"/>
              <w:left w:val="nil"/>
              <w:bottom w:val="nil"/>
              <w:right w:val="nil"/>
            </w:tcBorders>
            <w:tcMar>
              <w:top w:w="-1" w:type="dxa"/>
              <w:left w:w="-1" w:type="dxa"/>
              <w:bottom w:w="-1" w:type="dxa"/>
              <w:right w:w="-1" w:type="dxa"/>
            </w:tcMar>
            <w:vAlign w:val="center"/>
          </w:tcPr>
          <w:p w14:paraId="0916C02D">
            <w:pPr>
              <w:snapToGrid w:val="0"/>
              <w:jc w:val="center"/>
              <w:rPr>
                <w:rFonts w:ascii="宋体"/>
                <w:sz w:val="24"/>
              </w:rPr>
            </w:pPr>
            <w:r>
              <w:rPr>
                <w:rFonts w:ascii="宋体" w:hAnsi="宋体"/>
                <w:sz w:val="24"/>
              </w:rPr>
              <w:t>仅作为边界压力验证口径</w:t>
            </w:r>
          </w:p>
        </w:tc>
      </w:tr>
      <w:tr w14:paraId="6BB87610">
        <w:tblPrEx>
          <w:tblCellMar>
            <w:top w:w="0" w:type="dxa"/>
            <w:left w:w="108" w:type="dxa"/>
            <w:bottom w:w="0" w:type="dxa"/>
            <w:right w:w="108" w:type="dxa"/>
          </w:tblCellMar>
        </w:tblPrEx>
        <w:trPr>
          <w:jc w:val="center"/>
        </w:trPr>
        <w:tc>
          <w:tcPr>
            <w:tcW w:w="3271" w:type="dxa"/>
            <w:tcBorders>
              <w:top w:val="nil"/>
              <w:left w:val="nil"/>
              <w:bottom w:val="nil"/>
              <w:right w:val="nil"/>
            </w:tcBorders>
            <w:tcMar>
              <w:top w:w="-1" w:type="dxa"/>
              <w:left w:w="-1" w:type="dxa"/>
              <w:bottom w:w="-1" w:type="dxa"/>
              <w:right w:w="-1" w:type="dxa"/>
            </w:tcMar>
            <w:vAlign w:val="center"/>
          </w:tcPr>
          <w:p w14:paraId="01070FB1">
            <w:pPr>
              <w:snapToGrid w:val="0"/>
              <w:jc w:val="center"/>
              <w:rPr>
                <w:rFonts w:ascii="宋体"/>
                <w:sz w:val="24"/>
              </w:rPr>
            </w:pPr>
            <w:r>
              <w:rPr>
                <w:rFonts w:ascii="宋体" w:hAnsi="宋体"/>
                <w:sz w:val="24"/>
              </w:rPr>
              <w:t>双向总通信量</w:t>
            </w:r>
          </w:p>
        </w:tc>
        <w:tc>
          <w:tcPr>
            <w:tcW w:w="2525" w:type="dxa"/>
            <w:tcBorders>
              <w:top w:val="nil"/>
              <w:left w:val="nil"/>
              <w:bottom w:val="nil"/>
              <w:right w:val="nil"/>
            </w:tcBorders>
            <w:tcMar>
              <w:top w:w="-1" w:type="dxa"/>
              <w:left w:w="-1" w:type="dxa"/>
              <w:bottom w:w="-1" w:type="dxa"/>
              <w:right w:w="-1" w:type="dxa"/>
            </w:tcMar>
            <w:vAlign w:val="center"/>
          </w:tcPr>
          <w:p w14:paraId="06F1B612">
            <w:pPr>
              <w:snapToGrid w:val="0"/>
              <w:jc w:val="center"/>
              <w:rPr>
                <w:rFonts w:ascii="宋体"/>
                <w:sz w:val="24"/>
              </w:rPr>
            </w:pPr>
            <w:r>
              <w:rPr>
                <w:rFonts w:ascii="宋体" w:hAnsi="宋体"/>
                <w:sz w:val="24"/>
              </w:rPr>
              <w:t>25.30 GiB</w:t>
            </w:r>
          </w:p>
        </w:tc>
        <w:tc>
          <w:tcPr>
            <w:tcW w:w="3024" w:type="dxa"/>
            <w:tcBorders>
              <w:top w:val="nil"/>
              <w:left w:val="nil"/>
              <w:bottom w:val="nil"/>
              <w:right w:val="nil"/>
            </w:tcBorders>
            <w:tcMar>
              <w:top w:w="-1" w:type="dxa"/>
              <w:left w:w="-1" w:type="dxa"/>
              <w:bottom w:w="-1" w:type="dxa"/>
              <w:right w:w="-1" w:type="dxa"/>
            </w:tcMar>
            <w:vAlign w:val="center"/>
          </w:tcPr>
          <w:p w14:paraId="01E28FEF">
            <w:pPr>
              <w:snapToGrid w:val="0"/>
              <w:jc w:val="center"/>
              <w:rPr>
                <w:rFonts w:ascii="宋体"/>
                <w:sz w:val="24"/>
              </w:rPr>
            </w:pPr>
            <w:r>
              <w:rPr>
                <w:rFonts w:ascii="宋体" w:hAnsi="宋体"/>
                <w:sz w:val="24"/>
              </w:rPr>
              <w:t>同配置重测口径</w:t>
            </w:r>
          </w:p>
        </w:tc>
      </w:tr>
      <w:tr w14:paraId="088A693F">
        <w:tblPrEx>
          <w:tblCellMar>
            <w:top w:w="0" w:type="dxa"/>
            <w:left w:w="108" w:type="dxa"/>
            <w:bottom w:w="0" w:type="dxa"/>
            <w:right w:w="108" w:type="dxa"/>
          </w:tblCellMar>
        </w:tblPrEx>
        <w:trPr>
          <w:jc w:val="center"/>
        </w:trPr>
        <w:tc>
          <w:tcPr>
            <w:tcW w:w="3271" w:type="dxa"/>
            <w:tcBorders>
              <w:top w:val="nil"/>
              <w:left w:val="nil"/>
              <w:bottom w:val="single" w:color="auto" w:sz="12" w:space="0"/>
              <w:right w:val="nil"/>
            </w:tcBorders>
            <w:tcMar>
              <w:top w:w="-1" w:type="dxa"/>
              <w:left w:w="-1" w:type="dxa"/>
              <w:bottom w:w="-1" w:type="dxa"/>
              <w:right w:w="-1" w:type="dxa"/>
            </w:tcMar>
            <w:vAlign w:val="center"/>
          </w:tcPr>
          <w:p w14:paraId="1E9628C8">
            <w:pPr>
              <w:snapToGrid w:val="0"/>
              <w:jc w:val="center"/>
              <w:rPr>
                <w:rFonts w:ascii="宋体"/>
                <w:sz w:val="24"/>
              </w:rPr>
            </w:pPr>
            <w:r>
              <w:rPr>
                <w:rFonts w:ascii="宋体" w:hAnsi="宋体"/>
                <w:sz w:val="24"/>
              </w:rPr>
              <w:t>参数规模保留比例</w:t>
            </w:r>
          </w:p>
        </w:tc>
        <w:tc>
          <w:tcPr>
            <w:tcW w:w="2525" w:type="dxa"/>
            <w:tcBorders>
              <w:top w:val="nil"/>
              <w:left w:val="nil"/>
              <w:bottom w:val="single" w:color="auto" w:sz="12" w:space="0"/>
              <w:right w:val="nil"/>
            </w:tcBorders>
            <w:tcMar>
              <w:top w:w="-1" w:type="dxa"/>
              <w:left w:w="-1" w:type="dxa"/>
              <w:bottom w:w="-1" w:type="dxa"/>
              <w:right w:w="-1" w:type="dxa"/>
            </w:tcMar>
            <w:vAlign w:val="center"/>
          </w:tcPr>
          <w:p w14:paraId="01A75541">
            <w:pPr>
              <w:snapToGrid w:val="0"/>
              <w:jc w:val="center"/>
              <w:rPr>
                <w:rFonts w:ascii="宋体"/>
                <w:sz w:val="24"/>
              </w:rPr>
            </w:pPr>
            <w:r>
              <w:rPr>
                <w:rFonts w:ascii="宋体" w:hAnsi="宋体"/>
                <w:sz w:val="24"/>
              </w:rPr>
              <w:t>68.39%</w:t>
            </w:r>
          </w:p>
        </w:tc>
        <w:tc>
          <w:tcPr>
            <w:tcW w:w="3024" w:type="dxa"/>
            <w:tcBorders>
              <w:top w:val="nil"/>
              <w:left w:val="nil"/>
              <w:bottom w:val="single" w:color="auto" w:sz="12" w:space="0"/>
              <w:right w:val="nil"/>
            </w:tcBorders>
            <w:tcMar>
              <w:top w:w="-1" w:type="dxa"/>
              <w:left w:w="-1" w:type="dxa"/>
              <w:bottom w:w="-1" w:type="dxa"/>
              <w:right w:w="-1" w:type="dxa"/>
            </w:tcMar>
            <w:vAlign w:val="center"/>
          </w:tcPr>
          <w:p w14:paraId="0B7E54DD">
            <w:pPr>
              <w:snapToGrid w:val="0"/>
              <w:jc w:val="center"/>
              <w:rPr>
                <w:rFonts w:ascii="宋体"/>
                <w:sz w:val="24"/>
              </w:rPr>
            </w:pPr>
            <w:r>
              <w:rPr>
                <w:rFonts w:ascii="宋体" w:hAnsi="宋体"/>
                <w:sz w:val="24"/>
              </w:rPr>
              <w:t>体现低秩压缩收益</w:t>
            </w:r>
          </w:p>
        </w:tc>
      </w:tr>
    </w:tbl>
    <w:p w14:paraId="40F45564">
      <w:pPr>
        <w:spacing w:line="360" w:lineRule="auto"/>
        <w:ind w:firstLine="480"/>
      </w:pPr>
      <w:r>
        <w:rPr>
          <w:rFonts w:ascii="宋体" w:hAnsi="宋体"/>
          <w:sz w:val="24"/>
        </w:rPr>
        <w:t>金融部分仅承担方法迁移性与极端输入稳定性验证职责，不作为与医疗并列的独立交付场景。其价值在于：在不改变安全运行链基本结构的前提下，验证控制面、动态路由与安全执行语义在另一类高敏感任务中的边界表现，从而证明本作品的工程设计并非只对单一数据分布有效。</w:t>
      </w:r>
    </w:p>
    <w:p w14:paraId="787CA1B2">
      <w:pPr>
        <w:spacing w:line="360" w:lineRule="auto"/>
        <w:outlineLvl w:val="1"/>
        <w:rPr>
          <w:rFonts w:hint="eastAsia" w:ascii="黑体" w:hAnsi="黑体" w:eastAsia="黑体"/>
          <w:b/>
          <w:sz w:val="24"/>
        </w:rPr>
      </w:pPr>
      <w:bookmarkStart w:id="48" w:name="_Toc230691164"/>
      <w:bookmarkStart w:id="49" w:name="Transshield_TOC_section_4_6"/>
      <w:r>
        <w:rPr>
          <w:rFonts w:ascii="黑体" w:hAnsi="黑体" w:eastAsia="黑体"/>
          <w:b/>
          <w:sz w:val="24"/>
        </w:rPr>
        <w:t>4.6 协议层异常输入与鲁棒性验证</w:t>
      </w:r>
      <w:bookmarkEnd w:id="48"/>
      <w:bookmarkEnd w:id="49"/>
    </w:p>
    <w:p w14:paraId="62689A08">
      <w:pPr>
        <w:spacing w:line="360" w:lineRule="auto"/>
        <w:ind w:firstLine="480"/>
        <w:rPr>
          <w:rFonts w:hint="eastAsia" w:ascii="宋体" w:hAnsi="宋体" w:cs="宋体"/>
          <w:sz w:val="24"/>
        </w:rPr>
      </w:pPr>
      <w:r>
        <w:rPr>
          <w:rFonts w:ascii="宋体" w:hAnsi="宋体"/>
          <w:sz w:val="24"/>
        </w:rPr>
        <w:t>鲁棒性验证采用穷举边缘分支矩阵，而不是以单一拦截率概括系统表现。协议层测试覆盖分块传输编码（Transfer-Encoding: chunked）、超大报文长度声明（Content-Length）、boundary 参数混淆、重复字段、畸形分片报文头、空字节注入、非空尾部附加数据、UTF-16 编码结构化元数据、超长结构化元数据以及截断请求体；控制面测试覆盖随机一次性标识（Nonce）并发重放、相同载荷更换 Nonce、同一来源地址并发占满与短窗限频。每个用例均记录首个拦截层、兜底层级、返回处置与资源状态回落摘要，以同时证明拦截有效性与系统可服务性。</w:t>
      </w:r>
      <w:r>
        <w:rPr>
          <w:rFonts w:ascii="宋体" w:hAnsi="宋体" w:cs="宋体"/>
          <w:sz w:val="24"/>
        </w:rPr>
        <w:t xml:space="preserve">协议层与控制面鲁棒性验证的整体统计结果如表 </w:t>
      </w:r>
      <w:r>
        <w:rPr>
          <w:rFonts w:hint="eastAsia" w:ascii="宋体" w:hAnsi="宋体" w:cs="宋体"/>
          <w:sz w:val="24"/>
        </w:rPr>
        <w:t>1</w:t>
      </w:r>
      <w:r>
        <w:rPr>
          <w:rFonts w:hint="eastAsia" w:ascii="宋体" w:hAnsi="宋体" w:cs="宋体"/>
          <w:sz w:val="24"/>
          <w:lang w:val="en-US" w:eastAsia="zh-CN"/>
        </w:rPr>
        <w:t>1</w:t>
      </w:r>
      <w:r>
        <w:rPr>
          <w:rFonts w:ascii="宋体" w:hAnsi="宋体" w:cs="宋体"/>
          <w:sz w:val="24"/>
        </w:rPr>
        <w:t xml:space="preserve"> 所示。</w:t>
      </w:r>
    </w:p>
    <w:p w14:paraId="61EA1A78">
      <w:pPr>
        <w:spacing w:line="360" w:lineRule="auto"/>
        <w:ind w:firstLine="480"/>
        <w:jc w:val="center"/>
        <w:rPr>
          <w:rFonts w:hint="eastAsia" w:ascii="宋体" w:hAnsi="宋体"/>
          <w:sz w:val="24"/>
        </w:rPr>
      </w:pPr>
      <w:r>
        <w:rPr>
          <w:rFonts w:ascii="宋体" w:hAnsi="宋体" w:cs="宋体"/>
          <w:sz w:val="24"/>
        </w:rPr>
        <w:t xml:space="preserve">表 </w:t>
      </w:r>
      <w:r>
        <w:rPr>
          <w:rFonts w:hint="eastAsia" w:ascii="宋体" w:hAnsi="宋体" w:cs="宋体"/>
          <w:sz w:val="24"/>
        </w:rPr>
        <w:t>1</w:t>
      </w:r>
      <w:r>
        <w:rPr>
          <w:rFonts w:hint="eastAsia" w:ascii="宋体" w:hAnsi="宋体" w:cs="宋体"/>
          <w:sz w:val="24"/>
          <w:lang w:val="en-US" w:eastAsia="zh-CN"/>
        </w:rPr>
        <w:t>1</w:t>
      </w:r>
      <w:r>
        <w:rPr>
          <w:rFonts w:hint="eastAsia" w:ascii="宋体" w:hAnsi="宋体" w:cs="宋体"/>
          <w:sz w:val="24"/>
        </w:rPr>
        <w:t xml:space="preserve"> </w:t>
      </w:r>
      <w:r>
        <w:rPr>
          <w:rFonts w:ascii="宋体" w:hAnsi="宋体" w:cs="宋体"/>
          <w:sz w:val="24"/>
        </w:rPr>
        <w:t>协议层与控制面鲁棒性验证统计</w:t>
      </w:r>
    </w:p>
    <w:tbl>
      <w:tblPr>
        <w:tblStyle w:val="7"/>
        <w:tblW w:w="5509" w:type="pct"/>
        <w:jc w:val="center"/>
        <w:tblLayout w:type="autofit"/>
        <w:tblCellMar>
          <w:top w:w="0" w:type="dxa"/>
          <w:left w:w="108" w:type="dxa"/>
          <w:bottom w:w="0" w:type="dxa"/>
          <w:right w:w="108" w:type="dxa"/>
        </w:tblCellMar>
      </w:tblPr>
      <w:tblGrid>
        <w:gridCol w:w="1461"/>
        <w:gridCol w:w="662"/>
        <w:gridCol w:w="1096"/>
        <w:gridCol w:w="1819"/>
        <w:gridCol w:w="1734"/>
        <w:gridCol w:w="3184"/>
      </w:tblGrid>
      <w:tr w14:paraId="1187C8FF">
        <w:tblPrEx>
          <w:tblCellMar>
            <w:top w:w="0" w:type="dxa"/>
            <w:left w:w="108" w:type="dxa"/>
            <w:bottom w:w="0" w:type="dxa"/>
            <w:right w:w="108" w:type="dxa"/>
          </w:tblCellMar>
        </w:tblPrEx>
        <w:trPr>
          <w:tblHeader/>
          <w:jc w:val="center"/>
        </w:trPr>
        <w:tc>
          <w:tcPr>
            <w:tcW w:w="733" w:type="pct"/>
            <w:tcBorders>
              <w:top w:val="single" w:color="auto" w:sz="12" w:space="0"/>
              <w:left w:val="nil"/>
              <w:bottom w:val="nil"/>
              <w:right w:val="nil"/>
            </w:tcBorders>
            <w:tcMar>
              <w:top w:w="-1" w:type="dxa"/>
              <w:left w:w="-1" w:type="dxa"/>
              <w:bottom w:w="-1" w:type="dxa"/>
              <w:right w:w="-1" w:type="dxa"/>
            </w:tcMar>
            <w:vAlign w:val="center"/>
          </w:tcPr>
          <w:p w14:paraId="6D064735">
            <w:pPr>
              <w:snapToGrid w:val="0"/>
              <w:jc w:val="center"/>
              <w:rPr>
                <w:rFonts w:ascii="宋体"/>
                <w:b/>
                <w:sz w:val="24"/>
              </w:rPr>
            </w:pPr>
            <w:r>
              <w:rPr>
                <w:rFonts w:ascii="宋体" w:hAnsi="宋体"/>
                <w:b/>
                <w:sz w:val="24"/>
              </w:rPr>
              <w:t>测试组</w:t>
            </w:r>
          </w:p>
        </w:tc>
        <w:tc>
          <w:tcPr>
            <w:tcW w:w="332" w:type="pct"/>
            <w:tcBorders>
              <w:top w:val="single" w:color="auto" w:sz="12" w:space="0"/>
              <w:left w:val="nil"/>
              <w:bottom w:val="nil"/>
              <w:right w:val="nil"/>
            </w:tcBorders>
            <w:tcMar>
              <w:top w:w="-1" w:type="dxa"/>
              <w:left w:w="-1" w:type="dxa"/>
              <w:bottom w:w="-1" w:type="dxa"/>
              <w:right w:w="-1" w:type="dxa"/>
            </w:tcMar>
            <w:vAlign w:val="center"/>
          </w:tcPr>
          <w:p w14:paraId="24E69F63">
            <w:pPr>
              <w:snapToGrid w:val="0"/>
              <w:jc w:val="center"/>
              <w:rPr>
                <w:rFonts w:ascii="宋体"/>
                <w:b/>
                <w:sz w:val="24"/>
              </w:rPr>
            </w:pPr>
            <w:r>
              <w:rPr>
                <w:rFonts w:ascii="宋体" w:hAnsi="宋体"/>
                <w:b/>
                <w:sz w:val="24"/>
              </w:rPr>
              <w:t>用例数</w:t>
            </w:r>
          </w:p>
        </w:tc>
        <w:tc>
          <w:tcPr>
            <w:tcW w:w="550" w:type="pct"/>
            <w:tcBorders>
              <w:top w:val="single" w:color="auto" w:sz="12" w:space="0"/>
              <w:left w:val="nil"/>
              <w:bottom w:val="nil"/>
              <w:right w:val="nil"/>
            </w:tcBorders>
            <w:tcMar>
              <w:top w:w="-1" w:type="dxa"/>
              <w:left w:w="-1" w:type="dxa"/>
              <w:bottom w:w="-1" w:type="dxa"/>
              <w:right w:w="-1" w:type="dxa"/>
            </w:tcMar>
            <w:vAlign w:val="center"/>
          </w:tcPr>
          <w:p w14:paraId="3E7D586E">
            <w:pPr>
              <w:snapToGrid w:val="0"/>
              <w:jc w:val="center"/>
              <w:rPr>
                <w:rFonts w:ascii="宋体"/>
                <w:b/>
                <w:sz w:val="24"/>
              </w:rPr>
            </w:pPr>
            <w:r>
              <w:rPr>
                <w:rFonts w:ascii="宋体" w:hAnsi="宋体"/>
                <w:b/>
                <w:sz w:val="24"/>
              </w:rPr>
              <w:t>按预期通过</w:t>
            </w:r>
          </w:p>
        </w:tc>
        <w:tc>
          <w:tcPr>
            <w:tcW w:w="913" w:type="pct"/>
            <w:tcBorders>
              <w:top w:val="single" w:color="auto" w:sz="12" w:space="0"/>
              <w:left w:val="nil"/>
              <w:bottom w:val="nil"/>
              <w:right w:val="nil"/>
            </w:tcBorders>
            <w:tcMar>
              <w:top w:w="-1" w:type="dxa"/>
              <w:left w:w="-1" w:type="dxa"/>
              <w:bottom w:w="-1" w:type="dxa"/>
              <w:right w:w="-1" w:type="dxa"/>
            </w:tcMar>
            <w:vAlign w:val="center"/>
          </w:tcPr>
          <w:p w14:paraId="69B64807">
            <w:pPr>
              <w:snapToGrid w:val="0"/>
              <w:jc w:val="center"/>
              <w:rPr>
                <w:rFonts w:ascii="宋体"/>
                <w:b/>
                <w:sz w:val="24"/>
              </w:rPr>
            </w:pPr>
            <w:r>
              <w:rPr>
                <w:rFonts w:ascii="宋体" w:hAnsi="宋体"/>
                <w:b/>
                <w:sz w:val="24"/>
              </w:rPr>
              <w:t>FD/Socket无泄漏</w:t>
            </w:r>
          </w:p>
        </w:tc>
        <w:tc>
          <w:tcPr>
            <w:tcW w:w="870" w:type="pct"/>
            <w:tcBorders>
              <w:top w:val="single" w:color="auto" w:sz="12" w:space="0"/>
              <w:left w:val="nil"/>
              <w:bottom w:val="nil"/>
              <w:right w:val="nil"/>
            </w:tcBorders>
            <w:tcMar>
              <w:top w:w="-1" w:type="dxa"/>
              <w:left w:w="-1" w:type="dxa"/>
              <w:bottom w:w="-1" w:type="dxa"/>
              <w:right w:w="-1" w:type="dxa"/>
            </w:tcMar>
            <w:vAlign w:val="center"/>
          </w:tcPr>
          <w:p w14:paraId="10F62D1B">
            <w:pPr>
              <w:snapToGrid w:val="0"/>
              <w:jc w:val="center"/>
              <w:rPr>
                <w:rFonts w:ascii="宋体"/>
                <w:b/>
                <w:sz w:val="24"/>
              </w:rPr>
            </w:pPr>
            <w:r>
              <w:rPr>
                <w:rFonts w:ascii="宋体" w:hAnsi="宋体"/>
                <w:b/>
                <w:sz w:val="24"/>
              </w:rPr>
              <w:t>稳态回落用例</w:t>
            </w:r>
          </w:p>
        </w:tc>
        <w:tc>
          <w:tcPr>
            <w:tcW w:w="1598" w:type="pct"/>
            <w:tcBorders>
              <w:top w:val="single" w:color="auto" w:sz="12" w:space="0"/>
              <w:left w:val="nil"/>
              <w:bottom w:val="nil"/>
              <w:right w:val="nil"/>
            </w:tcBorders>
            <w:tcMar>
              <w:top w:w="-1" w:type="dxa"/>
              <w:left w:w="-1" w:type="dxa"/>
              <w:bottom w:w="-1" w:type="dxa"/>
              <w:right w:w="-1" w:type="dxa"/>
            </w:tcMar>
            <w:vAlign w:val="center"/>
          </w:tcPr>
          <w:p w14:paraId="4F2D2240">
            <w:pPr>
              <w:snapToGrid w:val="0"/>
              <w:jc w:val="center"/>
              <w:rPr>
                <w:rFonts w:ascii="宋体"/>
                <w:b/>
                <w:sz w:val="24"/>
              </w:rPr>
            </w:pPr>
            <w:r>
              <w:rPr>
                <w:rFonts w:ascii="宋体" w:hAnsi="宋体"/>
                <w:b/>
                <w:sz w:val="24"/>
              </w:rPr>
              <w:t>证据文件</w:t>
            </w:r>
          </w:p>
        </w:tc>
      </w:tr>
      <w:tr w14:paraId="368EC530">
        <w:tblPrEx>
          <w:tblCellMar>
            <w:top w:w="0" w:type="dxa"/>
            <w:left w:w="108" w:type="dxa"/>
            <w:bottom w:w="0" w:type="dxa"/>
            <w:right w:w="108" w:type="dxa"/>
          </w:tblCellMar>
        </w:tblPrEx>
        <w:trPr>
          <w:jc w:val="center"/>
        </w:trPr>
        <w:tc>
          <w:tcPr>
            <w:tcW w:w="733" w:type="pct"/>
            <w:tcBorders>
              <w:top w:val="single" w:color="auto" w:sz="4" w:space="0"/>
              <w:left w:val="nil"/>
              <w:bottom w:val="nil"/>
              <w:right w:val="nil"/>
            </w:tcBorders>
            <w:tcMar>
              <w:top w:w="-1" w:type="dxa"/>
              <w:left w:w="-1" w:type="dxa"/>
              <w:bottom w:w="-1" w:type="dxa"/>
              <w:right w:w="-1" w:type="dxa"/>
            </w:tcMar>
            <w:vAlign w:val="center"/>
          </w:tcPr>
          <w:p w14:paraId="213686A7">
            <w:pPr>
              <w:snapToGrid w:val="0"/>
              <w:jc w:val="center"/>
              <w:rPr>
                <w:rFonts w:ascii="宋体"/>
                <w:sz w:val="24"/>
              </w:rPr>
            </w:pPr>
            <w:r>
              <w:rPr>
                <w:rFonts w:ascii="宋体" w:hAnsi="宋体"/>
                <w:sz w:val="24"/>
              </w:rPr>
              <w:t>协议层异常输入</w:t>
            </w:r>
          </w:p>
        </w:tc>
        <w:tc>
          <w:tcPr>
            <w:tcW w:w="332" w:type="pct"/>
            <w:tcBorders>
              <w:top w:val="single" w:color="auto" w:sz="4" w:space="0"/>
              <w:left w:val="nil"/>
              <w:bottom w:val="nil"/>
              <w:right w:val="nil"/>
            </w:tcBorders>
            <w:tcMar>
              <w:top w:w="-1" w:type="dxa"/>
              <w:left w:w="-1" w:type="dxa"/>
              <w:bottom w:w="-1" w:type="dxa"/>
              <w:right w:w="-1" w:type="dxa"/>
            </w:tcMar>
            <w:vAlign w:val="center"/>
          </w:tcPr>
          <w:p w14:paraId="43D867FE">
            <w:pPr>
              <w:snapToGrid w:val="0"/>
              <w:jc w:val="left"/>
              <w:rPr>
                <w:rFonts w:ascii="宋体"/>
                <w:sz w:val="24"/>
              </w:rPr>
            </w:pPr>
            <w:r>
              <w:rPr>
                <w:rFonts w:ascii="宋体" w:hAnsi="宋体"/>
                <w:sz w:val="24"/>
              </w:rPr>
              <w:t>13</w:t>
            </w:r>
          </w:p>
        </w:tc>
        <w:tc>
          <w:tcPr>
            <w:tcW w:w="550" w:type="pct"/>
            <w:tcBorders>
              <w:top w:val="single" w:color="auto" w:sz="4" w:space="0"/>
              <w:left w:val="nil"/>
              <w:bottom w:val="nil"/>
              <w:right w:val="nil"/>
            </w:tcBorders>
            <w:tcMar>
              <w:top w:w="-1" w:type="dxa"/>
              <w:left w:w="-1" w:type="dxa"/>
              <w:bottom w:w="-1" w:type="dxa"/>
              <w:right w:w="-1" w:type="dxa"/>
            </w:tcMar>
            <w:vAlign w:val="center"/>
          </w:tcPr>
          <w:p w14:paraId="601A655F">
            <w:pPr>
              <w:snapToGrid w:val="0"/>
              <w:jc w:val="center"/>
              <w:rPr>
                <w:rFonts w:ascii="宋体"/>
                <w:sz w:val="24"/>
              </w:rPr>
            </w:pPr>
            <w:r>
              <w:rPr>
                <w:rFonts w:ascii="宋体" w:hAnsi="宋体"/>
                <w:sz w:val="24"/>
              </w:rPr>
              <w:t>13 / 13</w:t>
            </w:r>
          </w:p>
        </w:tc>
        <w:tc>
          <w:tcPr>
            <w:tcW w:w="913" w:type="pct"/>
            <w:tcBorders>
              <w:top w:val="single" w:color="auto" w:sz="4" w:space="0"/>
              <w:left w:val="nil"/>
              <w:bottom w:val="nil"/>
              <w:right w:val="nil"/>
            </w:tcBorders>
            <w:tcMar>
              <w:top w:w="-1" w:type="dxa"/>
              <w:left w:w="-1" w:type="dxa"/>
              <w:bottom w:w="-1" w:type="dxa"/>
              <w:right w:w="-1" w:type="dxa"/>
            </w:tcMar>
            <w:vAlign w:val="center"/>
          </w:tcPr>
          <w:p w14:paraId="6FAFCF24">
            <w:pPr>
              <w:snapToGrid w:val="0"/>
              <w:jc w:val="center"/>
              <w:rPr>
                <w:rFonts w:ascii="宋体"/>
                <w:sz w:val="24"/>
              </w:rPr>
            </w:pPr>
            <w:r>
              <w:rPr>
                <w:rFonts w:ascii="宋体" w:hAnsi="宋体"/>
                <w:sz w:val="24"/>
              </w:rPr>
              <w:t>13 / 13</w:t>
            </w:r>
          </w:p>
        </w:tc>
        <w:tc>
          <w:tcPr>
            <w:tcW w:w="870" w:type="pct"/>
            <w:tcBorders>
              <w:top w:val="single" w:color="auto" w:sz="4" w:space="0"/>
              <w:left w:val="nil"/>
              <w:bottom w:val="nil"/>
              <w:right w:val="nil"/>
            </w:tcBorders>
            <w:tcMar>
              <w:top w:w="-1" w:type="dxa"/>
              <w:left w:w="-1" w:type="dxa"/>
              <w:bottom w:w="-1" w:type="dxa"/>
              <w:right w:w="-1" w:type="dxa"/>
            </w:tcMar>
            <w:vAlign w:val="center"/>
          </w:tcPr>
          <w:p w14:paraId="46AA8BEB">
            <w:pPr>
              <w:snapToGrid w:val="0"/>
              <w:jc w:val="center"/>
              <w:rPr>
                <w:rFonts w:ascii="宋体"/>
                <w:sz w:val="24"/>
              </w:rPr>
            </w:pPr>
            <w:r>
              <w:rPr>
                <w:rFonts w:ascii="宋体" w:hAnsi="宋体"/>
                <w:sz w:val="24"/>
              </w:rPr>
              <w:t>11 / 13</w:t>
            </w:r>
          </w:p>
        </w:tc>
        <w:tc>
          <w:tcPr>
            <w:tcW w:w="1598" w:type="pct"/>
            <w:tcBorders>
              <w:top w:val="single" w:color="auto" w:sz="4" w:space="0"/>
              <w:left w:val="nil"/>
              <w:bottom w:val="nil"/>
              <w:right w:val="nil"/>
            </w:tcBorders>
            <w:tcMar>
              <w:top w:w="-1" w:type="dxa"/>
              <w:left w:w="-1" w:type="dxa"/>
              <w:bottom w:w="-1" w:type="dxa"/>
              <w:right w:w="-1" w:type="dxa"/>
            </w:tcMar>
            <w:vAlign w:val="center"/>
          </w:tcPr>
          <w:p w14:paraId="17C68952">
            <w:pPr>
              <w:snapToGrid w:val="0"/>
              <w:jc w:val="center"/>
              <w:rPr>
                <w:rFonts w:ascii="宋体"/>
                <w:sz w:val="24"/>
              </w:rPr>
            </w:pPr>
            <w:r>
              <w:rPr>
                <w:rFonts w:ascii="宋体" w:hAnsi="宋体"/>
                <w:sz w:val="24"/>
              </w:rPr>
              <w:t>协议异常输入验证记录</w:t>
            </w:r>
          </w:p>
        </w:tc>
      </w:tr>
      <w:tr w14:paraId="56FC70FC">
        <w:tblPrEx>
          <w:tblCellMar>
            <w:top w:w="0" w:type="dxa"/>
            <w:left w:w="108" w:type="dxa"/>
            <w:bottom w:w="0" w:type="dxa"/>
            <w:right w:w="108" w:type="dxa"/>
          </w:tblCellMar>
        </w:tblPrEx>
        <w:trPr>
          <w:jc w:val="center"/>
        </w:trPr>
        <w:tc>
          <w:tcPr>
            <w:tcW w:w="733" w:type="pct"/>
            <w:tcBorders>
              <w:top w:val="nil"/>
              <w:left w:val="nil"/>
              <w:bottom w:val="nil"/>
              <w:right w:val="nil"/>
            </w:tcBorders>
            <w:tcMar>
              <w:top w:w="-1" w:type="dxa"/>
              <w:left w:w="-1" w:type="dxa"/>
              <w:bottom w:w="-1" w:type="dxa"/>
              <w:right w:w="-1" w:type="dxa"/>
            </w:tcMar>
            <w:vAlign w:val="center"/>
          </w:tcPr>
          <w:p w14:paraId="1E2F9755">
            <w:pPr>
              <w:snapToGrid w:val="0"/>
              <w:jc w:val="center"/>
              <w:rPr>
                <w:rFonts w:ascii="宋体"/>
                <w:sz w:val="24"/>
              </w:rPr>
            </w:pPr>
            <w:r>
              <w:rPr>
                <w:rFonts w:ascii="宋体" w:hAnsi="宋体"/>
                <w:sz w:val="24"/>
              </w:rPr>
              <w:t>控制面守卫</w:t>
            </w:r>
          </w:p>
        </w:tc>
        <w:tc>
          <w:tcPr>
            <w:tcW w:w="332" w:type="pct"/>
            <w:tcBorders>
              <w:top w:val="nil"/>
              <w:left w:val="nil"/>
              <w:bottom w:val="nil"/>
              <w:right w:val="nil"/>
            </w:tcBorders>
            <w:tcMar>
              <w:top w:w="-1" w:type="dxa"/>
              <w:left w:w="-1" w:type="dxa"/>
              <w:bottom w:w="-1" w:type="dxa"/>
              <w:right w:w="-1" w:type="dxa"/>
            </w:tcMar>
            <w:vAlign w:val="center"/>
          </w:tcPr>
          <w:p w14:paraId="22CD6A01">
            <w:pPr>
              <w:snapToGrid w:val="0"/>
              <w:jc w:val="left"/>
              <w:rPr>
                <w:rFonts w:ascii="宋体"/>
                <w:sz w:val="24"/>
              </w:rPr>
            </w:pPr>
            <w:r>
              <w:rPr>
                <w:rFonts w:ascii="宋体" w:hAnsi="宋体"/>
                <w:sz w:val="24"/>
              </w:rPr>
              <w:t>4</w:t>
            </w:r>
          </w:p>
        </w:tc>
        <w:tc>
          <w:tcPr>
            <w:tcW w:w="550" w:type="pct"/>
            <w:tcBorders>
              <w:top w:val="nil"/>
              <w:left w:val="nil"/>
              <w:bottom w:val="nil"/>
              <w:right w:val="nil"/>
            </w:tcBorders>
            <w:tcMar>
              <w:top w:w="-1" w:type="dxa"/>
              <w:left w:w="-1" w:type="dxa"/>
              <w:bottom w:w="-1" w:type="dxa"/>
              <w:right w:w="-1" w:type="dxa"/>
            </w:tcMar>
            <w:vAlign w:val="center"/>
          </w:tcPr>
          <w:p w14:paraId="3D685ED6">
            <w:pPr>
              <w:snapToGrid w:val="0"/>
              <w:jc w:val="center"/>
              <w:rPr>
                <w:rFonts w:ascii="宋体"/>
                <w:sz w:val="24"/>
              </w:rPr>
            </w:pPr>
            <w:r>
              <w:rPr>
                <w:rFonts w:ascii="宋体" w:hAnsi="宋体"/>
                <w:sz w:val="24"/>
              </w:rPr>
              <w:t>4 / 4</w:t>
            </w:r>
          </w:p>
        </w:tc>
        <w:tc>
          <w:tcPr>
            <w:tcW w:w="913" w:type="pct"/>
            <w:tcBorders>
              <w:top w:val="nil"/>
              <w:left w:val="nil"/>
              <w:bottom w:val="nil"/>
              <w:right w:val="nil"/>
            </w:tcBorders>
            <w:tcMar>
              <w:top w:w="-1" w:type="dxa"/>
              <w:left w:w="-1" w:type="dxa"/>
              <w:bottom w:w="-1" w:type="dxa"/>
              <w:right w:w="-1" w:type="dxa"/>
            </w:tcMar>
            <w:vAlign w:val="center"/>
          </w:tcPr>
          <w:p w14:paraId="680B139A">
            <w:pPr>
              <w:snapToGrid w:val="0"/>
              <w:jc w:val="center"/>
              <w:rPr>
                <w:rFonts w:ascii="宋体"/>
                <w:sz w:val="24"/>
              </w:rPr>
            </w:pPr>
            <w:r>
              <w:rPr>
                <w:rFonts w:ascii="宋体" w:hAnsi="宋体"/>
                <w:sz w:val="24"/>
              </w:rPr>
              <w:t>4 / 4</w:t>
            </w:r>
          </w:p>
        </w:tc>
        <w:tc>
          <w:tcPr>
            <w:tcW w:w="870" w:type="pct"/>
            <w:tcBorders>
              <w:top w:val="nil"/>
              <w:left w:val="nil"/>
              <w:bottom w:val="nil"/>
              <w:right w:val="nil"/>
            </w:tcBorders>
            <w:tcMar>
              <w:top w:w="-1" w:type="dxa"/>
              <w:left w:w="-1" w:type="dxa"/>
              <w:bottom w:w="-1" w:type="dxa"/>
              <w:right w:w="-1" w:type="dxa"/>
            </w:tcMar>
            <w:vAlign w:val="center"/>
          </w:tcPr>
          <w:p w14:paraId="0BFBEF50">
            <w:pPr>
              <w:snapToGrid w:val="0"/>
              <w:jc w:val="center"/>
              <w:rPr>
                <w:rFonts w:ascii="宋体"/>
                <w:sz w:val="24"/>
              </w:rPr>
            </w:pPr>
            <w:r>
              <w:rPr>
                <w:rFonts w:ascii="宋体" w:hAnsi="宋体"/>
                <w:sz w:val="24"/>
              </w:rPr>
              <w:t>1 / 4</w:t>
            </w:r>
          </w:p>
        </w:tc>
        <w:tc>
          <w:tcPr>
            <w:tcW w:w="1598" w:type="pct"/>
            <w:tcBorders>
              <w:top w:val="nil"/>
              <w:left w:val="nil"/>
              <w:bottom w:val="nil"/>
              <w:right w:val="nil"/>
            </w:tcBorders>
            <w:tcMar>
              <w:top w:w="-1" w:type="dxa"/>
              <w:left w:w="-1" w:type="dxa"/>
              <w:bottom w:w="-1" w:type="dxa"/>
              <w:right w:w="-1" w:type="dxa"/>
            </w:tcMar>
            <w:vAlign w:val="center"/>
          </w:tcPr>
          <w:p w14:paraId="5B1886E9">
            <w:pPr>
              <w:snapToGrid w:val="0"/>
              <w:jc w:val="center"/>
              <w:rPr>
                <w:rFonts w:ascii="宋体"/>
                <w:sz w:val="24"/>
              </w:rPr>
            </w:pPr>
            <w:r>
              <w:rPr>
                <w:rFonts w:ascii="宋体" w:hAnsi="宋体"/>
                <w:sz w:val="24"/>
              </w:rPr>
              <w:t>控制面守卫验证记录</w:t>
            </w:r>
          </w:p>
        </w:tc>
      </w:tr>
      <w:tr w14:paraId="20C05331">
        <w:tblPrEx>
          <w:tblCellMar>
            <w:top w:w="0" w:type="dxa"/>
            <w:left w:w="108" w:type="dxa"/>
            <w:bottom w:w="0" w:type="dxa"/>
            <w:right w:w="108" w:type="dxa"/>
          </w:tblCellMar>
        </w:tblPrEx>
        <w:trPr>
          <w:jc w:val="center"/>
        </w:trPr>
        <w:tc>
          <w:tcPr>
            <w:tcW w:w="733" w:type="pct"/>
            <w:tcBorders>
              <w:top w:val="nil"/>
              <w:left w:val="nil"/>
              <w:bottom w:val="single" w:color="auto" w:sz="12" w:space="0"/>
              <w:right w:val="nil"/>
            </w:tcBorders>
            <w:tcMar>
              <w:top w:w="-1" w:type="dxa"/>
              <w:left w:w="-1" w:type="dxa"/>
              <w:bottom w:w="-1" w:type="dxa"/>
              <w:right w:w="-1" w:type="dxa"/>
            </w:tcMar>
            <w:vAlign w:val="center"/>
          </w:tcPr>
          <w:p w14:paraId="2D87534F">
            <w:pPr>
              <w:snapToGrid w:val="0"/>
              <w:jc w:val="center"/>
              <w:rPr>
                <w:rFonts w:ascii="宋体"/>
                <w:b/>
                <w:sz w:val="24"/>
              </w:rPr>
            </w:pPr>
            <w:r>
              <w:rPr>
                <w:rFonts w:ascii="宋体" w:hAnsi="宋体"/>
                <w:b/>
                <w:sz w:val="24"/>
              </w:rPr>
              <w:t>合计</w:t>
            </w:r>
          </w:p>
        </w:tc>
        <w:tc>
          <w:tcPr>
            <w:tcW w:w="332" w:type="pct"/>
            <w:tcBorders>
              <w:top w:val="nil"/>
              <w:left w:val="nil"/>
              <w:bottom w:val="single" w:color="auto" w:sz="12" w:space="0"/>
              <w:right w:val="nil"/>
            </w:tcBorders>
            <w:tcMar>
              <w:top w:w="-1" w:type="dxa"/>
              <w:left w:w="-1" w:type="dxa"/>
              <w:bottom w:w="-1" w:type="dxa"/>
              <w:right w:w="-1" w:type="dxa"/>
            </w:tcMar>
            <w:vAlign w:val="center"/>
          </w:tcPr>
          <w:p w14:paraId="3B93B66C">
            <w:pPr>
              <w:snapToGrid w:val="0"/>
              <w:jc w:val="left"/>
              <w:rPr>
                <w:rFonts w:ascii="宋体"/>
                <w:b/>
                <w:sz w:val="24"/>
              </w:rPr>
            </w:pPr>
            <w:r>
              <w:rPr>
                <w:rFonts w:ascii="宋体" w:hAnsi="宋体"/>
                <w:b/>
                <w:sz w:val="24"/>
              </w:rPr>
              <w:t>17</w:t>
            </w:r>
          </w:p>
        </w:tc>
        <w:tc>
          <w:tcPr>
            <w:tcW w:w="550" w:type="pct"/>
            <w:tcBorders>
              <w:top w:val="nil"/>
              <w:left w:val="nil"/>
              <w:bottom w:val="single" w:color="auto" w:sz="12" w:space="0"/>
              <w:right w:val="nil"/>
            </w:tcBorders>
            <w:tcMar>
              <w:top w:w="-1" w:type="dxa"/>
              <w:left w:w="-1" w:type="dxa"/>
              <w:bottom w:w="-1" w:type="dxa"/>
              <w:right w:w="-1" w:type="dxa"/>
            </w:tcMar>
            <w:vAlign w:val="center"/>
          </w:tcPr>
          <w:p w14:paraId="2CCA13F8">
            <w:pPr>
              <w:snapToGrid w:val="0"/>
              <w:jc w:val="center"/>
              <w:rPr>
                <w:rFonts w:ascii="宋体"/>
                <w:b/>
                <w:sz w:val="24"/>
              </w:rPr>
            </w:pPr>
            <w:r>
              <w:rPr>
                <w:rFonts w:ascii="宋体" w:hAnsi="宋体"/>
                <w:b/>
                <w:sz w:val="24"/>
              </w:rPr>
              <w:t>17 / 17</w:t>
            </w:r>
          </w:p>
        </w:tc>
        <w:tc>
          <w:tcPr>
            <w:tcW w:w="913" w:type="pct"/>
            <w:tcBorders>
              <w:top w:val="nil"/>
              <w:left w:val="nil"/>
              <w:bottom w:val="single" w:color="auto" w:sz="12" w:space="0"/>
              <w:right w:val="nil"/>
            </w:tcBorders>
            <w:tcMar>
              <w:top w:w="-1" w:type="dxa"/>
              <w:left w:w="-1" w:type="dxa"/>
              <w:bottom w:w="-1" w:type="dxa"/>
              <w:right w:w="-1" w:type="dxa"/>
            </w:tcMar>
            <w:vAlign w:val="center"/>
          </w:tcPr>
          <w:p w14:paraId="5F6CD68D">
            <w:pPr>
              <w:snapToGrid w:val="0"/>
              <w:jc w:val="center"/>
              <w:rPr>
                <w:rFonts w:ascii="宋体"/>
                <w:b/>
                <w:sz w:val="24"/>
              </w:rPr>
            </w:pPr>
            <w:r>
              <w:rPr>
                <w:rFonts w:ascii="宋体" w:hAnsi="宋体"/>
                <w:b/>
                <w:sz w:val="24"/>
              </w:rPr>
              <w:t>17 / 17</w:t>
            </w:r>
          </w:p>
        </w:tc>
        <w:tc>
          <w:tcPr>
            <w:tcW w:w="870" w:type="pct"/>
            <w:tcBorders>
              <w:top w:val="nil"/>
              <w:left w:val="nil"/>
              <w:bottom w:val="single" w:color="auto" w:sz="12" w:space="0"/>
              <w:right w:val="nil"/>
            </w:tcBorders>
            <w:tcMar>
              <w:top w:w="-1" w:type="dxa"/>
              <w:left w:w="-1" w:type="dxa"/>
              <w:bottom w:w="-1" w:type="dxa"/>
              <w:right w:w="-1" w:type="dxa"/>
            </w:tcMar>
            <w:vAlign w:val="center"/>
          </w:tcPr>
          <w:p w14:paraId="6D6FC7AC">
            <w:pPr>
              <w:snapToGrid w:val="0"/>
              <w:jc w:val="center"/>
              <w:rPr>
                <w:rFonts w:ascii="宋体"/>
                <w:b/>
                <w:sz w:val="24"/>
              </w:rPr>
            </w:pPr>
            <w:r>
              <w:rPr>
                <w:rFonts w:ascii="宋体" w:hAnsi="宋体"/>
                <w:b/>
                <w:sz w:val="24"/>
              </w:rPr>
              <w:t>12 / 17</w:t>
            </w:r>
          </w:p>
        </w:tc>
        <w:tc>
          <w:tcPr>
            <w:tcW w:w="1598" w:type="pct"/>
            <w:tcBorders>
              <w:top w:val="nil"/>
              <w:left w:val="nil"/>
              <w:bottom w:val="single" w:color="auto" w:sz="12" w:space="0"/>
              <w:right w:val="nil"/>
            </w:tcBorders>
            <w:tcMar>
              <w:top w:w="-1" w:type="dxa"/>
              <w:left w:w="-1" w:type="dxa"/>
              <w:bottom w:w="-1" w:type="dxa"/>
              <w:right w:w="-1" w:type="dxa"/>
            </w:tcMar>
            <w:vAlign w:val="center"/>
          </w:tcPr>
          <w:p w14:paraId="744BF343">
            <w:pPr>
              <w:snapToGrid w:val="0"/>
              <w:jc w:val="center"/>
              <w:rPr>
                <w:rFonts w:ascii="宋体"/>
                <w:b/>
                <w:sz w:val="24"/>
              </w:rPr>
            </w:pPr>
            <w:r>
              <w:rPr>
                <w:rFonts w:ascii="宋体" w:hAnsi="宋体"/>
                <w:b/>
                <w:sz w:val="24"/>
              </w:rPr>
              <w:t>汇总</w:t>
            </w:r>
          </w:p>
        </w:tc>
      </w:tr>
    </w:tbl>
    <w:p w14:paraId="0D445067">
      <w:pPr>
        <w:spacing w:line="360" w:lineRule="auto"/>
        <w:ind w:firstLine="480"/>
      </w:pPr>
      <w:r>
        <w:rPr>
          <w:rFonts w:ascii="宋体" w:hAnsi="宋体"/>
          <w:sz w:val="24"/>
        </w:rPr>
        <w:t>从当前留存结果看，协议层异常输入与控制面守卫共覆盖 17 类黑盒用例，17/17 均返回预期拦截或限制结果；全部用例在采样窗口内均未观察到文件描述符或套接字文件描述符的净增长。与此同时，部分并发与大负载探针会带来瞬时常驻内存抬升，因此本作品将其如实记录为“资源成本存在但句柄未泄漏”，而不是将其包装为零成本防护。</w:t>
      </w:r>
    </w:p>
    <w:p w14:paraId="2DDE1DD1">
      <w:pPr>
        <w:spacing w:line="360" w:lineRule="auto"/>
        <w:rPr>
          <w:rFonts w:hint="eastAsia" w:ascii="宋体" w:hAnsi="宋体" w:cs="宋体"/>
          <w:sz w:val="24"/>
        </w:rPr>
      </w:pPr>
      <w:r>
        <w:rPr>
          <w:rFonts w:ascii="宋体" w:hAnsi="宋体"/>
          <w:sz w:val="24"/>
        </w:rPr>
        <w:t>为适配 A4 版面，鲁棒性验证矩阵拆分为两张窄表：前表记录攻击特征与拦截链，后表记录返回处置、资源状态与证据来源；为便于对照阅读，第二张表重复给出“异常场景”列。其中，</w:t>
      </w:r>
      <m:oMath>
        <m:r>
          <m:rPr/>
          <w:rPr>
            <w:rFonts w:ascii="Cambria Math" w:hAnsi="Cambria Math"/>
          </w:rPr>
          <m:t>ΔFD</m:t>
        </m:r>
      </m:oMath>
      <w:r>
        <w:rPr>
          <w:rFonts w:ascii="宋体" w:hAnsi="宋体"/>
          <w:sz w:val="24"/>
        </w:rPr>
        <w:t>表示文件描述符数量变化，</w:t>
      </w:r>
      <m:oMath>
        <m:r>
          <m:rPr/>
          <w:rPr>
            <w:rFonts w:ascii="Cambria Math" w:hAnsi="Cambria Math"/>
          </w:rPr>
          <m:t>ΔSock</m:t>
        </m:r>
      </m:oMath>
      <w:r>
        <w:rPr>
          <w:rFonts w:ascii="宋体" w:hAnsi="宋体"/>
          <w:sz w:val="24"/>
        </w:rPr>
        <w:t>表示套接字文件描述符数量变化，</w:t>
      </w:r>
      <m:oMath>
        <m:r>
          <m:rPr/>
          <w:rPr>
            <w:rFonts w:ascii="Cambria Math" w:hAnsi="Cambria Math"/>
          </w:rPr>
          <m:t>ΔRSS</m:t>
        </m:r>
      </m:oMath>
      <w:r>
        <w:rPr>
          <w:rFonts w:ascii="宋体" w:hAnsi="宋体"/>
          <w:sz w:val="24"/>
        </w:rPr>
        <w:t>表示常驻内存变化，</w:t>
      </w:r>
      <m:oMath>
        <m:r>
          <m:rPr/>
          <w:rPr>
            <w:rFonts w:ascii="Cambria Math" w:hAnsi="Cambria Math"/>
          </w:rPr>
          <m:t>ΔThr</m:t>
        </m:r>
      </m:oMath>
      <w:r>
        <w:rPr>
          <w:rFonts w:ascii="宋体" w:hAnsi="宋体"/>
          <w:sz w:val="24"/>
        </w:rPr>
        <w:t>表示线程数变化，四项指标均按异常处理后观测值减去基线观测值计算。</w:t>
      </w:r>
      <w:r>
        <w:rPr>
          <w:rFonts w:ascii="宋体" w:hAnsi="宋体" w:cs="宋体"/>
          <w:sz w:val="24"/>
        </w:rPr>
        <w:t xml:space="preserve">各类异常场景的攻击特征与系统拦截层级明细如表 </w:t>
      </w:r>
      <w:r>
        <w:rPr>
          <w:rFonts w:hint="eastAsia" w:ascii="宋体" w:hAnsi="宋体" w:cs="宋体"/>
          <w:sz w:val="24"/>
        </w:rPr>
        <w:t>1</w:t>
      </w:r>
      <w:r>
        <w:rPr>
          <w:rFonts w:hint="eastAsia" w:ascii="宋体" w:hAnsi="宋体" w:cs="宋体"/>
          <w:sz w:val="24"/>
          <w:lang w:val="en-US" w:eastAsia="zh-CN"/>
        </w:rPr>
        <w:t>2</w:t>
      </w:r>
      <w:r>
        <w:rPr>
          <w:rFonts w:ascii="宋体" w:hAnsi="宋体" w:cs="宋体"/>
          <w:sz w:val="24"/>
        </w:rPr>
        <w:t xml:space="preserve"> 所示。对应异常场景的系统返回处置、资源状态与证据来源明细如</w:t>
      </w:r>
      <w:r>
        <w:rPr>
          <w:rFonts w:hint="eastAsia" w:ascii="宋体" w:hAnsi="宋体" w:cs="宋体"/>
          <w:sz w:val="24"/>
        </w:rPr>
        <w:t>表</w:t>
      </w:r>
      <w:r>
        <w:rPr>
          <w:rFonts w:hint="eastAsia" w:ascii="宋体" w:hAnsi="宋体" w:cs="宋体"/>
          <w:sz w:val="24"/>
          <w:lang w:val="en-US" w:eastAsia="zh-CN"/>
        </w:rPr>
        <w:t>13</w:t>
      </w:r>
      <w:r>
        <w:rPr>
          <w:rFonts w:ascii="宋体" w:hAnsi="宋体" w:cs="宋体"/>
          <w:sz w:val="24"/>
        </w:rPr>
        <w:t>所示</w:t>
      </w:r>
    </w:p>
    <w:p w14:paraId="2A09B9AB">
      <w:pPr>
        <w:spacing w:line="360" w:lineRule="auto"/>
        <w:ind w:firstLine="480"/>
        <w:jc w:val="center"/>
        <w:rPr>
          <w:rFonts w:hint="eastAsia" w:ascii="宋体" w:hAnsi="宋体" w:cs="宋体"/>
          <w:sz w:val="24"/>
        </w:rPr>
      </w:pPr>
      <w:r>
        <w:rPr>
          <w:rFonts w:ascii="宋体" w:hAnsi="宋体" w:cs="宋体"/>
          <w:sz w:val="24"/>
        </w:rPr>
        <w:t xml:space="preserve">表 </w:t>
      </w:r>
      <w:r>
        <w:rPr>
          <w:rFonts w:hint="eastAsia" w:ascii="宋体" w:hAnsi="宋体" w:cs="宋体"/>
          <w:sz w:val="24"/>
        </w:rPr>
        <w:t>1</w:t>
      </w:r>
      <w:r>
        <w:rPr>
          <w:rFonts w:hint="eastAsia" w:ascii="宋体" w:hAnsi="宋体" w:cs="宋体"/>
          <w:sz w:val="24"/>
          <w:lang w:val="en-US" w:eastAsia="zh-CN"/>
        </w:rPr>
        <w:t>2</w:t>
      </w:r>
      <w:r>
        <w:rPr>
          <w:rFonts w:ascii="宋体" w:hAnsi="宋体" w:cs="宋体"/>
          <w:sz w:val="24"/>
        </w:rPr>
        <w:t xml:space="preserve"> 异常场景攻击特征与拦截层级明细（上）</w:t>
      </w:r>
    </w:p>
    <w:tbl>
      <w:tblPr>
        <w:tblStyle w:val="7"/>
        <w:tblW w:w="8820" w:type="dxa"/>
        <w:jc w:val="center"/>
        <w:tblLayout w:type="autofit"/>
        <w:tblCellMar>
          <w:top w:w="0" w:type="dxa"/>
          <w:left w:w="108" w:type="dxa"/>
          <w:bottom w:w="0" w:type="dxa"/>
          <w:right w:w="108" w:type="dxa"/>
        </w:tblCellMar>
      </w:tblPr>
      <w:tblGrid>
        <w:gridCol w:w="2069"/>
        <w:gridCol w:w="3181"/>
        <w:gridCol w:w="2106"/>
        <w:gridCol w:w="1464"/>
      </w:tblGrid>
      <w:tr w14:paraId="5D29C151">
        <w:tblPrEx>
          <w:tblCellMar>
            <w:top w:w="0" w:type="dxa"/>
            <w:left w:w="108" w:type="dxa"/>
            <w:bottom w:w="0" w:type="dxa"/>
            <w:right w:w="108" w:type="dxa"/>
          </w:tblCellMar>
        </w:tblPrEx>
        <w:trPr>
          <w:tblHeader/>
          <w:jc w:val="center"/>
        </w:trPr>
        <w:tc>
          <w:tcPr>
            <w:tcW w:w="2069" w:type="dxa"/>
            <w:tcBorders>
              <w:top w:val="single" w:color="auto" w:sz="12" w:space="0"/>
              <w:left w:val="nil"/>
              <w:bottom w:val="nil"/>
              <w:right w:val="nil"/>
            </w:tcBorders>
            <w:tcMar>
              <w:top w:w="-1" w:type="dxa"/>
              <w:left w:w="-1" w:type="dxa"/>
              <w:bottom w:w="-1" w:type="dxa"/>
              <w:right w:w="-1" w:type="dxa"/>
            </w:tcMar>
            <w:vAlign w:val="center"/>
          </w:tcPr>
          <w:p w14:paraId="5224A080">
            <w:pPr>
              <w:snapToGrid w:val="0"/>
              <w:jc w:val="center"/>
              <w:rPr>
                <w:rFonts w:ascii="宋体"/>
                <w:b/>
                <w:sz w:val="24"/>
              </w:rPr>
            </w:pPr>
            <w:r>
              <w:rPr>
                <w:rFonts w:ascii="宋体" w:hAnsi="宋体"/>
                <w:b/>
                <w:sz w:val="24"/>
              </w:rPr>
              <w:t>异常场景</w:t>
            </w:r>
          </w:p>
        </w:tc>
        <w:tc>
          <w:tcPr>
            <w:tcW w:w="3181" w:type="dxa"/>
            <w:tcBorders>
              <w:top w:val="single" w:color="auto" w:sz="12" w:space="0"/>
              <w:left w:val="nil"/>
              <w:bottom w:val="nil"/>
              <w:right w:val="nil"/>
            </w:tcBorders>
            <w:tcMar>
              <w:top w:w="-1" w:type="dxa"/>
              <w:left w:w="-1" w:type="dxa"/>
              <w:bottom w:w="-1" w:type="dxa"/>
              <w:right w:w="-1" w:type="dxa"/>
            </w:tcMar>
            <w:vAlign w:val="center"/>
          </w:tcPr>
          <w:p w14:paraId="622E1DFF">
            <w:pPr>
              <w:snapToGrid w:val="0"/>
              <w:jc w:val="center"/>
              <w:rPr>
                <w:rFonts w:ascii="宋体"/>
                <w:b/>
                <w:sz w:val="24"/>
              </w:rPr>
            </w:pPr>
            <w:r>
              <w:rPr>
                <w:rFonts w:ascii="宋体" w:hAnsi="宋体"/>
                <w:b/>
                <w:sz w:val="24"/>
              </w:rPr>
              <w:t>攻击载荷特征</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E41B520">
            <w:pPr>
              <w:snapToGrid w:val="0"/>
              <w:jc w:val="center"/>
              <w:rPr>
                <w:rFonts w:ascii="宋体"/>
                <w:b/>
                <w:sz w:val="24"/>
              </w:rPr>
            </w:pPr>
            <w:r>
              <w:rPr>
                <w:rFonts w:ascii="宋体" w:hAnsi="宋体"/>
                <w:b/>
                <w:sz w:val="24"/>
              </w:rPr>
              <w:t>首个拦截层级</w:t>
            </w:r>
          </w:p>
        </w:tc>
        <w:tc>
          <w:tcPr>
            <w:tcW w:w="1464" w:type="dxa"/>
            <w:tcBorders>
              <w:top w:val="single" w:color="auto" w:sz="12" w:space="0"/>
              <w:left w:val="nil"/>
              <w:bottom w:val="nil"/>
              <w:right w:val="nil"/>
            </w:tcBorders>
            <w:tcMar>
              <w:top w:w="-1" w:type="dxa"/>
              <w:left w:w="-1" w:type="dxa"/>
              <w:bottom w:w="-1" w:type="dxa"/>
              <w:right w:w="-1" w:type="dxa"/>
            </w:tcMar>
            <w:vAlign w:val="center"/>
          </w:tcPr>
          <w:p w14:paraId="59CE5F45">
            <w:pPr>
              <w:snapToGrid w:val="0"/>
              <w:jc w:val="center"/>
              <w:rPr>
                <w:rFonts w:ascii="宋体"/>
                <w:b/>
                <w:sz w:val="24"/>
              </w:rPr>
            </w:pPr>
            <w:r>
              <w:rPr>
                <w:rFonts w:ascii="宋体" w:hAnsi="宋体"/>
                <w:b/>
                <w:sz w:val="24"/>
              </w:rPr>
              <w:t>兜底层级</w:t>
            </w:r>
          </w:p>
        </w:tc>
      </w:tr>
      <w:tr w14:paraId="0C46AB0B">
        <w:tblPrEx>
          <w:tblCellMar>
            <w:top w:w="0" w:type="dxa"/>
            <w:left w:w="108" w:type="dxa"/>
            <w:bottom w:w="0" w:type="dxa"/>
            <w:right w:w="108" w:type="dxa"/>
          </w:tblCellMar>
        </w:tblPrEx>
        <w:trPr>
          <w:jc w:val="center"/>
        </w:trPr>
        <w:tc>
          <w:tcPr>
            <w:tcW w:w="2069" w:type="dxa"/>
            <w:tcBorders>
              <w:top w:val="single" w:color="auto" w:sz="4" w:space="0"/>
              <w:left w:val="nil"/>
              <w:bottom w:val="nil"/>
              <w:right w:val="nil"/>
            </w:tcBorders>
            <w:tcMar>
              <w:top w:w="-1" w:type="dxa"/>
              <w:left w:w="-1" w:type="dxa"/>
              <w:bottom w:w="-1" w:type="dxa"/>
              <w:right w:w="-1" w:type="dxa"/>
            </w:tcMar>
            <w:vAlign w:val="center"/>
          </w:tcPr>
          <w:p w14:paraId="25EA25CE">
            <w:pPr>
              <w:snapToGrid w:val="0"/>
              <w:jc w:val="center"/>
              <w:rPr>
                <w:rFonts w:ascii="宋体"/>
                <w:sz w:val="24"/>
              </w:rPr>
            </w:pPr>
            <w:r>
              <w:rPr>
                <w:rFonts w:ascii="宋体" w:hAnsi="宋体"/>
                <w:sz w:val="24"/>
              </w:rPr>
              <w:t>Chunked 编码绕过</w:t>
            </w:r>
          </w:p>
        </w:tc>
        <w:tc>
          <w:tcPr>
            <w:tcW w:w="3181" w:type="dxa"/>
            <w:tcBorders>
              <w:top w:val="single" w:color="auto" w:sz="4" w:space="0"/>
              <w:left w:val="nil"/>
              <w:bottom w:val="nil"/>
              <w:right w:val="nil"/>
            </w:tcBorders>
            <w:tcMar>
              <w:top w:w="-1" w:type="dxa"/>
              <w:left w:w="-1" w:type="dxa"/>
              <w:bottom w:w="-1" w:type="dxa"/>
              <w:right w:w="-1" w:type="dxa"/>
            </w:tcMar>
            <w:vAlign w:val="center"/>
          </w:tcPr>
          <w:p w14:paraId="22B92076">
            <w:pPr>
              <w:snapToGrid w:val="0"/>
              <w:jc w:val="center"/>
              <w:rPr>
                <w:rFonts w:ascii="宋体"/>
                <w:sz w:val="24"/>
              </w:rPr>
            </w:pPr>
            <w:r>
              <w:rPr>
                <w:rFonts w:ascii="宋体" w:hAnsi="宋体"/>
                <w:sz w:val="24"/>
              </w:rPr>
              <w:t>Transfer-Encoding: chunked，绕过 Content-Length</w:t>
            </w:r>
          </w:p>
        </w:tc>
        <w:tc>
          <w:tcPr>
            <w:tcW w:w="0" w:type="auto"/>
            <w:tcBorders>
              <w:top w:val="single" w:color="auto" w:sz="4" w:space="0"/>
              <w:left w:val="nil"/>
              <w:bottom w:val="nil"/>
              <w:right w:val="nil"/>
            </w:tcBorders>
            <w:tcMar>
              <w:top w:w="-1" w:type="dxa"/>
              <w:left w:w="-1" w:type="dxa"/>
              <w:bottom w:w="-1" w:type="dxa"/>
              <w:right w:w="-1" w:type="dxa"/>
            </w:tcMar>
            <w:vAlign w:val="center"/>
          </w:tcPr>
          <w:p w14:paraId="331F136D">
            <w:pPr>
              <w:snapToGrid w:val="0"/>
              <w:jc w:val="center"/>
              <w:rPr>
                <w:rFonts w:ascii="宋体"/>
                <w:sz w:val="24"/>
              </w:rPr>
            </w:pPr>
            <w:r>
              <w:rPr>
                <w:rFonts w:ascii="宋体" w:hAnsi="宋体"/>
                <w:sz w:val="24"/>
              </w:rPr>
              <w:t>HTTP 请求体入口门</w:t>
            </w:r>
          </w:p>
        </w:tc>
        <w:tc>
          <w:tcPr>
            <w:tcW w:w="1464" w:type="dxa"/>
            <w:tcBorders>
              <w:top w:val="single" w:color="auto" w:sz="4" w:space="0"/>
              <w:left w:val="nil"/>
              <w:bottom w:val="nil"/>
              <w:right w:val="nil"/>
            </w:tcBorders>
            <w:tcMar>
              <w:top w:w="-1" w:type="dxa"/>
              <w:left w:w="-1" w:type="dxa"/>
              <w:bottom w:w="-1" w:type="dxa"/>
              <w:right w:w="-1" w:type="dxa"/>
            </w:tcMar>
            <w:vAlign w:val="center"/>
          </w:tcPr>
          <w:p w14:paraId="4A391E27">
            <w:pPr>
              <w:snapToGrid w:val="0"/>
              <w:jc w:val="center"/>
              <w:rPr>
                <w:rFonts w:ascii="宋体"/>
                <w:sz w:val="24"/>
              </w:rPr>
            </w:pPr>
            <w:r>
              <w:rPr>
                <w:rFonts w:ascii="宋体" w:hAnsi="宋体"/>
                <w:sz w:val="24"/>
              </w:rPr>
              <w:t>不适用</w:t>
            </w:r>
          </w:p>
        </w:tc>
      </w:tr>
      <w:tr w14:paraId="3B3048D6">
        <w:tblPrEx>
          <w:tblCellMar>
            <w:top w:w="0" w:type="dxa"/>
            <w:left w:w="108" w:type="dxa"/>
            <w:bottom w:w="0" w:type="dxa"/>
            <w:right w:w="108" w:type="dxa"/>
          </w:tblCellMar>
        </w:tblPrEx>
        <w:trPr>
          <w:jc w:val="center"/>
        </w:trPr>
        <w:tc>
          <w:tcPr>
            <w:tcW w:w="2069" w:type="dxa"/>
            <w:tcBorders>
              <w:top w:val="nil"/>
              <w:left w:val="nil"/>
              <w:bottom w:val="nil"/>
              <w:right w:val="nil"/>
            </w:tcBorders>
            <w:tcMar>
              <w:top w:w="-1" w:type="dxa"/>
              <w:left w:w="-1" w:type="dxa"/>
              <w:bottom w:w="-1" w:type="dxa"/>
              <w:right w:w="-1" w:type="dxa"/>
            </w:tcMar>
            <w:vAlign w:val="center"/>
          </w:tcPr>
          <w:p w14:paraId="0E1C758E">
            <w:pPr>
              <w:snapToGrid w:val="0"/>
              <w:jc w:val="center"/>
              <w:rPr>
                <w:rFonts w:ascii="宋体"/>
                <w:sz w:val="24"/>
              </w:rPr>
            </w:pPr>
            <w:r>
              <w:rPr>
                <w:rFonts w:ascii="宋体" w:hAnsi="宋体"/>
                <w:sz w:val="24"/>
              </w:rPr>
              <w:t>超大 Content-Length</w:t>
            </w:r>
          </w:p>
        </w:tc>
        <w:tc>
          <w:tcPr>
            <w:tcW w:w="3181" w:type="dxa"/>
            <w:tcBorders>
              <w:top w:val="nil"/>
              <w:left w:val="nil"/>
              <w:bottom w:val="nil"/>
              <w:right w:val="nil"/>
            </w:tcBorders>
            <w:tcMar>
              <w:top w:w="-1" w:type="dxa"/>
              <w:left w:w="-1" w:type="dxa"/>
              <w:bottom w:w="-1" w:type="dxa"/>
              <w:right w:w="-1" w:type="dxa"/>
            </w:tcMar>
            <w:vAlign w:val="center"/>
          </w:tcPr>
          <w:p w14:paraId="74D670AB">
            <w:pPr>
              <w:snapToGrid w:val="0"/>
              <w:jc w:val="center"/>
              <w:rPr>
                <w:rFonts w:ascii="宋体"/>
                <w:sz w:val="24"/>
              </w:rPr>
            </w:pPr>
            <w:r>
              <w:rPr>
                <w:rFonts w:ascii="宋体" w:hAnsi="宋体"/>
                <w:sz w:val="24"/>
              </w:rPr>
              <w:t>声明体积超过 5 MiB，验证 413 + 强制阻断</w:t>
            </w:r>
          </w:p>
        </w:tc>
        <w:tc>
          <w:tcPr>
            <w:tcW w:w="0" w:type="auto"/>
            <w:tcBorders>
              <w:top w:val="nil"/>
              <w:left w:val="nil"/>
              <w:bottom w:val="nil"/>
              <w:right w:val="nil"/>
            </w:tcBorders>
            <w:tcMar>
              <w:top w:w="-1" w:type="dxa"/>
              <w:left w:w="-1" w:type="dxa"/>
              <w:bottom w:w="-1" w:type="dxa"/>
              <w:right w:w="-1" w:type="dxa"/>
            </w:tcMar>
            <w:vAlign w:val="center"/>
          </w:tcPr>
          <w:p w14:paraId="61AD5724">
            <w:pPr>
              <w:snapToGrid w:val="0"/>
              <w:jc w:val="center"/>
              <w:rPr>
                <w:rFonts w:ascii="宋体"/>
                <w:sz w:val="24"/>
              </w:rPr>
            </w:pPr>
            <w:r>
              <w:rPr>
                <w:rFonts w:ascii="宋体" w:hAnsi="宋体"/>
                <w:sz w:val="24"/>
              </w:rPr>
              <w:t>Content-Length 头部上限门</w:t>
            </w:r>
          </w:p>
        </w:tc>
        <w:tc>
          <w:tcPr>
            <w:tcW w:w="1464" w:type="dxa"/>
            <w:tcBorders>
              <w:top w:val="nil"/>
              <w:left w:val="nil"/>
              <w:bottom w:val="nil"/>
              <w:right w:val="nil"/>
            </w:tcBorders>
            <w:tcMar>
              <w:top w:w="-1" w:type="dxa"/>
              <w:left w:w="-1" w:type="dxa"/>
              <w:bottom w:w="-1" w:type="dxa"/>
              <w:right w:w="-1" w:type="dxa"/>
            </w:tcMar>
            <w:vAlign w:val="center"/>
          </w:tcPr>
          <w:p w14:paraId="51F4E634">
            <w:pPr>
              <w:snapToGrid w:val="0"/>
              <w:jc w:val="center"/>
              <w:rPr>
                <w:rFonts w:ascii="宋体"/>
                <w:sz w:val="24"/>
              </w:rPr>
            </w:pPr>
            <w:r>
              <w:rPr>
                <w:rFonts w:ascii="宋体" w:hAnsi="宋体"/>
                <w:sz w:val="24"/>
              </w:rPr>
              <w:t>TCP 强制阻断兜底</w:t>
            </w:r>
          </w:p>
        </w:tc>
      </w:tr>
      <w:tr w14:paraId="72303965">
        <w:tblPrEx>
          <w:tblCellMar>
            <w:top w:w="0" w:type="dxa"/>
            <w:left w:w="108" w:type="dxa"/>
            <w:bottom w:w="0" w:type="dxa"/>
            <w:right w:w="108" w:type="dxa"/>
          </w:tblCellMar>
        </w:tblPrEx>
        <w:trPr>
          <w:jc w:val="center"/>
        </w:trPr>
        <w:tc>
          <w:tcPr>
            <w:tcW w:w="2069" w:type="dxa"/>
            <w:tcBorders>
              <w:top w:val="nil"/>
              <w:left w:val="nil"/>
              <w:bottom w:val="nil"/>
              <w:right w:val="nil"/>
            </w:tcBorders>
            <w:tcMar>
              <w:top w:w="-1" w:type="dxa"/>
              <w:left w:w="-1" w:type="dxa"/>
              <w:bottom w:w="-1" w:type="dxa"/>
              <w:right w:w="-1" w:type="dxa"/>
            </w:tcMar>
            <w:vAlign w:val="center"/>
          </w:tcPr>
          <w:p w14:paraId="4666FB74">
            <w:pPr>
              <w:snapToGrid w:val="0"/>
              <w:jc w:val="center"/>
              <w:rPr>
                <w:rFonts w:ascii="宋体"/>
                <w:sz w:val="24"/>
              </w:rPr>
            </w:pPr>
            <w:r>
              <w:rPr>
                <w:rFonts w:ascii="宋体" w:hAnsi="宋体"/>
                <w:sz w:val="24"/>
              </w:rPr>
              <w:t>重复字段名</w:t>
            </w:r>
          </w:p>
        </w:tc>
        <w:tc>
          <w:tcPr>
            <w:tcW w:w="3181" w:type="dxa"/>
            <w:tcBorders>
              <w:top w:val="nil"/>
              <w:left w:val="nil"/>
              <w:bottom w:val="nil"/>
              <w:right w:val="nil"/>
            </w:tcBorders>
            <w:tcMar>
              <w:top w:w="-1" w:type="dxa"/>
              <w:left w:w="-1" w:type="dxa"/>
              <w:bottom w:w="-1" w:type="dxa"/>
              <w:right w:w="-1" w:type="dxa"/>
            </w:tcMar>
            <w:vAlign w:val="center"/>
          </w:tcPr>
          <w:p w14:paraId="77C97671">
            <w:pPr>
              <w:snapToGrid w:val="0"/>
              <w:jc w:val="center"/>
              <w:rPr>
                <w:rFonts w:ascii="宋体"/>
                <w:sz w:val="24"/>
              </w:rPr>
            </w:pPr>
            <w:r>
              <w:rPr>
                <w:rFonts w:ascii="宋体" w:hAnsi="宋体"/>
                <w:sz w:val="24"/>
              </w:rPr>
              <w:t>重复注入 multipart 字段，诱导字段集歧义</w:t>
            </w:r>
          </w:p>
        </w:tc>
        <w:tc>
          <w:tcPr>
            <w:tcW w:w="0" w:type="auto"/>
            <w:tcBorders>
              <w:top w:val="nil"/>
              <w:left w:val="nil"/>
              <w:bottom w:val="nil"/>
              <w:right w:val="nil"/>
            </w:tcBorders>
            <w:tcMar>
              <w:top w:w="-1" w:type="dxa"/>
              <w:left w:w="-1" w:type="dxa"/>
              <w:bottom w:w="-1" w:type="dxa"/>
              <w:right w:w="-1" w:type="dxa"/>
            </w:tcMar>
            <w:vAlign w:val="center"/>
          </w:tcPr>
          <w:p w14:paraId="06D1BD13">
            <w:pPr>
              <w:snapToGrid w:val="0"/>
              <w:jc w:val="center"/>
              <w:rPr>
                <w:rFonts w:ascii="宋体"/>
                <w:sz w:val="24"/>
              </w:rPr>
            </w:pPr>
            <w:r>
              <w:rPr>
                <w:rFonts w:ascii="宋体" w:hAnsi="宋体"/>
                <w:sz w:val="24"/>
              </w:rPr>
              <w:t>raw multipart 预检</w:t>
            </w:r>
          </w:p>
        </w:tc>
        <w:tc>
          <w:tcPr>
            <w:tcW w:w="1464" w:type="dxa"/>
            <w:tcBorders>
              <w:top w:val="nil"/>
              <w:left w:val="nil"/>
              <w:bottom w:val="nil"/>
              <w:right w:val="nil"/>
            </w:tcBorders>
            <w:tcMar>
              <w:top w:w="-1" w:type="dxa"/>
              <w:left w:w="-1" w:type="dxa"/>
              <w:bottom w:w="-1" w:type="dxa"/>
              <w:right w:w="-1" w:type="dxa"/>
            </w:tcMar>
            <w:vAlign w:val="center"/>
          </w:tcPr>
          <w:p w14:paraId="374F244C">
            <w:pPr>
              <w:snapToGrid w:val="0"/>
              <w:jc w:val="center"/>
              <w:rPr>
                <w:rFonts w:ascii="宋体"/>
                <w:sz w:val="24"/>
              </w:rPr>
            </w:pPr>
            <w:r>
              <w:rPr>
                <w:rFonts w:ascii="宋体" w:hAnsi="宋体"/>
                <w:sz w:val="24"/>
              </w:rPr>
              <w:t>MIME 结构校验</w:t>
            </w:r>
          </w:p>
        </w:tc>
      </w:tr>
      <w:tr w14:paraId="5A243BB4">
        <w:tblPrEx>
          <w:tblCellMar>
            <w:top w:w="0" w:type="dxa"/>
            <w:left w:w="108" w:type="dxa"/>
            <w:bottom w:w="0" w:type="dxa"/>
            <w:right w:w="108" w:type="dxa"/>
          </w:tblCellMar>
        </w:tblPrEx>
        <w:trPr>
          <w:jc w:val="center"/>
        </w:trPr>
        <w:tc>
          <w:tcPr>
            <w:tcW w:w="2069" w:type="dxa"/>
            <w:tcBorders>
              <w:top w:val="nil"/>
              <w:left w:val="nil"/>
              <w:bottom w:val="nil"/>
              <w:right w:val="nil"/>
            </w:tcBorders>
            <w:tcMar>
              <w:top w:w="-1" w:type="dxa"/>
              <w:left w:w="-1" w:type="dxa"/>
              <w:bottom w:w="-1" w:type="dxa"/>
              <w:right w:w="-1" w:type="dxa"/>
            </w:tcMar>
            <w:vAlign w:val="center"/>
          </w:tcPr>
          <w:p w14:paraId="3F16C3F7">
            <w:pPr>
              <w:snapToGrid w:val="0"/>
              <w:jc w:val="center"/>
              <w:rPr>
                <w:rFonts w:ascii="宋体"/>
                <w:sz w:val="24"/>
              </w:rPr>
            </w:pPr>
            <w:r>
              <w:rPr>
                <w:rFonts w:ascii="宋体" w:hAnsi="宋体"/>
                <w:sz w:val="24"/>
              </w:rPr>
              <w:t>Boundary 扇出</w:t>
            </w:r>
          </w:p>
        </w:tc>
        <w:tc>
          <w:tcPr>
            <w:tcW w:w="3181" w:type="dxa"/>
            <w:tcBorders>
              <w:top w:val="nil"/>
              <w:left w:val="nil"/>
              <w:bottom w:val="nil"/>
              <w:right w:val="nil"/>
            </w:tcBorders>
            <w:tcMar>
              <w:top w:w="-1" w:type="dxa"/>
              <w:left w:w="-1" w:type="dxa"/>
              <w:bottom w:w="-1" w:type="dxa"/>
              <w:right w:w="-1" w:type="dxa"/>
            </w:tcMar>
            <w:vAlign w:val="center"/>
          </w:tcPr>
          <w:p w14:paraId="6768A056">
            <w:pPr>
              <w:snapToGrid w:val="0"/>
              <w:jc w:val="center"/>
              <w:rPr>
                <w:rFonts w:ascii="宋体"/>
                <w:sz w:val="24"/>
              </w:rPr>
            </w:pPr>
            <w:r>
              <w:rPr>
                <w:rFonts w:ascii="宋体" w:hAnsi="宋体"/>
                <w:sz w:val="24"/>
              </w:rPr>
              <w:t>构造过多分片，放大 MIME 解析树</w:t>
            </w:r>
          </w:p>
        </w:tc>
        <w:tc>
          <w:tcPr>
            <w:tcW w:w="0" w:type="auto"/>
            <w:tcBorders>
              <w:top w:val="nil"/>
              <w:left w:val="nil"/>
              <w:bottom w:val="nil"/>
              <w:right w:val="nil"/>
            </w:tcBorders>
            <w:tcMar>
              <w:top w:w="-1" w:type="dxa"/>
              <w:left w:w="-1" w:type="dxa"/>
              <w:bottom w:w="-1" w:type="dxa"/>
              <w:right w:w="-1" w:type="dxa"/>
            </w:tcMar>
            <w:vAlign w:val="center"/>
          </w:tcPr>
          <w:p w14:paraId="33DBF9A1">
            <w:pPr>
              <w:snapToGrid w:val="0"/>
              <w:jc w:val="center"/>
              <w:rPr>
                <w:rFonts w:ascii="宋体"/>
                <w:sz w:val="24"/>
              </w:rPr>
            </w:pPr>
            <w:r>
              <w:rPr>
                <w:rFonts w:ascii="宋体" w:hAnsi="宋体"/>
                <w:sz w:val="24"/>
              </w:rPr>
              <w:t>raw multipart 预检</w:t>
            </w:r>
          </w:p>
        </w:tc>
        <w:tc>
          <w:tcPr>
            <w:tcW w:w="1464" w:type="dxa"/>
            <w:tcBorders>
              <w:top w:val="nil"/>
              <w:left w:val="nil"/>
              <w:bottom w:val="nil"/>
              <w:right w:val="nil"/>
            </w:tcBorders>
            <w:tcMar>
              <w:top w:w="-1" w:type="dxa"/>
              <w:left w:w="-1" w:type="dxa"/>
              <w:bottom w:w="-1" w:type="dxa"/>
              <w:right w:w="-1" w:type="dxa"/>
            </w:tcMar>
            <w:vAlign w:val="center"/>
          </w:tcPr>
          <w:p w14:paraId="19046F08">
            <w:pPr>
              <w:snapToGrid w:val="0"/>
              <w:jc w:val="center"/>
              <w:rPr>
                <w:rFonts w:ascii="宋体"/>
                <w:sz w:val="24"/>
              </w:rPr>
            </w:pPr>
            <w:r>
              <w:rPr>
                <w:rFonts w:ascii="宋体" w:hAnsi="宋体"/>
                <w:sz w:val="24"/>
              </w:rPr>
              <w:t>MIME 结构校验</w:t>
            </w:r>
          </w:p>
        </w:tc>
      </w:tr>
      <w:tr w14:paraId="120A06B4">
        <w:tblPrEx>
          <w:tblCellMar>
            <w:top w:w="0" w:type="dxa"/>
            <w:left w:w="108" w:type="dxa"/>
            <w:bottom w:w="0" w:type="dxa"/>
            <w:right w:w="108" w:type="dxa"/>
          </w:tblCellMar>
        </w:tblPrEx>
        <w:trPr>
          <w:jc w:val="center"/>
        </w:trPr>
        <w:tc>
          <w:tcPr>
            <w:tcW w:w="2069" w:type="dxa"/>
            <w:tcBorders>
              <w:top w:val="nil"/>
              <w:left w:val="nil"/>
              <w:bottom w:val="nil"/>
              <w:right w:val="nil"/>
            </w:tcBorders>
            <w:tcMar>
              <w:top w:w="-1" w:type="dxa"/>
              <w:left w:w="-1" w:type="dxa"/>
              <w:bottom w:w="-1" w:type="dxa"/>
              <w:right w:w="-1" w:type="dxa"/>
            </w:tcMar>
            <w:vAlign w:val="center"/>
          </w:tcPr>
          <w:p w14:paraId="3B135244">
            <w:pPr>
              <w:snapToGrid w:val="0"/>
              <w:jc w:val="center"/>
              <w:rPr>
                <w:rFonts w:ascii="宋体"/>
                <w:sz w:val="24"/>
              </w:rPr>
            </w:pPr>
            <w:r>
              <w:rPr>
                <w:rFonts w:ascii="宋体" w:hAnsi="宋体"/>
                <w:sz w:val="24"/>
              </w:rPr>
              <w:t>嵌套 multipart</w:t>
            </w:r>
          </w:p>
        </w:tc>
        <w:tc>
          <w:tcPr>
            <w:tcW w:w="3181" w:type="dxa"/>
            <w:tcBorders>
              <w:top w:val="nil"/>
              <w:left w:val="nil"/>
              <w:bottom w:val="nil"/>
              <w:right w:val="nil"/>
            </w:tcBorders>
            <w:tcMar>
              <w:top w:w="-1" w:type="dxa"/>
              <w:left w:w="-1" w:type="dxa"/>
              <w:bottom w:w="-1" w:type="dxa"/>
              <w:right w:w="-1" w:type="dxa"/>
            </w:tcMar>
            <w:vAlign w:val="center"/>
          </w:tcPr>
          <w:p w14:paraId="6F47C76D">
            <w:pPr>
              <w:snapToGrid w:val="0"/>
              <w:jc w:val="center"/>
              <w:rPr>
                <w:rFonts w:ascii="宋体"/>
                <w:sz w:val="24"/>
              </w:rPr>
            </w:pPr>
            <w:r>
              <w:rPr>
                <w:rFonts w:ascii="宋体" w:hAnsi="宋体"/>
                <w:sz w:val="24"/>
              </w:rPr>
              <w:t>把 share part 伪装成 multipart/mixed</w:t>
            </w:r>
          </w:p>
        </w:tc>
        <w:tc>
          <w:tcPr>
            <w:tcW w:w="0" w:type="auto"/>
            <w:tcBorders>
              <w:top w:val="nil"/>
              <w:left w:val="nil"/>
              <w:bottom w:val="nil"/>
              <w:right w:val="nil"/>
            </w:tcBorders>
            <w:tcMar>
              <w:top w:w="-1" w:type="dxa"/>
              <w:left w:w="-1" w:type="dxa"/>
              <w:bottom w:w="-1" w:type="dxa"/>
              <w:right w:w="-1" w:type="dxa"/>
            </w:tcMar>
            <w:vAlign w:val="center"/>
          </w:tcPr>
          <w:p w14:paraId="2FBAA0CD">
            <w:pPr>
              <w:snapToGrid w:val="0"/>
              <w:jc w:val="center"/>
              <w:rPr>
                <w:rFonts w:ascii="宋体"/>
                <w:sz w:val="24"/>
              </w:rPr>
            </w:pPr>
            <w:r>
              <w:rPr>
                <w:rFonts w:ascii="宋体" w:hAnsi="宋体"/>
                <w:sz w:val="24"/>
              </w:rPr>
              <w:t>raw multipart 预检</w:t>
            </w:r>
          </w:p>
        </w:tc>
        <w:tc>
          <w:tcPr>
            <w:tcW w:w="1464" w:type="dxa"/>
            <w:tcBorders>
              <w:top w:val="nil"/>
              <w:left w:val="nil"/>
              <w:bottom w:val="nil"/>
              <w:right w:val="nil"/>
            </w:tcBorders>
            <w:tcMar>
              <w:top w:w="-1" w:type="dxa"/>
              <w:left w:w="-1" w:type="dxa"/>
              <w:bottom w:w="-1" w:type="dxa"/>
              <w:right w:w="-1" w:type="dxa"/>
            </w:tcMar>
            <w:vAlign w:val="center"/>
          </w:tcPr>
          <w:p w14:paraId="25B7AA39">
            <w:pPr>
              <w:snapToGrid w:val="0"/>
              <w:jc w:val="center"/>
              <w:rPr>
                <w:rFonts w:ascii="宋体"/>
                <w:sz w:val="24"/>
              </w:rPr>
            </w:pPr>
            <w:r>
              <w:rPr>
                <w:rFonts w:ascii="宋体" w:hAnsi="宋体"/>
                <w:sz w:val="24"/>
              </w:rPr>
              <w:t>MIME 结构校验</w:t>
            </w:r>
          </w:p>
        </w:tc>
      </w:tr>
      <w:tr w14:paraId="12736188">
        <w:tblPrEx>
          <w:tblCellMar>
            <w:top w:w="0" w:type="dxa"/>
            <w:left w:w="108" w:type="dxa"/>
            <w:bottom w:w="0" w:type="dxa"/>
            <w:right w:w="108" w:type="dxa"/>
          </w:tblCellMar>
        </w:tblPrEx>
        <w:trPr>
          <w:jc w:val="center"/>
        </w:trPr>
        <w:tc>
          <w:tcPr>
            <w:tcW w:w="2069" w:type="dxa"/>
            <w:tcBorders>
              <w:top w:val="nil"/>
              <w:left w:val="nil"/>
              <w:bottom w:val="nil"/>
              <w:right w:val="nil"/>
            </w:tcBorders>
            <w:tcMar>
              <w:top w:w="-1" w:type="dxa"/>
              <w:left w:w="-1" w:type="dxa"/>
              <w:bottom w:w="-1" w:type="dxa"/>
              <w:right w:w="-1" w:type="dxa"/>
            </w:tcMar>
            <w:vAlign w:val="center"/>
          </w:tcPr>
          <w:p w14:paraId="25AFF17F">
            <w:pPr>
              <w:snapToGrid w:val="0"/>
              <w:jc w:val="center"/>
              <w:rPr>
                <w:rFonts w:ascii="宋体"/>
                <w:sz w:val="24"/>
              </w:rPr>
            </w:pPr>
            <w:r>
              <w:rPr>
                <w:rFonts w:ascii="宋体" w:hAnsi="宋体"/>
                <w:sz w:val="24"/>
              </w:rPr>
              <w:t>超长 JSON</w:t>
            </w:r>
          </w:p>
        </w:tc>
        <w:tc>
          <w:tcPr>
            <w:tcW w:w="3181" w:type="dxa"/>
            <w:tcBorders>
              <w:top w:val="nil"/>
              <w:left w:val="nil"/>
              <w:bottom w:val="nil"/>
              <w:right w:val="nil"/>
            </w:tcBorders>
            <w:tcMar>
              <w:top w:w="-1" w:type="dxa"/>
              <w:left w:w="-1" w:type="dxa"/>
              <w:bottom w:w="-1" w:type="dxa"/>
              <w:right w:w="-1" w:type="dxa"/>
            </w:tcMar>
            <w:vAlign w:val="center"/>
          </w:tcPr>
          <w:p w14:paraId="69D06143">
            <w:pPr>
              <w:snapToGrid w:val="0"/>
              <w:jc w:val="center"/>
              <w:rPr>
                <w:rFonts w:ascii="宋体"/>
                <w:sz w:val="24"/>
              </w:rPr>
            </w:pPr>
            <w:r>
              <w:rPr>
                <w:rFonts w:ascii="宋体" w:hAnsi="宋体"/>
                <w:sz w:val="24"/>
              </w:rPr>
              <w:t>client_quality_summary 超过 JSON 字节门</w:t>
            </w:r>
          </w:p>
        </w:tc>
        <w:tc>
          <w:tcPr>
            <w:tcW w:w="0" w:type="auto"/>
            <w:tcBorders>
              <w:top w:val="nil"/>
              <w:left w:val="nil"/>
              <w:bottom w:val="nil"/>
              <w:right w:val="nil"/>
            </w:tcBorders>
            <w:tcMar>
              <w:top w:w="-1" w:type="dxa"/>
              <w:left w:w="-1" w:type="dxa"/>
              <w:bottom w:w="-1" w:type="dxa"/>
              <w:right w:w="-1" w:type="dxa"/>
            </w:tcMar>
            <w:vAlign w:val="center"/>
          </w:tcPr>
          <w:p w14:paraId="7A303628">
            <w:pPr>
              <w:snapToGrid w:val="0"/>
              <w:jc w:val="center"/>
              <w:rPr>
                <w:rFonts w:ascii="宋体"/>
                <w:sz w:val="24"/>
              </w:rPr>
            </w:pPr>
            <w:r>
              <w:rPr>
                <w:rFonts w:ascii="宋体" w:hAnsi="宋体"/>
                <w:sz w:val="24"/>
              </w:rPr>
              <w:t>JSON 字节长度门</w:t>
            </w:r>
          </w:p>
        </w:tc>
        <w:tc>
          <w:tcPr>
            <w:tcW w:w="1464" w:type="dxa"/>
            <w:tcBorders>
              <w:top w:val="nil"/>
              <w:left w:val="nil"/>
              <w:bottom w:val="nil"/>
              <w:right w:val="nil"/>
            </w:tcBorders>
            <w:tcMar>
              <w:top w:w="-1" w:type="dxa"/>
              <w:left w:w="-1" w:type="dxa"/>
              <w:bottom w:w="-1" w:type="dxa"/>
              <w:right w:w="-1" w:type="dxa"/>
            </w:tcMar>
            <w:vAlign w:val="center"/>
          </w:tcPr>
          <w:p w14:paraId="269A8F2C">
            <w:pPr>
              <w:snapToGrid w:val="0"/>
              <w:jc w:val="center"/>
              <w:rPr>
                <w:rFonts w:ascii="宋体"/>
                <w:sz w:val="24"/>
              </w:rPr>
            </w:pPr>
            <w:r>
              <w:rPr>
                <w:rFonts w:ascii="宋体" w:hAnsi="宋体"/>
                <w:sz w:val="24"/>
              </w:rPr>
              <w:t>严格 JSON 解码钩子</w:t>
            </w:r>
          </w:p>
        </w:tc>
      </w:tr>
      <w:tr w14:paraId="47582A5A">
        <w:tblPrEx>
          <w:tblCellMar>
            <w:top w:w="0" w:type="dxa"/>
            <w:left w:w="108" w:type="dxa"/>
            <w:bottom w:w="0" w:type="dxa"/>
            <w:right w:w="108" w:type="dxa"/>
          </w:tblCellMar>
        </w:tblPrEx>
        <w:trPr>
          <w:jc w:val="center"/>
        </w:trPr>
        <w:tc>
          <w:tcPr>
            <w:tcW w:w="2069" w:type="dxa"/>
            <w:tcBorders>
              <w:top w:val="nil"/>
              <w:left w:val="nil"/>
              <w:bottom w:val="nil"/>
              <w:right w:val="nil"/>
            </w:tcBorders>
            <w:tcMar>
              <w:top w:w="-1" w:type="dxa"/>
              <w:left w:w="-1" w:type="dxa"/>
              <w:bottom w:w="-1" w:type="dxa"/>
              <w:right w:w="-1" w:type="dxa"/>
            </w:tcMar>
            <w:vAlign w:val="center"/>
          </w:tcPr>
          <w:p w14:paraId="6F714A03">
            <w:pPr>
              <w:snapToGrid w:val="0"/>
              <w:jc w:val="center"/>
              <w:rPr>
                <w:rFonts w:ascii="宋体"/>
                <w:sz w:val="24"/>
              </w:rPr>
            </w:pPr>
            <w:r>
              <w:rPr>
                <w:rFonts w:ascii="宋体" w:hAnsi="宋体"/>
                <w:sz w:val="24"/>
              </w:rPr>
              <w:t>字段集漂移</w:t>
            </w:r>
          </w:p>
        </w:tc>
        <w:tc>
          <w:tcPr>
            <w:tcW w:w="3181" w:type="dxa"/>
            <w:tcBorders>
              <w:top w:val="nil"/>
              <w:left w:val="nil"/>
              <w:bottom w:val="nil"/>
              <w:right w:val="nil"/>
            </w:tcBorders>
            <w:tcMar>
              <w:top w:w="-1" w:type="dxa"/>
              <w:left w:w="-1" w:type="dxa"/>
              <w:bottom w:w="-1" w:type="dxa"/>
              <w:right w:w="-1" w:type="dxa"/>
            </w:tcMar>
            <w:vAlign w:val="center"/>
          </w:tcPr>
          <w:p w14:paraId="68314A5A">
            <w:pPr>
              <w:snapToGrid w:val="0"/>
              <w:jc w:val="center"/>
              <w:rPr>
                <w:rFonts w:ascii="宋体"/>
                <w:sz w:val="24"/>
              </w:rPr>
            </w:pPr>
            <w:r>
              <w:rPr>
                <w:rFonts w:ascii="宋体" w:hAnsi="宋体"/>
                <w:sz w:val="24"/>
              </w:rPr>
              <w:t>追加未声明字段，验证精确字段集约束</w:t>
            </w:r>
          </w:p>
        </w:tc>
        <w:tc>
          <w:tcPr>
            <w:tcW w:w="0" w:type="auto"/>
            <w:tcBorders>
              <w:top w:val="nil"/>
              <w:left w:val="nil"/>
              <w:bottom w:val="nil"/>
              <w:right w:val="nil"/>
            </w:tcBorders>
            <w:tcMar>
              <w:top w:w="-1" w:type="dxa"/>
              <w:left w:w="-1" w:type="dxa"/>
              <w:bottom w:w="-1" w:type="dxa"/>
              <w:right w:w="-1" w:type="dxa"/>
            </w:tcMar>
            <w:vAlign w:val="center"/>
          </w:tcPr>
          <w:p w14:paraId="45FE42E0">
            <w:pPr>
              <w:snapToGrid w:val="0"/>
              <w:jc w:val="center"/>
              <w:rPr>
                <w:rFonts w:ascii="宋体"/>
                <w:sz w:val="24"/>
              </w:rPr>
            </w:pPr>
            <w:r>
              <w:rPr>
                <w:rFonts w:ascii="宋体" w:hAnsi="宋体"/>
                <w:sz w:val="24"/>
              </w:rPr>
              <w:t>raw multipart 预检</w:t>
            </w:r>
          </w:p>
        </w:tc>
        <w:tc>
          <w:tcPr>
            <w:tcW w:w="1464" w:type="dxa"/>
            <w:tcBorders>
              <w:top w:val="nil"/>
              <w:left w:val="nil"/>
              <w:bottom w:val="nil"/>
              <w:right w:val="nil"/>
            </w:tcBorders>
            <w:tcMar>
              <w:top w:w="-1" w:type="dxa"/>
              <w:left w:w="-1" w:type="dxa"/>
              <w:bottom w:w="-1" w:type="dxa"/>
              <w:right w:w="-1" w:type="dxa"/>
            </w:tcMar>
            <w:vAlign w:val="center"/>
          </w:tcPr>
          <w:p w14:paraId="46585F98">
            <w:pPr>
              <w:snapToGrid w:val="0"/>
              <w:jc w:val="center"/>
              <w:rPr>
                <w:rFonts w:ascii="宋体"/>
                <w:sz w:val="24"/>
              </w:rPr>
            </w:pPr>
            <w:r>
              <w:rPr>
                <w:rFonts w:ascii="宋体" w:hAnsi="宋体"/>
                <w:sz w:val="24"/>
              </w:rPr>
              <w:t>精确字段集门</w:t>
            </w:r>
          </w:p>
        </w:tc>
      </w:tr>
      <w:tr w14:paraId="37304F09">
        <w:tblPrEx>
          <w:tblCellMar>
            <w:top w:w="0" w:type="dxa"/>
            <w:left w:w="108" w:type="dxa"/>
            <w:bottom w:w="0" w:type="dxa"/>
            <w:right w:w="108" w:type="dxa"/>
          </w:tblCellMar>
        </w:tblPrEx>
        <w:trPr>
          <w:jc w:val="center"/>
        </w:trPr>
        <w:tc>
          <w:tcPr>
            <w:tcW w:w="2069" w:type="dxa"/>
            <w:tcBorders>
              <w:top w:val="nil"/>
              <w:left w:val="nil"/>
              <w:bottom w:val="nil"/>
              <w:right w:val="nil"/>
            </w:tcBorders>
            <w:tcMar>
              <w:top w:w="-1" w:type="dxa"/>
              <w:left w:w="-1" w:type="dxa"/>
              <w:bottom w:w="-1" w:type="dxa"/>
              <w:right w:w="-1" w:type="dxa"/>
            </w:tcMar>
            <w:vAlign w:val="center"/>
          </w:tcPr>
          <w:p w14:paraId="1C5D9A43">
            <w:pPr>
              <w:snapToGrid w:val="0"/>
              <w:jc w:val="center"/>
              <w:rPr>
                <w:rFonts w:ascii="宋体"/>
                <w:sz w:val="24"/>
              </w:rPr>
            </w:pPr>
            <w:r>
              <w:rPr>
                <w:rFonts w:ascii="宋体" w:hAnsi="宋体"/>
                <w:sz w:val="24"/>
              </w:rPr>
              <w:t>Boundary 参数混淆</w:t>
            </w:r>
          </w:p>
        </w:tc>
        <w:tc>
          <w:tcPr>
            <w:tcW w:w="3181" w:type="dxa"/>
            <w:tcBorders>
              <w:top w:val="nil"/>
              <w:left w:val="nil"/>
              <w:bottom w:val="nil"/>
              <w:right w:val="nil"/>
            </w:tcBorders>
            <w:tcMar>
              <w:top w:w="-1" w:type="dxa"/>
              <w:left w:w="-1" w:type="dxa"/>
              <w:bottom w:w="-1" w:type="dxa"/>
              <w:right w:w="-1" w:type="dxa"/>
            </w:tcMar>
            <w:vAlign w:val="center"/>
          </w:tcPr>
          <w:p w14:paraId="4DF3AE77">
            <w:pPr>
              <w:snapToGrid w:val="0"/>
              <w:jc w:val="center"/>
              <w:rPr>
                <w:rFonts w:ascii="宋体"/>
                <w:sz w:val="24"/>
              </w:rPr>
            </w:pPr>
            <w:r>
              <w:rPr>
                <w:rFonts w:ascii="宋体" w:hAnsi="宋体"/>
                <w:sz w:val="24"/>
              </w:rPr>
              <w:t>boundary 带空白与引号变体</w:t>
            </w:r>
          </w:p>
        </w:tc>
        <w:tc>
          <w:tcPr>
            <w:tcW w:w="0" w:type="auto"/>
            <w:tcBorders>
              <w:top w:val="nil"/>
              <w:left w:val="nil"/>
              <w:bottom w:val="nil"/>
              <w:right w:val="nil"/>
            </w:tcBorders>
            <w:tcMar>
              <w:top w:w="-1" w:type="dxa"/>
              <w:left w:w="-1" w:type="dxa"/>
              <w:bottom w:w="-1" w:type="dxa"/>
              <w:right w:w="-1" w:type="dxa"/>
            </w:tcMar>
            <w:vAlign w:val="center"/>
          </w:tcPr>
          <w:p w14:paraId="1878F8EE">
            <w:pPr>
              <w:snapToGrid w:val="0"/>
              <w:jc w:val="center"/>
              <w:rPr>
                <w:rFonts w:ascii="宋体"/>
                <w:sz w:val="24"/>
              </w:rPr>
            </w:pPr>
            <w:r>
              <w:rPr>
                <w:rFonts w:ascii="宋体" w:hAnsi="宋体"/>
                <w:sz w:val="24"/>
              </w:rPr>
              <w:t>Content-Type boundary 解析</w:t>
            </w:r>
          </w:p>
        </w:tc>
        <w:tc>
          <w:tcPr>
            <w:tcW w:w="1464" w:type="dxa"/>
            <w:tcBorders>
              <w:top w:val="nil"/>
              <w:left w:val="nil"/>
              <w:bottom w:val="nil"/>
              <w:right w:val="nil"/>
            </w:tcBorders>
            <w:tcMar>
              <w:top w:w="-1" w:type="dxa"/>
              <w:left w:w="-1" w:type="dxa"/>
              <w:bottom w:w="-1" w:type="dxa"/>
              <w:right w:w="-1" w:type="dxa"/>
            </w:tcMar>
            <w:vAlign w:val="center"/>
          </w:tcPr>
          <w:p w14:paraId="73F272F0">
            <w:pPr>
              <w:snapToGrid w:val="0"/>
              <w:jc w:val="center"/>
              <w:rPr>
                <w:rFonts w:ascii="宋体"/>
                <w:sz w:val="24"/>
              </w:rPr>
            </w:pPr>
            <w:r>
              <w:rPr>
                <w:rFonts w:ascii="宋体" w:hAnsi="宋体"/>
                <w:sz w:val="24"/>
              </w:rPr>
              <w:t>raw multipart 预检</w:t>
            </w:r>
          </w:p>
        </w:tc>
      </w:tr>
      <w:tr w14:paraId="560A151D">
        <w:tblPrEx>
          <w:tblCellMar>
            <w:top w:w="0" w:type="dxa"/>
            <w:left w:w="108" w:type="dxa"/>
            <w:bottom w:w="0" w:type="dxa"/>
            <w:right w:w="108" w:type="dxa"/>
          </w:tblCellMar>
        </w:tblPrEx>
        <w:trPr>
          <w:jc w:val="center"/>
        </w:trPr>
        <w:tc>
          <w:tcPr>
            <w:tcW w:w="2069" w:type="dxa"/>
            <w:tcBorders>
              <w:top w:val="nil"/>
              <w:left w:val="nil"/>
              <w:bottom w:val="nil"/>
              <w:right w:val="nil"/>
            </w:tcBorders>
            <w:tcMar>
              <w:top w:w="-1" w:type="dxa"/>
              <w:left w:w="-1" w:type="dxa"/>
              <w:bottom w:w="-1" w:type="dxa"/>
              <w:right w:w="-1" w:type="dxa"/>
            </w:tcMar>
            <w:vAlign w:val="center"/>
          </w:tcPr>
          <w:p w14:paraId="5354CAD5">
            <w:pPr>
              <w:snapToGrid w:val="0"/>
              <w:jc w:val="center"/>
              <w:rPr>
                <w:rFonts w:ascii="宋体"/>
                <w:sz w:val="24"/>
              </w:rPr>
            </w:pPr>
            <w:r>
              <w:rPr>
                <w:rFonts w:ascii="宋体" w:hAnsi="宋体"/>
                <w:sz w:val="24"/>
              </w:rPr>
              <w:t>畸形 Part Header</w:t>
            </w:r>
          </w:p>
        </w:tc>
        <w:tc>
          <w:tcPr>
            <w:tcW w:w="3181" w:type="dxa"/>
            <w:tcBorders>
              <w:top w:val="nil"/>
              <w:left w:val="nil"/>
              <w:bottom w:val="nil"/>
              <w:right w:val="nil"/>
            </w:tcBorders>
            <w:tcMar>
              <w:top w:w="-1" w:type="dxa"/>
              <w:left w:w="-1" w:type="dxa"/>
              <w:bottom w:w="-1" w:type="dxa"/>
              <w:right w:w="-1" w:type="dxa"/>
            </w:tcMar>
            <w:vAlign w:val="center"/>
          </w:tcPr>
          <w:p w14:paraId="76F640EA">
            <w:pPr>
              <w:snapToGrid w:val="0"/>
              <w:jc w:val="center"/>
              <w:rPr>
                <w:rFonts w:ascii="宋体"/>
                <w:sz w:val="24"/>
              </w:rPr>
            </w:pPr>
            <w:r>
              <w:rPr>
                <w:rFonts w:ascii="宋体" w:hAnsi="宋体"/>
                <w:sz w:val="24"/>
              </w:rPr>
              <w:t>缺失合法头格式，验证 header parser</w:t>
            </w:r>
          </w:p>
        </w:tc>
        <w:tc>
          <w:tcPr>
            <w:tcW w:w="0" w:type="auto"/>
            <w:tcBorders>
              <w:top w:val="nil"/>
              <w:left w:val="nil"/>
              <w:bottom w:val="nil"/>
              <w:right w:val="nil"/>
            </w:tcBorders>
            <w:tcMar>
              <w:top w:w="-1" w:type="dxa"/>
              <w:left w:w="-1" w:type="dxa"/>
              <w:bottom w:w="-1" w:type="dxa"/>
              <w:right w:w="-1" w:type="dxa"/>
            </w:tcMar>
            <w:vAlign w:val="center"/>
          </w:tcPr>
          <w:p w14:paraId="602554A8">
            <w:pPr>
              <w:snapToGrid w:val="0"/>
              <w:jc w:val="center"/>
              <w:rPr>
                <w:rFonts w:ascii="宋体"/>
                <w:sz w:val="24"/>
              </w:rPr>
            </w:pPr>
            <w:r>
              <w:rPr>
                <w:rFonts w:ascii="宋体" w:hAnsi="宋体"/>
                <w:sz w:val="24"/>
              </w:rPr>
              <w:t>multipart header 解析</w:t>
            </w:r>
          </w:p>
        </w:tc>
        <w:tc>
          <w:tcPr>
            <w:tcW w:w="1464" w:type="dxa"/>
            <w:tcBorders>
              <w:top w:val="nil"/>
              <w:left w:val="nil"/>
              <w:bottom w:val="nil"/>
              <w:right w:val="nil"/>
            </w:tcBorders>
            <w:tcMar>
              <w:top w:w="-1" w:type="dxa"/>
              <w:left w:w="-1" w:type="dxa"/>
              <w:bottom w:w="-1" w:type="dxa"/>
              <w:right w:w="-1" w:type="dxa"/>
            </w:tcMar>
            <w:vAlign w:val="center"/>
          </w:tcPr>
          <w:p w14:paraId="132D906B">
            <w:pPr>
              <w:snapToGrid w:val="0"/>
              <w:jc w:val="center"/>
              <w:rPr>
                <w:rFonts w:ascii="宋体"/>
                <w:sz w:val="24"/>
              </w:rPr>
            </w:pPr>
            <w:r>
              <w:rPr>
                <w:rFonts w:ascii="宋体" w:hAnsi="宋体"/>
                <w:sz w:val="24"/>
              </w:rPr>
              <w:t>MIME 结构校验</w:t>
            </w:r>
          </w:p>
        </w:tc>
      </w:tr>
      <w:tr w14:paraId="79F55373">
        <w:tblPrEx>
          <w:tblCellMar>
            <w:top w:w="0" w:type="dxa"/>
            <w:left w:w="108" w:type="dxa"/>
            <w:bottom w:w="0" w:type="dxa"/>
            <w:right w:w="108" w:type="dxa"/>
          </w:tblCellMar>
        </w:tblPrEx>
        <w:trPr>
          <w:jc w:val="center"/>
        </w:trPr>
        <w:tc>
          <w:tcPr>
            <w:tcW w:w="2069" w:type="dxa"/>
            <w:tcBorders>
              <w:top w:val="nil"/>
              <w:left w:val="nil"/>
              <w:bottom w:val="nil"/>
              <w:right w:val="nil"/>
            </w:tcBorders>
            <w:tcMar>
              <w:top w:w="-1" w:type="dxa"/>
              <w:left w:w="-1" w:type="dxa"/>
              <w:bottom w:w="-1" w:type="dxa"/>
              <w:right w:w="-1" w:type="dxa"/>
            </w:tcMar>
            <w:vAlign w:val="center"/>
          </w:tcPr>
          <w:p w14:paraId="5BD8D4DF">
            <w:pPr>
              <w:snapToGrid w:val="0"/>
              <w:jc w:val="center"/>
              <w:rPr>
                <w:rFonts w:ascii="宋体"/>
                <w:sz w:val="24"/>
              </w:rPr>
            </w:pPr>
            <w:r>
              <w:rPr>
                <w:rFonts w:ascii="宋体" w:hAnsi="宋体"/>
                <w:sz w:val="24"/>
              </w:rPr>
              <w:t>Header 空字节注入</w:t>
            </w:r>
          </w:p>
        </w:tc>
        <w:tc>
          <w:tcPr>
            <w:tcW w:w="3181" w:type="dxa"/>
            <w:tcBorders>
              <w:top w:val="nil"/>
              <w:left w:val="nil"/>
              <w:bottom w:val="nil"/>
              <w:right w:val="nil"/>
            </w:tcBorders>
            <w:tcMar>
              <w:top w:w="-1" w:type="dxa"/>
              <w:left w:w="-1" w:type="dxa"/>
              <w:bottom w:w="-1" w:type="dxa"/>
              <w:right w:w="-1" w:type="dxa"/>
            </w:tcMar>
            <w:vAlign w:val="center"/>
          </w:tcPr>
          <w:p w14:paraId="286B58F6">
            <w:pPr>
              <w:snapToGrid w:val="0"/>
              <w:jc w:val="center"/>
              <w:rPr>
                <w:rFonts w:ascii="宋体"/>
                <w:sz w:val="24"/>
              </w:rPr>
            </w:pPr>
            <w:r>
              <w:rPr>
                <w:rFonts w:ascii="宋体" w:hAnsi="宋体"/>
                <w:sz w:val="24"/>
              </w:rPr>
              <w:t>在 part header 中注入 NUL / 控制字符</w:t>
            </w:r>
          </w:p>
        </w:tc>
        <w:tc>
          <w:tcPr>
            <w:tcW w:w="0" w:type="auto"/>
            <w:tcBorders>
              <w:top w:val="nil"/>
              <w:left w:val="nil"/>
              <w:bottom w:val="nil"/>
              <w:right w:val="nil"/>
            </w:tcBorders>
            <w:tcMar>
              <w:top w:w="-1" w:type="dxa"/>
              <w:left w:w="-1" w:type="dxa"/>
              <w:bottom w:w="-1" w:type="dxa"/>
              <w:right w:w="-1" w:type="dxa"/>
            </w:tcMar>
            <w:vAlign w:val="center"/>
          </w:tcPr>
          <w:p w14:paraId="3940A910">
            <w:pPr>
              <w:snapToGrid w:val="0"/>
              <w:jc w:val="center"/>
              <w:rPr>
                <w:rFonts w:ascii="宋体"/>
                <w:sz w:val="24"/>
              </w:rPr>
            </w:pPr>
            <w:r>
              <w:rPr>
                <w:rFonts w:ascii="宋体" w:hAnsi="宋体"/>
                <w:sz w:val="24"/>
              </w:rPr>
              <w:t>multipart header 解析</w:t>
            </w:r>
          </w:p>
        </w:tc>
        <w:tc>
          <w:tcPr>
            <w:tcW w:w="1464" w:type="dxa"/>
            <w:tcBorders>
              <w:top w:val="nil"/>
              <w:left w:val="nil"/>
              <w:bottom w:val="nil"/>
              <w:right w:val="nil"/>
            </w:tcBorders>
            <w:tcMar>
              <w:top w:w="-1" w:type="dxa"/>
              <w:left w:w="-1" w:type="dxa"/>
              <w:bottom w:w="-1" w:type="dxa"/>
              <w:right w:w="-1" w:type="dxa"/>
            </w:tcMar>
            <w:vAlign w:val="center"/>
          </w:tcPr>
          <w:p w14:paraId="00A2A089">
            <w:pPr>
              <w:snapToGrid w:val="0"/>
              <w:jc w:val="center"/>
              <w:rPr>
                <w:rFonts w:ascii="宋体"/>
                <w:sz w:val="24"/>
              </w:rPr>
            </w:pPr>
            <w:r>
              <w:rPr>
                <w:rFonts w:ascii="宋体" w:hAnsi="宋体"/>
                <w:sz w:val="24"/>
              </w:rPr>
              <w:t>MIME 结构校验</w:t>
            </w:r>
          </w:p>
        </w:tc>
      </w:tr>
      <w:tr w14:paraId="0AB2C34A">
        <w:tblPrEx>
          <w:tblCellMar>
            <w:top w:w="0" w:type="dxa"/>
            <w:left w:w="108" w:type="dxa"/>
            <w:bottom w:w="0" w:type="dxa"/>
            <w:right w:w="108" w:type="dxa"/>
          </w:tblCellMar>
        </w:tblPrEx>
        <w:trPr>
          <w:jc w:val="center"/>
        </w:trPr>
        <w:tc>
          <w:tcPr>
            <w:tcW w:w="2069" w:type="dxa"/>
            <w:tcBorders>
              <w:top w:val="nil"/>
              <w:left w:val="nil"/>
              <w:bottom w:val="nil"/>
              <w:right w:val="nil"/>
            </w:tcBorders>
            <w:tcMar>
              <w:top w:w="-1" w:type="dxa"/>
              <w:left w:w="-1" w:type="dxa"/>
              <w:bottom w:w="-1" w:type="dxa"/>
              <w:right w:w="-1" w:type="dxa"/>
            </w:tcMar>
            <w:vAlign w:val="center"/>
          </w:tcPr>
          <w:p w14:paraId="538F5F02">
            <w:pPr>
              <w:snapToGrid w:val="0"/>
              <w:jc w:val="center"/>
              <w:rPr>
                <w:rFonts w:ascii="宋体"/>
                <w:sz w:val="24"/>
              </w:rPr>
            </w:pPr>
            <w:r>
              <w:rPr>
                <w:rFonts w:ascii="宋体" w:hAnsi="宋体"/>
                <w:sz w:val="24"/>
              </w:rPr>
              <w:t>非空 Epilogue</w:t>
            </w:r>
          </w:p>
        </w:tc>
        <w:tc>
          <w:tcPr>
            <w:tcW w:w="3181" w:type="dxa"/>
            <w:tcBorders>
              <w:top w:val="nil"/>
              <w:left w:val="nil"/>
              <w:bottom w:val="nil"/>
              <w:right w:val="nil"/>
            </w:tcBorders>
            <w:tcMar>
              <w:top w:w="-1" w:type="dxa"/>
              <w:left w:w="-1" w:type="dxa"/>
              <w:bottom w:w="-1" w:type="dxa"/>
              <w:right w:w="-1" w:type="dxa"/>
            </w:tcMar>
            <w:vAlign w:val="center"/>
          </w:tcPr>
          <w:p w14:paraId="3E3CBB40">
            <w:pPr>
              <w:snapToGrid w:val="0"/>
              <w:jc w:val="center"/>
              <w:rPr>
                <w:rFonts w:ascii="宋体"/>
                <w:sz w:val="24"/>
              </w:rPr>
            </w:pPr>
            <w:r>
              <w:rPr>
                <w:rFonts w:ascii="宋体" w:hAnsi="宋体"/>
                <w:sz w:val="24"/>
              </w:rPr>
              <w:t>closing boundary 后继续追加垃圾字节</w:t>
            </w:r>
          </w:p>
        </w:tc>
        <w:tc>
          <w:tcPr>
            <w:tcW w:w="0" w:type="auto"/>
            <w:tcBorders>
              <w:top w:val="nil"/>
              <w:left w:val="nil"/>
              <w:bottom w:val="nil"/>
              <w:right w:val="nil"/>
            </w:tcBorders>
            <w:tcMar>
              <w:top w:w="-1" w:type="dxa"/>
              <w:left w:w="-1" w:type="dxa"/>
              <w:bottom w:w="-1" w:type="dxa"/>
              <w:right w:w="-1" w:type="dxa"/>
            </w:tcMar>
            <w:vAlign w:val="center"/>
          </w:tcPr>
          <w:p w14:paraId="3AE852D4">
            <w:pPr>
              <w:snapToGrid w:val="0"/>
              <w:jc w:val="center"/>
              <w:rPr>
                <w:rFonts w:ascii="宋体"/>
                <w:sz w:val="24"/>
              </w:rPr>
            </w:pPr>
            <w:r>
              <w:rPr>
                <w:rFonts w:ascii="宋体" w:hAnsi="宋体"/>
                <w:sz w:val="24"/>
              </w:rPr>
              <w:t>raw multipart 预检</w:t>
            </w:r>
          </w:p>
        </w:tc>
        <w:tc>
          <w:tcPr>
            <w:tcW w:w="1464" w:type="dxa"/>
            <w:tcBorders>
              <w:top w:val="nil"/>
              <w:left w:val="nil"/>
              <w:bottom w:val="nil"/>
              <w:right w:val="nil"/>
            </w:tcBorders>
            <w:tcMar>
              <w:top w:w="-1" w:type="dxa"/>
              <w:left w:w="-1" w:type="dxa"/>
              <w:bottom w:w="-1" w:type="dxa"/>
              <w:right w:w="-1" w:type="dxa"/>
            </w:tcMar>
            <w:vAlign w:val="center"/>
          </w:tcPr>
          <w:p w14:paraId="7DBE5AEA">
            <w:pPr>
              <w:snapToGrid w:val="0"/>
              <w:jc w:val="center"/>
              <w:rPr>
                <w:rFonts w:ascii="宋体"/>
                <w:sz w:val="24"/>
              </w:rPr>
            </w:pPr>
            <w:r>
              <w:rPr>
                <w:rFonts w:ascii="宋体" w:hAnsi="宋体"/>
                <w:sz w:val="24"/>
              </w:rPr>
              <w:t>MIME 结构校验</w:t>
            </w:r>
          </w:p>
        </w:tc>
      </w:tr>
      <w:tr w14:paraId="395098E7">
        <w:tblPrEx>
          <w:tblCellMar>
            <w:top w:w="0" w:type="dxa"/>
            <w:left w:w="108" w:type="dxa"/>
            <w:bottom w:w="0" w:type="dxa"/>
            <w:right w:w="108" w:type="dxa"/>
          </w:tblCellMar>
        </w:tblPrEx>
        <w:trPr>
          <w:jc w:val="center"/>
        </w:trPr>
        <w:tc>
          <w:tcPr>
            <w:tcW w:w="2069" w:type="dxa"/>
            <w:tcBorders>
              <w:top w:val="nil"/>
              <w:left w:val="nil"/>
              <w:bottom w:val="nil"/>
              <w:right w:val="nil"/>
            </w:tcBorders>
            <w:tcMar>
              <w:top w:w="-1" w:type="dxa"/>
              <w:left w:w="-1" w:type="dxa"/>
              <w:bottom w:w="-1" w:type="dxa"/>
              <w:right w:w="-1" w:type="dxa"/>
            </w:tcMar>
            <w:vAlign w:val="center"/>
          </w:tcPr>
          <w:p w14:paraId="06FAA02A">
            <w:pPr>
              <w:snapToGrid w:val="0"/>
              <w:jc w:val="center"/>
              <w:rPr>
                <w:rFonts w:ascii="宋体"/>
                <w:sz w:val="24"/>
              </w:rPr>
            </w:pPr>
            <w:r>
              <w:rPr>
                <w:rFonts w:ascii="宋体" w:hAnsi="宋体"/>
                <w:sz w:val="24"/>
              </w:rPr>
              <w:t>异常 JSON 字符集</w:t>
            </w:r>
          </w:p>
        </w:tc>
        <w:tc>
          <w:tcPr>
            <w:tcW w:w="3181" w:type="dxa"/>
            <w:tcBorders>
              <w:top w:val="nil"/>
              <w:left w:val="nil"/>
              <w:bottom w:val="nil"/>
              <w:right w:val="nil"/>
            </w:tcBorders>
            <w:tcMar>
              <w:top w:w="-1" w:type="dxa"/>
              <w:left w:w="-1" w:type="dxa"/>
              <w:bottom w:w="-1" w:type="dxa"/>
              <w:right w:w="-1" w:type="dxa"/>
            </w:tcMar>
            <w:vAlign w:val="center"/>
          </w:tcPr>
          <w:p w14:paraId="57DF1A29">
            <w:pPr>
              <w:snapToGrid w:val="0"/>
              <w:jc w:val="center"/>
              <w:rPr>
                <w:rFonts w:ascii="宋体"/>
                <w:sz w:val="24"/>
              </w:rPr>
            </w:pPr>
            <w:r>
              <w:rPr>
                <w:rFonts w:ascii="宋体" w:hAnsi="宋体"/>
                <w:sz w:val="24"/>
              </w:rPr>
              <w:t>UTF-16LE 编码结构化元数据，验证严格 UTF-8 约束</w:t>
            </w:r>
          </w:p>
        </w:tc>
        <w:tc>
          <w:tcPr>
            <w:tcW w:w="0" w:type="auto"/>
            <w:tcBorders>
              <w:top w:val="nil"/>
              <w:left w:val="nil"/>
              <w:bottom w:val="nil"/>
              <w:right w:val="nil"/>
            </w:tcBorders>
            <w:tcMar>
              <w:top w:w="-1" w:type="dxa"/>
              <w:left w:w="-1" w:type="dxa"/>
              <w:bottom w:w="-1" w:type="dxa"/>
              <w:right w:w="-1" w:type="dxa"/>
            </w:tcMar>
            <w:vAlign w:val="center"/>
          </w:tcPr>
          <w:p w14:paraId="24FB8BDC">
            <w:pPr>
              <w:snapToGrid w:val="0"/>
              <w:jc w:val="center"/>
              <w:rPr>
                <w:rFonts w:ascii="宋体"/>
                <w:sz w:val="24"/>
              </w:rPr>
            </w:pPr>
            <w:r>
              <w:rPr>
                <w:rFonts w:ascii="宋体" w:hAnsi="宋体"/>
                <w:sz w:val="24"/>
              </w:rPr>
              <w:t>strict UTF-8 JSON 解码</w:t>
            </w:r>
          </w:p>
        </w:tc>
        <w:tc>
          <w:tcPr>
            <w:tcW w:w="1464" w:type="dxa"/>
            <w:tcBorders>
              <w:top w:val="nil"/>
              <w:left w:val="nil"/>
              <w:bottom w:val="nil"/>
              <w:right w:val="nil"/>
            </w:tcBorders>
            <w:tcMar>
              <w:top w:w="-1" w:type="dxa"/>
              <w:left w:w="-1" w:type="dxa"/>
              <w:bottom w:w="-1" w:type="dxa"/>
              <w:right w:w="-1" w:type="dxa"/>
            </w:tcMar>
            <w:vAlign w:val="center"/>
          </w:tcPr>
          <w:p w14:paraId="61313F27">
            <w:pPr>
              <w:snapToGrid w:val="0"/>
              <w:jc w:val="center"/>
              <w:rPr>
                <w:rFonts w:ascii="宋体"/>
                <w:sz w:val="24"/>
              </w:rPr>
            </w:pPr>
            <w:r>
              <w:rPr>
                <w:rFonts w:ascii="宋体" w:hAnsi="宋体"/>
                <w:sz w:val="24"/>
              </w:rPr>
              <w:t>JSON 数值钩子</w:t>
            </w:r>
          </w:p>
        </w:tc>
      </w:tr>
      <w:tr w14:paraId="1884F712">
        <w:tblPrEx>
          <w:tblCellMar>
            <w:top w:w="0" w:type="dxa"/>
            <w:left w:w="108" w:type="dxa"/>
            <w:bottom w:w="0" w:type="dxa"/>
            <w:right w:w="108" w:type="dxa"/>
          </w:tblCellMar>
        </w:tblPrEx>
        <w:trPr>
          <w:jc w:val="center"/>
        </w:trPr>
        <w:tc>
          <w:tcPr>
            <w:tcW w:w="2069" w:type="dxa"/>
            <w:tcBorders>
              <w:top w:val="nil"/>
              <w:left w:val="nil"/>
              <w:bottom w:val="nil"/>
              <w:right w:val="nil"/>
            </w:tcBorders>
            <w:tcMar>
              <w:top w:w="-1" w:type="dxa"/>
              <w:left w:w="-1" w:type="dxa"/>
              <w:bottom w:w="-1" w:type="dxa"/>
              <w:right w:w="-1" w:type="dxa"/>
            </w:tcMar>
            <w:vAlign w:val="center"/>
          </w:tcPr>
          <w:p w14:paraId="6406B8AC">
            <w:pPr>
              <w:snapToGrid w:val="0"/>
              <w:jc w:val="center"/>
              <w:rPr>
                <w:rFonts w:ascii="宋体"/>
                <w:sz w:val="24"/>
              </w:rPr>
            </w:pPr>
            <w:r>
              <w:rPr>
                <w:rFonts w:ascii="宋体" w:hAnsi="宋体"/>
                <w:sz w:val="24"/>
              </w:rPr>
              <w:t>截断请求体</w:t>
            </w:r>
          </w:p>
        </w:tc>
        <w:tc>
          <w:tcPr>
            <w:tcW w:w="3181" w:type="dxa"/>
            <w:tcBorders>
              <w:top w:val="nil"/>
              <w:left w:val="nil"/>
              <w:bottom w:val="nil"/>
              <w:right w:val="nil"/>
            </w:tcBorders>
            <w:tcMar>
              <w:top w:w="-1" w:type="dxa"/>
              <w:left w:w="-1" w:type="dxa"/>
              <w:bottom w:w="-1" w:type="dxa"/>
              <w:right w:w="-1" w:type="dxa"/>
            </w:tcMar>
            <w:vAlign w:val="center"/>
          </w:tcPr>
          <w:p w14:paraId="70E787C2">
            <w:pPr>
              <w:snapToGrid w:val="0"/>
              <w:jc w:val="center"/>
              <w:rPr>
                <w:rFonts w:ascii="宋体"/>
                <w:sz w:val="24"/>
              </w:rPr>
            </w:pPr>
            <w:r>
              <w:rPr>
                <w:rFonts w:ascii="宋体" w:hAnsi="宋体"/>
                <w:sz w:val="24"/>
              </w:rPr>
              <w:t>提前断流，验证 streaming body reader</w:t>
            </w:r>
          </w:p>
        </w:tc>
        <w:tc>
          <w:tcPr>
            <w:tcW w:w="0" w:type="auto"/>
            <w:tcBorders>
              <w:top w:val="nil"/>
              <w:left w:val="nil"/>
              <w:bottom w:val="nil"/>
              <w:right w:val="nil"/>
            </w:tcBorders>
            <w:tcMar>
              <w:top w:w="-1" w:type="dxa"/>
              <w:left w:w="-1" w:type="dxa"/>
              <w:bottom w:w="-1" w:type="dxa"/>
              <w:right w:w="-1" w:type="dxa"/>
            </w:tcMar>
            <w:vAlign w:val="center"/>
          </w:tcPr>
          <w:p w14:paraId="7D4FFF2E">
            <w:pPr>
              <w:snapToGrid w:val="0"/>
              <w:jc w:val="center"/>
              <w:rPr>
                <w:rFonts w:ascii="宋体"/>
                <w:sz w:val="24"/>
              </w:rPr>
            </w:pPr>
            <w:r>
              <w:rPr>
                <w:rFonts w:ascii="宋体" w:hAnsi="宋体"/>
                <w:sz w:val="24"/>
              </w:rPr>
              <w:t>流式 body 读取器</w:t>
            </w:r>
          </w:p>
        </w:tc>
        <w:tc>
          <w:tcPr>
            <w:tcW w:w="1464" w:type="dxa"/>
            <w:tcBorders>
              <w:top w:val="nil"/>
              <w:left w:val="nil"/>
              <w:bottom w:val="nil"/>
              <w:right w:val="nil"/>
            </w:tcBorders>
            <w:tcMar>
              <w:top w:w="-1" w:type="dxa"/>
              <w:left w:w="-1" w:type="dxa"/>
              <w:bottom w:w="-1" w:type="dxa"/>
              <w:right w:w="-1" w:type="dxa"/>
            </w:tcMar>
            <w:vAlign w:val="center"/>
          </w:tcPr>
          <w:p w14:paraId="00FD8286">
            <w:pPr>
              <w:snapToGrid w:val="0"/>
              <w:jc w:val="center"/>
              <w:rPr>
                <w:rFonts w:ascii="宋体"/>
                <w:sz w:val="24"/>
              </w:rPr>
            </w:pPr>
            <w:r>
              <w:rPr>
                <w:rFonts w:ascii="宋体" w:hAnsi="宋体"/>
                <w:sz w:val="24"/>
              </w:rPr>
              <w:t>不适用</w:t>
            </w:r>
          </w:p>
        </w:tc>
      </w:tr>
      <w:tr w14:paraId="738AF206">
        <w:tblPrEx>
          <w:tblCellMar>
            <w:top w:w="0" w:type="dxa"/>
            <w:left w:w="108" w:type="dxa"/>
            <w:bottom w:w="0" w:type="dxa"/>
            <w:right w:w="108" w:type="dxa"/>
          </w:tblCellMar>
        </w:tblPrEx>
        <w:trPr>
          <w:jc w:val="center"/>
        </w:trPr>
        <w:tc>
          <w:tcPr>
            <w:tcW w:w="2069" w:type="dxa"/>
            <w:tcBorders>
              <w:top w:val="nil"/>
              <w:left w:val="nil"/>
              <w:bottom w:val="nil"/>
              <w:right w:val="nil"/>
            </w:tcBorders>
            <w:tcMar>
              <w:top w:w="-1" w:type="dxa"/>
              <w:left w:w="-1" w:type="dxa"/>
              <w:bottom w:w="-1" w:type="dxa"/>
              <w:right w:w="-1" w:type="dxa"/>
            </w:tcMar>
            <w:vAlign w:val="center"/>
          </w:tcPr>
          <w:p w14:paraId="40071D58">
            <w:pPr>
              <w:snapToGrid w:val="0"/>
              <w:jc w:val="center"/>
              <w:rPr>
                <w:rFonts w:ascii="宋体"/>
                <w:sz w:val="24"/>
              </w:rPr>
            </w:pPr>
            <w:r>
              <w:rPr>
                <w:rFonts w:ascii="宋体" w:hAnsi="宋体"/>
                <w:sz w:val="24"/>
              </w:rPr>
              <w:t>重复 Nonce 并发重放</w:t>
            </w:r>
          </w:p>
        </w:tc>
        <w:tc>
          <w:tcPr>
            <w:tcW w:w="3181" w:type="dxa"/>
            <w:tcBorders>
              <w:top w:val="nil"/>
              <w:left w:val="nil"/>
              <w:bottom w:val="nil"/>
              <w:right w:val="nil"/>
            </w:tcBorders>
            <w:tcMar>
              <w:top w:w="-1" w:type="dxa"/>
              <w:left w:w="-1" w:type="dxa"/>
              <w:bottom w:w="-1" w:type="dxa"/>
              <w:right w:w="-1" w:type="dxa"/>
            </w:tcMar>
            <w:vAlign w:val="center"/>
          </w:tcPr>
          <w:p w14:paraId="6BFD99F6">
            <w:pPr>
              <w:snapToGrid w:val="0"/>
              <w:jc w:val="center"/>
              <w:rPr>
                <w:rFonts w:ascii="宋体"/>
                <w:sz w:val="24"/>
              </w:rPr>
            </w:pPr>
            <w:r>
              <w:rPr>
                <w:rFonts w:ascii="宋体" w:hAnsi="宋体"/>
                <w:sz w:val="24"/>
              </w:rPr>
              <w:t>同 nonce 并发多发，验证幂等与重放防护</w:t>
            </w:r>
          </w:p>
        </w:tc>
        <w:tc>
          <w:tcPr>
            <w:tcW w:w="0" w:type="auto"/>
            <w:tcBorders>
              <w:top w:val="nil"/>
              <w:left w:val="nil"/>
              <w:bottom w:val="nil"/>
              <w:right w:val="nil"/>
            </w:tcBorders>
            <w:tcMar>
              <w:top w:w="-1" w:type="dxa"/>
              <w:left w:w="-1" w:type="dxa"/>
              <w:bottom w:w="-1" w:type="dxa"/>
              <w:right w:w="-1" w:type="dxa"/>
            </w:tcMar>
            <w:vAlign w:val="center"/>
          </w:tcPr>
          <w:p w14:paraId="7B08648E">
            <w:pPr>
              <w:snapToGrid w:val="0"/>
              <w:jc w:val="center"/>
              <w:rPr>
                <w:rFonts w:ascii="宋体"/>
                <w:sz w:val="24"/>
              </w:rPr>
            </w:pPr>
            <w:r>
              <w:rPr>
                <w:rFonts w:ascii="宋体" w:hAnsi="宋体"/>
                <w:sz w:val="24"/>
              </w:rPr>
              <w:t>Nonce 重放缓存门</w:t>
            </w:r>
          </w:p>
        </w:tc>
        <w:tc>
          <w:tcPr>
            <w:tcW w:w="1464" w:type="dxa"/>
            <w:tcBorders>
              <w:top w:val="nil"/>
              <w:left w:val="nil"/>
              <w:bottom w:val="nil"/>
              <w:right w:val="nil"/>
            </w:tcBorders>
            <w:tcMar>
              <w:top w:w="-1" w:type="dxa"/>
              <w:left w:w="-1" w:type="dxa"/>
              <w:bottom w:w="-1" w:type="dxa"/>
              <w:right w:w="-1" w:type="dxa"/>
            </w:tcMar>
            <w:vAlign w:val="center"/>
          </w:tcPr>
          <w:p w14:paraId="0C0694E6">
            <w:pPr>
              <w:snapToGrid w:val="0"/>
              <w:jc w:val="center"/>
              <w:rPr>
                <w:rFonts w:ascii="宋体"/>
                <w:sz w:val="24"/>
              </w:rPr>
            </w:pPr>
            <w:r>
              <w:rPr>
                <w:rFonts w:ascii="宋体" w:hAnsi="宋体"/>
                <w:sz w:val="24"/>
              </w:rPr>
              <w:t>payload 指纹去重门</w:t>
            </w:r>
          </w:p>
        </w:tc>
      </w:tr>
      <w:tr w14:paraId="32883413">
        <w:tblPrEx>
          <w:tblCellMar>
            <w:top w:w="0" w:type="dxa"/>
            <w:left w:w="108" w:type="dxa"/>
            <w:bottom w:w="0" w:type="dxa"/>
            <w:right w:w="108" w:type="dxa"/>
          </w:tblCellMar>
        </w:tblPrEx>
        <w:trPr>
          <w:jc w:val="center"/>
        </w:trPr>
        <w:tc>
          <w:tcPr>
            <w:tcW w:w="2069" w:type="dxa"/>
            <w:tcBorders>
              <w:top w:val="nil"/>
              <w:left w:val="nil"/>
              <w:bottom w:val="nil"/>
              <w:right w:val="nil"/>
            </w:tcBorders>
            <w:tcMar>
              <w:top w:w="-1" w:type="dxa"/>
              <w:left w:w="-1" w:type="dxa"/>
              <w:bottom w:w="-1" w:type="dxa"/>
              <w:right w:w="-1" w:type="dxa"/>
            </w:tcMar>
            <w:vAlign w:val="center"/>
          </w:tcPr>
          <w:p w14:paraId="3473D268">
            <w:pPr>
              <w:snapToGrid w:val="0"/>
              <w:jc w:val="center"/>
              <w:rPr>
                <w:rFonts w:ascii="宋体"/>
                <w:sz w:val="24"/>
              </w:rPr>
            </w:pPr>
            <w:r>
              <w:rPr>
                <w:rFonts w:ascii="宋体" w:hAnsi="宋体"/>
                <w:sz w:val="24"/>
              </w:rPr>
              <w:t>同载荷换 Nonce</w:t>
            </w:r>
          </w:p>
        </w:tc>
        <w:tc>
          <w:tcPr>
            <w:tcW w:w="3181" w:type="dxa"/>
            <w:tcBorders>
              <w:top w:val="nil"/>
              <w:left w:val="nil"/>
              <w:bottom w:val="nil"/>
              <w:right w:val="nil"/>
            </w:tcBorders>
            <w:tcMar>
              <w:top w:w="-1" w:type="dxa"/>
              <w:left w:w="-1" w:type="dxa"/>
              <w:bottom w:w="-1" w:type="dxa"/>
              <w:right w:w="-1" w:type="dxa"/>
            </w:tcMar>
            <w:vAlign w:val="center"/>
          </w:tcPr>
          <w:p w14:paraId="5A5BADEE">
            <w:pPr>
              <w:snapToGrid w:val="0"/>
              <w:jc w:val="center"/>
              <w:rPr>
                <w:rFonts w:ascii="宋体"/>
                <w:sz w:val="24"/>
              </w:rPr>
            </w:pPr>
            <w:r>
              <w:rPr>
                <w:rFonts w:ascii="宋体" w:hAnsi="宋体"/>
                <w:sz w:val="24"/>
              </w:rPr>
              <w:t>相同 share 指纹 + 新 nonce，验证 payload 去重</w:t>
            </w:r>
          </w:p>
        </w:tc>
        <w:tc>
          <w:tcPr>
            <w:tcW w:w="0" w:type="auto"/>
            <w:tcBorders>
              <w:top w:val="nil"/>
              <w:left w:val="nil"/>
              <w:bottom w:val="nil"/>
              <w:right w:val="nil"/>
            </w:tcBorders>
            <w:tcMar>
              <w:top w:w="-1" w:type="dxa"/>
              <w:left w:w="-1" w:type="dxa"/>
              <w:bottom w:w="-1" w:type="dxa"/>
              <w:right w:w="-1" w:type="dxa"/>
            </w:tcMar>
            <w:vAlign w:val="center"/>
          </w:tcPr>
          <w:p w14:paraId="0A2C6E9D">
            <w:pPr>
              <w:snapToGrid w:val="0"/>
              <w:jc w:val="center"/>
              <w:rPr>
                <w:rFonts w:ascii="宋体"/>
                <w:sz w:val="24"/>
              </w:rPr>
            </w:pPr>
            <w:r>
              <w:rPr>
                <w:rFonts w:ascii="宋体" w:hAnsi="宋体"/>
                <w:sz w:val="24"/>
              </w:rPr>
              <w:t>载荷重放缓存门</w:t>
            </w:r>
          </w:p>
        </w:tc>
        <w:tc>
          <w:tcPr>
            <w:tcW w:w="1464" w:type="dxa"/>
            <w:tcBorders>
              <w:top w:val="nil"/>
              <w:left w:val="nil"/>
              <w:bottom w:val="nil"/>
              <w:right w:val="nil"/>
            </w:tcBorders>
            <w:tcMar>
              <w:top w:w="-1" w:type="dxa"/>
              <w:left w:w="-1" w:type="dxa"/>
              <w:bottom w:w="-1" w:type="dxa"/>
              <w:right w:w="-1" w:type="dxa"/>
            </w:tcMar>
            <w:vAlign w:val="center"/>
          </w:tcPr>
          <w:p w14:paraId="659C26C5">
            <w:pPr>
              <w:snapToGrid w:val="0"/>
              <w:jc w:val="center"/>
              <w:rPr>
                <w:rFonts w:ascii="宋体"/>
                <w:sz w:val="24"/>
              </w:rPr>
            </w:pPr>
            <w:r>
              <w:rPr>
                <w:rFonts w:ascii="宋体" w:hAnsi="宋体"/>
                <w:sz w:val="24"/>
              </w:rPr>
              <w:t>IP inflight 配额门</w:t>
            </w:r>
          </w:p>
        </w:tc>
      </w:tr>
      <w:tr w14:paraId="1703A0F6">
        <w:tblPrEx>
          <w:tblCellMar>
            <w:top w:w="0" w:type="dxa"/>
            <w:left w:w="108" w:type="dxa"/>
            <w:bottom w:w="0" w:type="dxa"/>
            <w:right w:w="108" w:type="dxa"/>
          </w:tblCellMar>
        </w:tblPrEx>
        <w:trPr>
          <w:jc w:val="center"/>
        </w:trPr>
        <w:tc>
          <w:tcPr>
            <w:tcW w:w="2069" w:type="dxa"/>
            <w:tcBorders>
              <w:top w:val="nil"/>
              <w:left w:val="nil"/>
              <w:bottom w:val="nil"/>
              <w:right w:val="nil"/>
            </w:tcBorders>
            <w:tcMar>
              <w:top w:w="-1" w:type="dxa"/>
              <w:left w:w="-1" w:type="dxa"/>
              <w:bottom w:w="-1" w:type="dxa"/>
              <w:right w:w="-1" w:type="dxa"/>
            </w:tcMar>
            <w:vAlign w:val="center"/>
          </w:tcPr>
          <w:p w14:paraId="2E4294F2">
            <w:pPr>
              <w:snapToGrid w:val="0"/>
              <w:jc w:val="center"/>
              <w:rPr>
                <w:rFonts w:ascii="宋体"/>
                <w:sz w:val="24"/>
              </w:rPr>
            </w:pPr>
            <w:r>
              <w:rPr>
                <w:rFonts w:ascii="宋体" w:hAnsi="宋体"/>
                <w:sz w:val="24"/>
              </w:rPr>
              <w:t>同 IP 并发占满</w:t>
            </w:r>
          </w:p>
        </w:tc>
        <w:tc>
          <w:tcPr>
            <w:tcW w:w="3181" w:type="dxa"/>
            <w:tcBorders>
              <w:top w:val="nil"/>
              <w:left w:val="nil"/>
              <w:bottom w:val="nil"/>
              <w:right w:val="nil"/>
            </w:tcBorders>
            <w:tcMar>
              <w:top w:w="-1" w:type="dxa"/>
              <w:left w:w="-1" w:type="dxa"/>
              <w:bottom w:w="-1" w:type="dxa"/>
              <w:right w:w="-1" w:type="dxa"/>
            </w:tcMar>
            <w:vAlign w:val="center"/>
          </w:tcPr>
          <w:p w14:paraId="4B58CBCC">
            <w:pPr>
              <w:snapToGrid w:val="0"/>
              <w:jc w:val="center"/>
              <w:rPr>
                <w:rFonts w:ascii="宋体"/>
                <w:sz w:val="24"/>
              </w:rPr>
            </w:pPr>
            <w:r>
              <w:rPr>
                <w:rFonts w:ascii="宋体" w:hAnsi="宋体"/>
                <w:sz w:val="24"/>
              </w:rPr>
              <w:t>单一来源地址并发冲击已通过前置校验的执行配额</w:t>
            </w:r>
          </w:p>
        </w:tc>
        <w:tc>
          <w:tcPr>
            <w:tcW w:w="0" w:type="auto"/>
            <w:tcBorders>
              <w:top w:val="nil"/>
              <w:left w:val="nil"/>
              <w:bottom w:val="nil"/>
              <w:right w:val="nil"/>
            </w:tcBorders>
            <w:tcMar>
              <w:top w:w="-1" w:type="dxa"/>
              <w:left w:w="-1" w:type="dxa"/>
              <w:bottom w:w="-1" w:type="dxa"/>
              <w:right w:w="-1" w:type="dxa"/>
            </w:tcMar>
            <w:vAlign w:val="center"/>
          </w:tcPr>
          <w:p w14:paraId="288F40AE">
            <w:pPr>
              <w:snapToGrid w:val="0"/>
              <w:jc w:val="center"/>
              <w:rPr>
                <w:rFonts w:ascii="宋体"/>
                <w:sz w:val="24"/>
              </w:rPr>
            </w:pPr>
            <w:r>
              <w:rPr>
                <w:rFonts w:ascii="宋体" w:hAnsi="宋体"/>
                <w:sz w:val="24"/>
              </w:rPr>
              <w:t>单 IP inflight 守卫</w:t>
            </w:r>
          </w:p>
        </w:tc>
        <w:tc>
          <w:tcPr>
            <w:tcW w:w="1464" w:type="dxa"/>
            <w:tcBorders>
              <w:top w:val="nil"/>
              <w:left w:val="nil"/>
              <w:bottom w:val="nil"/>
              <w:right w:val="nil"/>
            </w:tcBorders>
            <w:tcMar>
              <w:top w:w="-1" w:type="dxa"/>
              <w:left w:w="-1" w:type="dxa"/>
              <w:bottom w:w="-1" w:type="dxa"/>
              <w:right w:w="-1" w:type="dxa"/>
            </w:tcMar>
            <w:vAlign w:val="center"/>
          </w:tcPr>
          <w:p w14:paraId="1AB11873">
            <w:pPr>
              <w:snapToGrid w:val="0"/>
              <w:jc w:val="center"/>
              <w:rPr>
                <w:rFonts w:ascii="宋体"/>
                <w:sz w:val="24"/>
              </w:rPr>
            </w:pPr>
            <w:r>
              <w:rPr>
                <w:rFonts w:ascii="宋体" w:hAnsi="宋体"/>
                <w:sz w:val="24"/>
              </w:rPr>
              <w:t>全局 inflight 守卫</w:t>
            </w:r>
          </w:p>
        </w:tc>
      </w:tr>
      <w:tr w14:paraId="49EC4033">
        <w:tblPrEx>
          <w:tblCellMar>
            <w:top w:w="0" w:type="dxa"/>
            <w:left w:w="108" w:type="dxa"/>
            <w:bottom w:w="0" w:type="dxa"/>
            <w:right w:w="108" w:type="dxa"/>
          </w:tblCellMar>
        </w:tblPrEx>
        <w:trPr>
          <w:jc w:val="center"/>
        </w:trPr>
        <w:tc>
          <w:tcPr>
            <w:tcW w:w="2069" w:type="dxa"/>
            <w:tcBorders>
              <w:top w:val="nil"/>
              <w:left w:val="nil"/>
              <w:bottom w:val="single" w:color="auto" w:sz="12" w:space="0"/>
              <w:right w:val="nil"/>
            </w:tcBorders>
            <w:tcMar>
              <w:top w:w="-1" w:type="dxa"/>
              <w:left w:w="-1" w:type="dxa"/>
              <w:bottom w:w="-1" w:type="dxa"/>
              <w:right w:w="-1" w:type="dxa"/>
            </w:tcMar>
            <w:vAlign w:val="center"/>
          </w:tcPr>
          <w:p w14:paraId="0142C527">
            <w:pPr>
              <w:snapToGrid w:val="0"/>
              <w:jc w:val="center"/>
              <w:rPr>
                <w:rFonts w:ascii="宋体"/>
                <w:sz w:val="24"/>
              </w:rPr>
            </w:pPr>
            <w:r>
              <w:rPr>
                <w:rFonts w:ascii="宋体" w:hAnsi="宋体"/>
                <w:sz w:val="24"/>
              </w:rPr>
              <w:t>短窗限频</w:t>
            </w:r>
          </w:p>
        </w:tc>
        <w:tc>
          <w:tcPr>
            <w:tcW w:w="3181" w:type="dxa"/>
            <w:tcBorders>
              <w:top w:val="nil"/>
              <w:left w:val="nil"/>
              <w:bottom w:val="single" w:color="auto" w:sz="12" w:space="0"/>
              <w:right w:val="nil"/>
            </w:tcBorders>
            <w:tcMar>
              <w:top w:w="-1" w:type="dxa"/>
              <w:left w:w="-1" w:type="dxa"/>
              <w:bottom w:w="-1" w:type="dxa"/>
              <w:right w:w="-1" w:type="dxa"/>
            </w:tcMar>
            <w:vAlign w:val="center"/>
          </w:tcPr>
          <w:p w14:paraId="79921D17">
            <w:pPr>
              <w:snapToGrid w:val="0"/>
              <w:jc w:val="center"/>
              <w:rPr>
                <w:rFonts w:ascii="宋体"/>
                <w:sz w:val="24"/>
              </w:rPr>
            </w:pPr>
            <w:r>
              <w:rPr>
                <w:rFonts w:ascii="宋体" w:hAnsi="宋体"/>
                <w:sz w:val="24"/>
              </w:rPr>
              <w:t>同 IP 短时间空载请求探测限流门</w:t>
            </w:r>
          </w:p>
        </w:tc>
        <w:tc>
          <w:tcPr>
            <w:tcW w:w="2106" w:type="dxa"/>
            <w:tcBorders>
              <w:top w:val="nil"/>
              <w:left w:val="nil"/>
              <w:bottom w:val="single" w:color="auto" w:sz="12" w:space="0"/>
              <w:right w:val="nil"/>
            </w:tcBorders>
            <w:tcMar>
              <w:top w:w="-1" w:type="dxa"/>
              <w:left w:w="-1" w:type="dxa"/>
              <w:bottom w:w="-1" w:type="dxa"/>
              <w:right w:w="-1" w:type="dxa"/>
            </w:tcMar>
            <w:vAlign w:val="center"/>
          </w:tcPr>
          <w:p w14:paraId="7572F6D6">
            <w:pPr>
              <w:snapToGrid w:val="0"/>
              <w:jc w:val="center"/>
              <w:rPr>
                <w:rFonts w:ascii="宋体"/>
                <w:sz w:val="24"/>
              </w:rPr>
            </w:pPr>
            <w:r>
              <w:rPr>
                <w:rFonts w:ascii="宋体" w:hAnsi="宋体"/>
                <w:sz w:val="24"/>
              </w:rPr>
              <w:t>IP 滑动窗口限频</w:t>
            </w:r>
          </w:p>
        </w:tc>
        <w:tc>
          <w:tcPr>
            <w:tcW w:w="1464" w:type="dxa"/>
            <w:tcBorders>
              <w:top w:val="nil"/>
              <w:left w:val="nil"/>
              <w:bottom w:val="single" w:color="auto" w:sz="12" w:space="0"/>
              <w:right w:val="nil"/>
            </w:tcBorders>
            <w:tcMar>
              <w:top w:w="-1" w:type="dxa"/>
              <w:left w:w="-1" w:type="dxa"/>
              <w:bottom w:w="-1" w:type="dxa"/>
              <w:right w:w="-1" w:type="dxa"/>
            </w:tcMar>
            <w:vAlign w:val="center"/>
          </w:tcPr>
          <w:p w14:paraId="5674624E">
            <w:pPr>
              <w:snapToGrid w:val="0"/>
              <w:jc w:val="center"/>
              <w:rPr>
                <w:rFonts w:ascii="宋体"/>
                <w:sz w:val="24"/>
              </w:rPr>
            </w:pPr>
            <w:r>
              <w:rPr>
                <w:rFonts w:ascii="宋体" w:hAnsi="宋体"/>
                <w:sz w:val="24"/>
              </w:rPr>
              <w:t>不适用</w:t>
            </w:r>
          </w:p>
        </w:tc>
      </w:tr>
    </w:tbl>
    <w:p w14:paraId="3063E051">
      <w:pPr>
        <w:spacing w:line="360" w:lineRule="auto"/>
        <w:jc w:val="center"/>
      </w:pPr>
      <w:r>
        <w:rPr>
          <w:rFonts w:ascii="宋体" w:hAnsi="宋体"/>
          <w:sz w:val="22"/>
        </w:rPr>
        <w:t>表</w:t>
      </w:r>
      <w:r>
        <w:rPr>
          <w:rFonts w:hint="eastAsia" w:ascii="宋体" w:hAnsi="宋体"/>
          <w:sz w:val="22"/>
        </w:rPr>
        <w:t>1</w:t>
      </w:r>
      <w:r>
        <w:rPr>
          <w:rFonts w:hint="eastAsia" w:ascii="宋体" w:hAnsi="宋体"/>
          <w:sz w:val="22"/>
          <w:lang w:val="en-US" w:eastAsia="zh-CN"/>
        </w:rPr>
        <w:t>3</w:t>
      </w:r>
      <w:r>
        <w:rPr>
          <w:rFonts w:hint="eastAsia" w:ascii="宋体" w:hAnsi="宋体"/>
          <w:sz w:val="22"/>
        </w:rPr>
        <w:t xml:space="preserve"> </w:t>
      </w:r>
      <w:r>
        <w:rPr>
          <w:rFonts w:ascii="宋体" w:hAnsi="宋体" w:cs="宋体"/>
          <w:sz w:val="24"/>
        </w:rPr>
        <w:t>异常场景返回处置与系统状态明细（下）</w:t>
      </w:r>
    </w:p>
    <w:tbl>
      <w:tblPr>
        <w:tblStyle w:val="7"/>
        <w:tblW w:w="5174" w:type="pct"/>
        <w:jc w:val="center"/>
        <w:tblLayout w:type="fixed"/>
        <w:tblCellMar>
          <w:top w:w="0" w:type="dxa"/>
          <w:left w:w="108" w:type="dxa"/>
          <w:bottom w:w="0" w:type="dxa"/>
          <w:right w:w="108" w:type="dxa"/>
        </w:tblCellMar>
      </w:tblPr>
      <w:tblGrid>
        <w:gridCol w:w="1546"/>
        <w:gridCol w:w="3486"/>
        <w:gridCol w:w="2218"/>
        <w:gridCol w:w="2100"/>
      </w:tblGrid>
      <w:tr w14:paraId="41550182">
        <w:tblPrEx>
          <w:tblCellMar>
            <w:top w:w="0" w:type="dxa"/>
            <w:left w:w="108" w:type="dxa"/>
            <w:bottom w:w="0" w:type="dxa"/>
            <w:right w:w="108" w:type="dxa"/>
          </w:tblCellMar>
        </w:tblPrEx>
        <w:trPr>
          <w:tblHeader/>
          <w:jc w:val="center"/>
        </w:trPr>
        <w:tc>
          <w:tcPr>
            <w:tcW w:w="827" w:type="pct"/>
            <w:tcBorders>
              <w:top w:val="single" w:color="auto" w:sz="12" w:space="0"/>
              <w:left w:val="nil"/>
              <w:bottom w:val="nil"/>
              <w:right w:val="nil"/>
            </w:tcBorders>
            <w:tcMar>
              <w:top w:w="-1" w:type="dxa"/>
              <w:left w:w="-1" w:type="dxa"/>
              <w:bottom w:w="-1" w:type="dxa"/>
              <w:right w:w="-1" w:type="dxa"/>
            </w:tcMar>
            <w:vAlign w:val="center"/>
          </w:tcPr>
          <w:p w14:paraId="02A14451">
            <w:pPr>
              <w:snapToGrid w:val="0"/>
              <w:jc w:val="center"/>
              <w:rPr>
                <w:rFonts w:ascii="宋体"/>
                <w:b/>
                <w:sz w:val="24"/>
              </w:rPr>
            </w:pPr>
            <w:r>
              <w:rPr>
                <w:rFonts w:ascii="宋体" w:hAnsi="宋体"/>
                <w:b/>
                <w:sz w:val="24"/>
              </w:rPr>
              <w:t>异常场景</w:t>
            </w:r>
          </w:p>
        </w:tc>
        <w:tc>
          <w:tcPr>
            <w:tcW w:w="1863" w:type="pct"/>
            <w:tcBorders>
              <w:top w:val="single" w:color="auto" w:sz="12" w:space="0"/>
              <w:left w:val="nil"/>
              <w:bottom w:val="nil"/>
              <w:right w:val="nil"/>
            </w:tcBorders>
            <w:tcMar>
              <w:top w:w="-1" w:type="dxa"/>
              <w:left w:w="-1" w:type="dxa"/>
              <w:bottom w:w="-1" w:type="dxa"/>
              <w:right w:w="-1" w:type="dxa"/>
            </w:tcMar>
            <w:vAlign w:val="center"/>
          </w:tcPr>
          <w:p w14:paraId="7FC69670">
            <w:pPr>
              <w:snapToGrid w:val="0"/>
              <w:jc w:val="center"/>
              <w:rPr>
                <w:rFonts w:ascii="宋体"/>
                <w:b/>
                <w:sz w:val="24"/>
              </w:rPr>
            </w:pPr>
            <w:r>
              <w:rPr>
                <w:rFonts w:ascii="宋体" w:hAnsi="宋体"/>
                <w:b/>
                <w:sz w:val="24"/>
              </w:rPr>
              <w:t>返回/处置</w:t>
            </w:r>
          </w:p>
        </w:tc>
        <w:tc>
          <w:tcPr>
            <w:tcW w:w="1185" w:type="pct"/>
            <w:tcBorders>
              <w:top w:val="single" w:color="auto" w:sz="12" w:space="0"/>
              <w:left w:val="nil"/>
              <w:bottom w:val="nil"/>
              <w:right w:val="nil"/>
            </w:tcBorders>
            <w:tcMar>
              <w:top w:w="-1" w:type="dxa"/>
              <w:left w:w="-1" w:type="dxa"/>
              <w:bottom w:w="-1" w:type="dxa"/>
              <w:right w:w="-1" w:type="dxa"/>
            </w:tcMar>
            <w:vAlign w:val="center"/>
          </w:tcPr>
          <w:p w14:paraId="00863DAE">
            <w:pPr>
              <w:snapToGrid w:val="0"/>
              <w:jc w:val="center"/>
              <w:rPr>
                <w:rFonts w:ascii="宋体"/>
                <w:b/>
                <w:sz w:val="24"/>
              </w:rPr>
            </w:pPr>
            <w:r>
              <w:rPr>
                <w:rFonts w:ascii="宋体" w:hAnsi="宋体"/>
                <w:b/>
                <w:sz w:val="24"/>
              </w:rPr>
              <w:t>系统状态</w:t>
            </w:r>
          </w:p>
        </w:tc>
        <w:tc>
          <w:tcPr>
            <w:tcW w:w="1122" w:type="pct"/>
            <w:tcBorders>
              <w:top w:val="single" w:color="auto" w:sz="12" w:space="0"/>
              <w:left w:val="nil"/>
              <w:bottom w:val="nil"/>
              <w:right w:val="nil"/>
            </w:tcBorders>
            <w:tcMar>
              <w:top w:w="-1" w:type="dxa"/>
              <w:left w:w="-1" w:type="dxa"/>
              <w:bottom w:w="-1" w:type="dxa"/>
              <w:right w:w="-1" w:type="dxa"/>
            </w:tcMar>
            <w:vAlign w:val="center"/>
          </w:tcPr>
          <w:p w14:paraId="38F8F17C">
            <w:pPr>
              <w:snapToGrid w:val="0"/>
              <w:jc w:val="center"/>
              <w:rPr>
                <w:rFonts w:ascii="宋体"/>
                <w:b/>
                <w:sz w:val="24"/>
              </w:rPr>
            </w:pPr>
            <w:r>
              <w:rPr>
                <w:rFonts w:ascii="宋体" w:hAnsi="宋体"/>
                <w:b/>
                <w:sz w:val="24"/>
              </w:rPr>
              <w:t>证据来源</w:t>
            </w:r>
          </w:p>
        </w:tc>
      </w:tr>
      <w:tr w14:paraId="33AA957D">
        <w:tblPrEx>
          <w:tblCellMar>
            <w:top w:w="0" w:type="dxa"/>
            <w:left w:w="108" w:type="dxa"/>
            <w:bottom w:w="0" w:type="dxa"/>
            <w:right w:w="108" w:type="dxa"/>
          </w:tblCellMar>
        </w:tblPrEx>
        <w:trPr>
          <w:jc w:val="center"/>
        </w:trPr>
        <w:tc>
          <w:tcPr>
            <w:tcW w:w="827" w:type="pct"/>
            <w:tcBorders>
              <w:top w:val="single" w:color="auto" w:sz="4" w:space="0"/>
              <w:left w:val="nil"/>
              <w:bottom w:val="nil"/>
              <w:right w:val="nil"/>
            </w:tcBorders>
            <w:tcMar>
              <w:top w:w="-1" w:type="dxa"/>
              <w:left w:w="-1" w:type="dxa"/>
              <w:bottom w:w="-1" w:type="dxa"/>
              <w:right w:w="-1" w:type="dxa"/>
            </w:tcMar>
            <w:vAlign w:val="center"/>
          </w:tcPr>
          <w:p w14:paraId="7527A6E6">
            <w:pPr>
              <w:snapToGrid w:val="0"/>
              <w:jc w:val="center"/>
              <w:rPr>
                <w:rFonts w:ascii="宋体"/>
                <w:sz w:val="24"/>
              </w:rPr>
            </w:pPr>
            <w:r>
              <w:rPr>
                <w:rFonts w:ascii="宋体" w:hAnsi="宋体"/>
                <w:sz w:val="24"/>
              </w:rPr>
              <w:t>Chunked 编码绕过</w:t>
            </w:r>
          </w:p>
        </w:tc>
        <w:tc>
          <w:tcPr>
            <w:tcW w:w="1863" w:type="pct"/>
            <w:tcBorders>
              <w:top w:val="single" w:color="auto" w:sz="4" w:space="0"/>
              <w:left w:val="nil"/>
              <w:bottom w:val="nil"/>
              <w:right w:val="nil"/>
            </w:tcBorders>
            <w:tcMar>
              <w:top w:w="-1" w:type="dxa"/>
              <w:left w:w="-1" w:type="dxa"/>
              <w:bottom w:w="-1" w:type="dxa"/>
              <w:right w:w="-1" w:type="dxa"/>
            </w:tcMar>
            <w:vAlign w:val="center"/>
          </w:tcPr>
          <w:p w14:paraId="0D3ABB1F">
            <w:pPr>
              <w:snapToGrid w:val="0"/>
              <w:jc w:val="center"/>
              <w:rPr>
                <w:rFonts w:ascii="宋体"/>
                <w:sz w:val="24"/>
              </w:rPr>
            </w:pPr>
            <w:r>
              <w:rPr>
                <w:rFonts w:ascii="宋体" w:hAnsi="宋体"/>
                <w:sz w:val="24"/>
              </w:rPr>
              <w:t>HTTP 400 / transfer_encoding_not_supported</w:t>
            </w:r>
          </w:p>
        </w:tc>
        <w:tc>
          <w:tcPr>
            <w:tcW w:w="1185" w:type="pct"/>
            <w:tcBorders>
              <w:top w:val="single" w:color="auto" w:sz="4" w:space="0"/>
              <w:left w:val="nil"/>
              <w:bottom w:val="nil"/>
              <w:right w:val="nil"/>
            </w:tcBorders>
            <w:tcMar>
              <w:top w:w="-1" w:type="dxa"/>
              <w:left w:w="-1" w:type="dxa"/>
              <w:bottom w:w="-1" w:type="dxa"/>
              <w:right w:w="-1" w:type="dxa"/>
            </w:tcMar>
            <w:vAlign w:val="center"/>
          </w:tcPr>
          <w:p w14:paraId="21294797">
            <w:pPr>
              <w:snapToGrid w:val="0"/>
              <w:jc w:val="center"/>
              <w:rPr>
                <w:rFonts w:ascii="宋体"/>
                <w:sz w:val="24"/>
              </w:rPr>
            </w:pPr>
            <m:oMath>
              <m:r>
                <m:rPr/>
                <w:rPr>
                  <w:rFonts w:ascii="Cambria Math" w:hAnsi="Cambria Math"/>
                  <w:sz w:val="24"/>
                </w:rPr>
                <m:t>ΔFD=+0</m:t>
              </m:r>
            </m:oMath>
            <w:r>
              <w:rPr>
                <w:rFonts w:ascii="宋体" w:hAnsi="宋体"/>
                <w:sz w:val="24"/>
              </w:rPr>
              <w:t>；</w:t>
            </w:r>
            <m:oMath>
              <m:r>
                <m:rPr/>
                <w:rPr>
                  <w:rFonts w:ascii="Cambria Math" w:hAnsi="Cambria Math"/>
                  <w:sz w:val="24"/>
                </w:rPr>
                <m:t>ΔSock=+0</m:t>
              </m:r>
            </m:oMath>
            <w:r>
              <w:rPr>
                <w:rFonts w:ascii="宋体" w:hAnsi="宋体"/>
                <w:sz w:val="24"/>
              </w:rPr>
              <w:t>；</w:t>
            </w:r>
            <m:oMath>
              <m:r>
                <m:rPr/>
                <w:rPr>
                  <w:rFonts w:ascii="Cambria Math" w:hAnsi="Cambria Math"/>
                  <w:sz w:val="24"/>
                </w:rPr>
                <m:t>ΔRSS=+0</m:t>
              </m:r>
            </m:oMath>
            <w:r>
              <w:rPr>
                <w:rFonts w:ascii="宋体" w:hAnsi="宋体"/>
                <w:sz w:val="24"/>
              </w:rPr>
              <w:t>KiB；</w:t>
            </w:r>
            <m:oMath>
              <m:r>
                <m:rPr/>
                <w:rPr>
                  <w:rFonts w:ascii="Cambria Math" w:hAnsi="Cambria Math"/>
                  <w:sz w:val="24"/>
                </w:rPr>
                <m:t>ΔThr=+0</m:t>
              </m:r>
            </m:oMath>
          </w:p>
        </w:tc>
        <w:tc>
          <w:tcPr>
            <w:tcW w:w="1122" w:type="pct"/>
            <w:tcBorders>
              <w:top w:val="single" w:color="auto" w:sz="4" w:space="0"/>
              <w:left w:val="nil"/>
              <w:bottom w:val="nil"/>
              <w:right w:val="nil"/>
            </w:tcBorders>
            <w:tcMar>
              <w:top w:w="-1" w:type="dxa"/>
              <w:left w:w="-1" w:type="dxa"/>
              <w:bottom w:w="-1" w:type="dxa"/>
              <w:right w:w="-1" w:type="dxa"/>
            </w:tcMar>
            <w:vAlign w:val="center"/>
          </w:tcPr>
          <w:p w14:paraId="47AC2F97">
            <w:pPr>
              <w:snapToGrid w:val="0"/>
              <w:jc w:val="center"/>
              <w:rPr>
                <w:rFonts w:ascii="宋体"/>
                <w:sz w:val="24"/>
              </w:rPr>
            </w:pPr>
            <w:r>
              <w:rPr>
                <w:rFonts w:ascii="宋体" w:hAnsi="宋体"/>
                <w:sz w:val="24"/>
              </w:rPr>
              <w:t>协议异常输入验证记录 / A1</w:t>
            </w:r>
          </w:p>
        </w:tc>
      </w:tr>
      <w:tr w14:paraId="5CD70910">
        <w:tblPrEx>
          <w:tblCellMar>
            <w:top w:w="0" w:type="dxa"/>
            <w:left w:w="108" w:type="dxa"/>
            <w:bottom w:w="0" w:type="dxa"/>
            <w:right w:w="108" w:type="dxa"/>
          </w:tblCellMar>
        </w:tblPrEx>
        <w:trPr>
          <w:jc w:val="center"/>
        </w:trPr>
        <w:tc>
          <w:tcPr>
            <w:tcW w:w="827" w:type="pct"/>
            <w:tcBorders>
              <w:top w:val="nil"/>
              <w:left w:val="nil"/>
              <w:bottom w:val="nil"/>
              <w:right w:val="nil"/>
            </w:tcBorders>
            <w:tcMar>
              <w:top w:w="-1" w:type="dxa"/>
              <w:left w:w="-1" w:type="dxa"/>
              <w:bottom w:w="-1" w:type="dxa"/>
              <w:right w:w="-1" w:type="dxa"/>
            </w:tcMar>
            <w:vAlign w:val="center"/>
          </w:tcPr>
          <w:p w14:paraId="3235A9E3">
            <w:pPr>
              <w:snapToGrid w:val="0"/>
              <w:jc w:val="center"/>
              <w:rPr>
                <w:rFonts w:ascii="宋体"/>
                <w:sz w:val="24"/>
              </w:rPr>
            </w:pPr>
            <w:r>
              <w:rPr>
                <w:rFonts w:ascii="宋体" w:hAnsi="宋体"/>
                <w:sz w:val="24"/>
              </w:rPr>
              <w:t>超大 Content-Length</w:t>
            </w:r>
          </w:p>
        </w:tc>
        <w:tc>
          <w:tcPr>
            <w:tcW w:w="1863" w:type="pct"/>
            <w:tcBorders>
              <w:top w:val="nil"/>
              <w:left w:val="nil"/>
              <w:bottom w:val="nil"/>
              <w:right w:val="nil"/>
            </w:tcBorders>
            <w:tcMar>
              <w:top w:w="-1" w:type="dxa"/>
              <w:left w:w="-1" w:type="dxa"/>
              <w:bottom w:w="-1" w:type="dxa"/>
              <w:right w:w="-1" w:type="dxa"/>
            </w:tcMar>
            <w:vAlign w:val="center"/>
          </w:tcPr>
          <w:p w14:paraId="4FC33C43">
            <w:pPr>
              <w:snapToGrid w:val="0"/>
              <w:jc w:val="center"/>
              <w:rPr>
                <w:rFonts w:ascii="宋体"/>
                <w:sz w:val="24"/>
              </w:rPr>
            </w:pPr>
            <w:r>
              <w:rPr>
                <w:rFonts w:ascii="宋体" w:hAnsi="宋体"/>
                <w:sz w:val="24"/>
              </w:rPr>
              <w:t>HTTP 413 / payload_too_large</w:t>
            </w:r>
          </w:p>
        </w:tc>
        <w:tc>
          <w:tcPr>
            <w:tcW w:w="1185" w:type="pct"/>
            <w:tcBorders>
              <w:top w:val="nil"/>
              <w:left w:val="nil"/>
              <w:bottom w:val="nil"/>
              <w:right w:val="nil"/>
            </w:tcBorders>
            <w:tcMar>
              <w:top w:w="-1" w:type="dxa"/>
              <w:left w:w="-1" w:type="dxa"/>
              <w:bottom w:w="-1" w:type="dxa"/>
              <w:right w:w="-1" w:type="dxa"/>
            </w:tcMar>
            <w:vAlign w:val="center"/>
          </w:tcPr>
          <w:p w14:paraId="0FEBA52B">
            <w:pPr>
              <w:snapToGrid w:val="0"/>
              <w:jc w:val="center"/>
              <w:rPr>
                <w:rFonts w:ascii="宋体"/>
                <w:sz w:val="24"/>
              </w:rPr>
            </w:pPr>
            <m:oMath>
              <m:r>
                <m:rPr/>
                <w:rPr>
                  <w:rFonts w:ascii="Cambria Math" w:hAnsi="Cambria Math"/>
                  <w:sz w:val="24"/>
                </w:rPr>
                <m:t>ΔFD=+0</m:t>
              </m:r>
            </m:oMath>
            <w:r>
              <w:rPr>
                <w:rFonts w:ascii="宋体" w:hAnsi="宋体"/>
                <w:sz w:val="24"/>
              </w:rPr>
              <w:t>；</w:t>
            </w:r>
            <m:oMath>
              <m:r>
                <m:rPr/>
                <w:rPr>
                  <w:rFonts w:ascii="Cambria Math" w:hAnsi="Cambria Math"/>
                  <w:sz w:val="24"/>
                </w:rPr>
                <m:t>ΔSock=+0</m:t>
              </m:r>
            </m:oMath>
            <w:r>
              <w:rPr>
                <w:rFonts w:ascii="宋体" w:hAnsi="宋体"/>
                <w:sz w:val="24"/>
              </w:rPr>
              <w:t>；</w:t>
            </w:r>
            <m:oMath>
              <m:r>
                <m:rPr/>
                <w:rPr>
                  <w:rFonts w:ascii="Cambria Math" w:hAnsi="Cambria Math"/>
                  <w:sz w:val="24"/>
                </w:rPr>
                <m:t>ΔRSS=+0</m:t>
              </m:r>
            </m:oMath>
            <w:r>
              <w:rPr>
                <w:rFonts w:ascii="宋体" w:hAnsi="宋体"/>
                <w:sz w:val="24"/>
              </w:rPr>
              <w:t>KiB；</w:t>
            </w:r>
            <m:oMath>
              <m:r>
                <m:rPr/>
                <w:rPr>
                  <w:rFonts w:ascii="Cambria Math" w:hAnsi="Cambria Math"/>
                  <w:sz w:val="24"/>
                </w:rPr>
                <m:t>ΔThr=+0</m:t>
              </m:r>
            </m:oMath>
          </w:p>
        </w:tc>
        <w:tc>
          <w:tcPr>
            <w:tcW w:w="1122" w:type="pct"/>
            <w:tcBorders>
              <w:top w:val="nil"/>
              <w:left w:val="nil"/>
              <w:bottom w:val="nil"/>
              <w:right w:val="nil"/>
            </w:tcBorders>
            <w:tcMar>
              <w:top w:w="-1" w:type="dxa"/>
              <w:left w:w="-1" w:type="dxa"/>
              <w:bottom w:w="-1" w:type="dxa"/>
              <w:right w:w="-1" w:type="dxa"/>
            </w:tcMar>
            <w:vAlign w:val="center"/>
          </w:tcPr>
          <w:p w14:paraId="5E2C1964">
            <w:pPr>
              <w:snapToGrid w:val="0"/>
              <w:jc w:val="center"/>
              <w:rPr>
                <w:rFonts w:ascii="宋体"/>
                <w:sz w:val="24"/>
              </w:rPr>
            </w:pPr>
            <w:r>
              <w:rPr>
                <w:rFonts w:ascii="宋体" w:hAnsi="宋体"/>
                <w:sz w:val="24"/>
              </w:rPr>
              <w:t>协议异常输入验证记录 / A2</w:t>
            </w:r>
          </w:p>
        </w:tc>
      </w:tr>
      <w:tr w14:paraId="3EA3877C">
        <w:tblPrEx>
          <w:tblCellMar>
            <w:top w:w="0" w:type="dxa"/>
            <w:left w:w="108" w:type="dxa"/>
            <w:bottom w:w="0" w:type="dxa"/>
            <w:right w:w="108" w:type="dxa"/>
          </w:tblCellMar>
        </w:tblPrEx>
        <w:trPr>
          <w:jc w:val="center"/>
        </w:trPr>
        <w:tc>
          <w:tcPr>
            <w:tcW w:w="827" w:type="pct"/>
            <w:tcBorders>
              <w:top w:val="nil"/>
              <w:left w:val="nil"/>
              <w:bottom w:val="nil"/>
              <w:right w:val="nil"/>
            </w:tcBorders>
            <w:tcMar>
              <w:top w:w="-1" w:type="dxa"/>
              <w:left w:w="-1" w:type="dxa"/>
              <w:bottom w:w="-1" w:type="dxa"/>
              <w:right w:w="-1" w:type="dxa"/>
            </w:tcMar>
            <w:vAlign w:val="center"/>
          </w:tcPr>
          <w:p w14:paraId="40838EB1">
            <w:pPr>
              <w:snapToGrid w:val="0"/>
              <w:jc w:val="center"/>
              <w:rPr>
                <w:rFonts w:ascii="宋体"/>
                <w:sz w:val="24"/>
              </w:rPr>
            </w:pPr>
            <w:r>
              <w:rPr>
                <w:rFonts w:ascii="宋体" w:hAnsi="宋体"/>
                <w:sz w:val="24"/>
              </w:rPr>
              <w:t>重复字段名</w:t>
            </w:r>
          </w:p>
        </w:tc>
        <w:tc>
          <w:tcPr>
            <w:tcW w:w="1863" w:type="pct"/>
            <w:tcBorders>
              <w:top w:val="nil"/>
              <w:left w:val="nil"/>
              <w:bottom w:val="nil"/>
              <w:right w:val="nil"/>
            </w:tcBorders>
            <w:tcMar>
              <w:top w:w="-1" w:type="dxa"/>
              <w:left w:w="-1" w:type="dxa"/>
              <w:bottom w:w="-1" w:type="dxa"/>
              <w:right w:w="-1" w:type="dxa"/>
            </w:tcMar>
            <w:vAlign w:val="center"/>
          </w:tcPr>
          <w:p w14:paraId="1205FB03">
            <w:pPr>
              <w:snapToGrid w:val="0"/>
              <w:jc w:val="center"/>
              <w:rPr>
                <w:rFonts w:ascii="宋体"/>
                <w:sz w:val="24"/>
              </w:rPr>
            </w:pPr>
            <w:r>
              <w:rPr>
                <w:rFonts w:ascii="宋体" w:hAnsi="宋体"/>
                <w:sz w:val="24"/>
              </w:rPr>
              <w:t>HTTP 400 / malformed_multipart_precheck_failed</w:t>
            </w:r>
          </w:p>
        </w:tc>
        <w:tc>
          <w:tcPr>
            <w:tcW w:w="1185" w:type="pct"/>
            <w:tcBorders>
              <w:top w:val="nil"/>
              <w:left w:val="nil"/>
              <w:bottom w:val="nil"/>
              <w:right w:val="nil"/>
            </w:tcBorders>
            <w:tcMar>
              <w:top w:w="-1" w:type="dxa"/>
              <w:left w:w="-1" w:type="dxa"/>
              <w:bottom w:w="-1" w:type="dxa"/>
              <w:right w:w="-1" w:type="dxa"/>
            </w:tcMar>
            <w:vAlign w:val="center"/>
          </w:tcPr>
          <w:p w14:paraId="0A7B6C59">
            <w:pPr>
              <w:snapToGrid w:val="0"/>
              <w:jc w:val="center"/>
              <w:rPr>
                <w:rFonts w:ascii="宋体"/>
                <w:sz w:val="24"/>
              </w:rPr>
            </w:pPr>
            <m:oMath>
              <m:r>
                <m:rPr/>
                <w:rPr>
                  <w:rFonts w:ascii="Cambria Math" w:hAnsi="Cambria Math"/>
                  <w:sz w:val="24"/>
                </w:rPr>
                <m:t>ΔFD=+0</m:t>
              </m:r>
            </m:oMath>
            <w:r>
              <w:rPr>
                <w:rFonts w:ascii="宋体" w:hAnsi="宋体"/>
                <w:sz w:val="24"/>
              </w:rPr>
              <w:t>；</w:t>
            </w:r>
            <m:oMath>
              <m:r>
                <m:rPr/>
                <w:rPr>
                  <w:rFonts w:ascii="Cambria Math" w:hAnsi="Cambria Math"/>
                  <w:sz w:val="24"/>
                </w:rPr>
                <m:t>ΔSock=+0</m:t>
              </m:r>
            </m:oMath>
            <w:r>
              <w:rPr>
                <w:rFonts w:ascii="宋体" w:hAnsi="宋体"/>
                <w:sz w:val="24"/>
              </w:rPr>
              <w:t>；</w:t>
            </w:r>
            <m:oMath>
              <m:r>
                <m:rPr/>
                <w:rPr>
                  <w:rFonts w:ascii="Cambria Math" w:hAnsi="Cambria Math"/>
                  <w:sz w:val="24"/>
                </w:rPr>
                <m:t>ΔRSS=+152</m:t>
              </m:r>
            </m:oMath>
            <w:r>
              <w:rPr>
                <w:rFonts w:ascii="宋体" w:hAnsi="宋体"/>
                <w:sz w:val="24"/>
              </w:rPr>
              <w:t>KiB；</w:t>
            </w:r>
            <m:oMath>
              <m:r>
                <m:rPr/>
                <w:rPr>
                  <w:rFonts w:ascii="Cambria Math" w:hAnsi="Cambria Math"/>
                  <w:sz w:val="24"/>
                </w:rPr>
                <m:t>ΔThr=+0</m:t>
              </m:r>
            </m:oMath>
          </w:p>
        </w:tc>
        <w:tc>
          <w:tcPr>
            <w:tcW w:w="1122" w:type="pct"/>
            <w:tcBorders>
              <w:top w:val="nil"/>
              <w:left w:val="nil"/>
              <w:bottom w:val="nil"/>
              <w:right w:val="nil"/>
            </w:tcBorders>
            <w:tcMar>
              <w:top w:w="-1" w:type="dxa"/>
              <w:left w:w="-1" w:type="dxa"/>
              <w:bottom w:w="-1" w:type="dxa"/>
              <w:right w:w="-1" w:type="dxa"/>
            </w:tcMar>
            <w:vAlign w:val="center"/>
          </w:tcPr>
          <w:p w14:paraId="3BF84608">
            <w:pPr>
              <w:snapToGrid w:val="0"/>
              <w:jc w:val="center"/>
              <w:rPr>
                <w:rFonts w:ascii="宋体"/>
                <w:sz w:val="24"/>
              </w:rPr>
            </w:pPr>
            <w:r>
              <w:rPr>
                <w:rFonts w:ascii="宋体" w:hAnsi="宋体"/>
                <w:sz w:val="24"/>
              </w:rPr>
              <w:t>协议异常输入验证记录 / A3</w:t>
            </w:r>
          </w:p>
        </w:tc>
      </w:tr>
      <w:tr w14:paraId="699349EC">
        <w:tblPrEx>
          <w:tblCellMar>
            <w:top w:w="0" w:type="dxa"/>
            <w:left w:w="108" w:type="dxa"/>
            <w:bottom w:w="0" w:type="dxa"/>
            <w:right w:w="108" w:type="dxa"/>
          </w:tblCellMar>
        </w:tblPrEx>
        <w:trPr>
          <w:jc w:val="center"/>
        </w:trPr>
        <w:tc>
          <w:tcPr>
            <w:tcW w:w="827" w:type="pct"/>
            <w:tcBorders>
              <w:top w:val="nil"/>
              <w:left w:val="nil"/>
              <w:bottom w:val="nil"/>
              <w:right w:val="nil"/>
            </w:tcBorders>
            <w:tcMar>
              <w:top w:w="-1" w:type="dxa"/>
              <w:left w:w="-1" w:type="dxa"/>
              <w:bottom w:w="-1" w:type="dxa"/>
              <w:right w:w="-1" w:type="dxa"/>
            </w:tcMar>
            <w:vAlign w:val="center"/>
          </w:tcPr>
          <w:p w14:paraId="22916D13">
            <w:pPr>
              <w:snapToGrid w:val="0"/>
              <w:jc w:val="center"/>
              <w:rPr>
                <w:rFonts w:ascii="宋体"/>
                <w:sz w:val="24"/>
              </w:rPr>
            </w:pPr>
            <w:r>
              <w:rPr>
                <w:rFonts w:ascii="宋体" w:hAnsi="宋体"/>
                <w:sz w:val="24"/>
              </w:rPr>
              <w:t>Boundary 扇出</w:t>
            </w:r>
          </w:p>
        </w:tc>
        <w:tc>
          <w:tcPr>
            <w:tcW w:w="1863" w:type="pct"/>
            <w:tcBorders>
              <w:top w:val="nil"/>
              <w:left w:val="nil"/>
              <w:bottom w:val="nil"/>
              <w:right w:val="nil"/>
            </w:tcBorders>
            <w:tcMar>
              <w:top w:w="-1" w:type="dxa"/>
              <w:left w:w="-1" w:type="dxa"/>
              <w:bottom w:w="-1" w:type="dxa"/>
              <w:right w:w="-1" w:type="dxa"/>
            </w:tcMar>
            <w:vAlign w:val="center"/>
          </w:tcPr>
          <w:p w14:paraId="40124140">
            <w:pPr>
              <w:snapToGrid w:val="0"/>
              <w:jc w:val="center"/>
              <w:rPr>
                <w:rFonts w:ascii="宋体"/>
                <w:sz w:val="24"/>
              </w:rPr>
            </w:pPr>
            <w:r>
              <w:rPr>
                <w:rFonts w:ascii="宋体" w:hAnsi="宋体"/>
                <w:sz w:val="24"/>
              </w:rPr>
              <w:t>HTTP 400 / malformed_multipart_precheck_failed</w:t>
            </w:r>
          </w:p>
        </w:tc>
        <w:tc>
          <w:tcPr>
            <w:tcW w:w="1185" w:type="pct"/>
            <w:tcBorders>
              <w:top w:val="nil"/>
              <w:left w:val="nil"/>
              <w:bottom w:val="nil"/>
              <w:right w:val="nil"/>
            </w:tcBorders>
            <w:tcMar>
              <w:top w:w="-1" w:type="dxa"/>
              <w:left w:w="-1" w:type="dxa"/>
              <w:bottom w:w="-1" w:type="dxa"/>
              <w:right w:w="-1" w:type="dxa"/>
            </w:tcMar>
            <w:vAlign w:val="center"/>
          </w:tcPr>
          <w:p w14:paraId="175E1BCE">
            <w:pPr>
              <w:snapToGrid w:val="0"/>
              <w:jc w:val="center"/>
              <w:rPr>
                <w:rFonts w:ascii="宋体"/>
                <w:sz w:val="24"/>
              </w:rPr>
            </w:pPr>
            <m:oMath>
              <m:r>
                <m:rPr/>
                <w:rPr>
                  <w:rFonts w:ascii="Cambria Math" w:hAnsi="Cambria Math"/>
                  <w:sz w:val="24"/>
                </w:rPr>
                <m:t>ΔFD=+0</m:t>
              </m:r>
            </m:oMath>
            <w:r>
              <w:rPr>
                <w:rFonts w:ascii="宋体" w:hAnsi="宋体"/>
                <w:sz w:val="24"/>
              </w:rPr>
              <w:t>；</w:t>
            </w:r>
            <m:oMath>
              <m:r>
                <m:rPr/>
                <w:rPr>
                  <w:rFonts w:ascii="Cambria Math" w:hAnsi="Cambria Math"/>
                  <w:sz w:val="24"/>
                </w:rPr>
                <m:t>ΔSock=+0</m:t>
              </m:r>
            </m:oMath>
            <w:r>
              <w:rPr>
                <w:rFonts w:ascii="宋体" w:hAnsi="宋体"/>
                <w:sz w:val="24"/>
              </w:rPr>
              <w:t>；</w:t>
            </w:r>
            <m:oMath>
              <m:r>
                <m:rPr/>
                <w:rPr>
                  <w:rFonts w:ascii="Cambria Math" w:hAnsi="Cambria Math"/>
                  <w:sz w:val="24"/>
                </w:rPr>
                <m:t>ΔRSS=+0</m:t>
              </m:r>
            </m:oMath>
            <w:r>
              <w:rPr>
                <w:rFonts w:ascii="宋体" w:hAnsi="宋体"/>
                <w:sz w:val="24"/>
              </w:rPr>
              <w:t>KiB；</w:t>
            </w:r>
            <m:oMath>
              <m:r>
                <m:rPr/>
                <w:rPr>
                  <w:rFonts w:ascii="Cambria Math" w:hAnsi="Cambria Math"/>
                  <w:sz w:val="24"/>
                </w:rPr>
                <m:t>ΔThr=+0</m:t>
              </m:r>
            </m:oMath>
          </w:p>
        </w:tc>
        <w:tc>
          <w:tcPr>
            <w:tcW w:w="1122" w:type="pct"/>
            <w:tcBorders>
              <w:top w:val="nil"/>
              <w:left w:val="nil"/>
              <w:bottom w:val="nil"/>
              <w:right w:val="nil"/>
            </w:tcBorders>
            <w:tcMar>
              <w:top w:w="-1" w:type="dxa"/>
              <w:left w:w="-1" w:type="dxa"/>
              <w:bottom w:w="-1" w:type="dxa"/>
              <w:right w:w="-1" w:type="dxa"/>
            </w:tcMar>
            <w:vAlign w:val="center"/>
          </w:tcPr>
          <w:p w14:paraId="105D625D">
            <w:pPr>
              <w:snapToGrid w:val="0"/>
              <w:jc w:val="center"/>
              <w:rPr>
                <w:rFonts w:ascii="宋体"/>
                <w:sz w:val="24"/>
              </w:rPr>
            </w:pPr>
            <w:r>
              <w:rPr>
                <w:rFonts w:ascii="宋体" w:hAnsi="宋体"/>
                <w:sz w:val="24"/>
              </w:rPr>
              <w:t>协议异常输入验证记录 / A4</w:t>
            </w:r>
          </w:p>
        </w:tc>
      </w:tr>
      <w:tr w14:paraId="2DB50B39">
        <w:tblPrEx>
          <w:tblCellMar>
            <w:top w:w="0" w:type="dxa"/>
            <w:left w:w="108" w:type="dxa"/>
            <w:bottom w:w="0" w:type="dxa"/>
            <w:right w:w="108" w:type="dxa"/>
          </w:tblCellMar>
        </w:tblPrEx>
        <w:trPr>
          <w:jc w:val="center"/>
        </w:trPr>
        <w:tc>
          <w:tcPr>
            <w:tcW w:w="827" w:type="pct"/>
            <w:tcBorders>
              <w:top w:val="nil"/>
              <w:left w:val="nil"/>
              <w:bottom w:val="nil"/>
              <w:right w:val="nil"/>
            </w:tcBorders>
            <w:tcMar>
              <w:top w:w="-1" w:type="dxa"/>
              <w:left w:w="-1" w:type="dxa"/>
              <w:bottom w:w="-1" w:type="dxa"/>
              <w:right w:w="-1" w:type="dxa"/>
            </w:tcMar>
            <w:vAlign w:val="center"/>
          </w:tcPr>
          <w:p w14:paraId="5287CF28">
            <w:pPr>
              <w:snapToGrid w:val="0"/>
              <w:jc w:val="center"/>
              <w:rPr>
                <w:rFonts w:ascii="宋体"/>
                <w:sz w:val="24"/>
              </w:rPr>
            </w:pPr>
            <w:r>
              <w:rPr>
                <w:rFonts w:ascii="宋体" w:hAnsi="宋体"/>
                <w:sz w:val="24"/>
              </w:rPr>
              <w:t>嵌套 multipart</w:t>
            </w:r>
          </w:p>
        </w:tc>
        <w:tc>
          <w:tcPr>
            <w:tcW w:w="1863" w:type="pct"/>
            <w:tcBorders>
              <w:top w:val="nil"/>
              <w:left w:val="nil"/>
              <w:bottom w:val="nil"/>
              <w:right w:val="nil"/>
            </w:tcBorders>
            <w:tcMar>
              <w:top w:w="-1" w:type="dxa"/>
              <w:left w:w="-1" w:type="dxa"/>
              <w:bottom w:w="-1" w:type="dxa"/>
              <w:right w:w="-1" w:type="dxa"/>
            </w:tcMar>
            <w:vAlign w:val="center"/>
          </w:tcPr>
          <w:p w14:paraId="3F230500">
            <w:pPr>
              <w:snapToGrid w:val="0"/>
              <w:jc w:val="center"/>
              <w:rPr>
                <w:rFonts w:ascii="宋体"/>
                <w:sz w:val="24"/>
              </w:rPr>
            </w:pPr>
            <w:r>
              <w:rPr>
                <w:rFonts w:ascii="宋体" w:hAnsi="宋体"/>
                <w:sz w:val="24"/>
              </w:rPr>
              <w:t>HTTP 400 / malformed_multipart_precheck_failed</w:t>
            </w:r>
          </w:p>
        </w:tc>
        <w:tc>
          <w:tcPr>
            <w:tcW w:w="1185" w:type="pct"/>
            <w:tcBorders>
              <w:top w:val="nil"/>
              <w:left w:val="nil"/>
              <w:bottom w:val="nil"/>
              <w:right w:val="nil"/>
            </w:tcBorders>
            <w:tcMar>
              <w:top w:w="-1" w:type="dxa"/>
              <w:left w:w="-1" w:type="dxa"/>
              <w:bottom w:w="-1" w:type="dxa"/>
              <w:right w:w="-1" w:type="dxa"/>
            </w:tcMar>
            <w:vAlign w:val="center"/>
          </w:tcPr>
          <w:p w14:paraId="3D83B82D">
            <w:pPr>
              <w:snapToGrid w:val="0"/>
              <w:jc w:val="center"/>
              <w:rPr>
                <w:rFonts w:ascii="宋体"/>
                <w:sz w:val="24"/>
              </w:rPr>
            </w:pPr>
            <m:oMath>
              <m:r>
                <m:rPr/>
                <w:rPr>
                  <w:rFonts w:ascii="Cambria Math" w:hAnsi="Cambria Math"/>
                  <w:sz w:val="24"/>
                </w:rPr>
                <m:t>ΔFD=+0</m:t>
              </m:r>
            </m:oMath>
            <w:r>
              <w:rPr>
                <w:rFonts w:ascii="宋体" w:hAnsi="宋体"/>
                <w:sz w:val="24"/>
              </w:rPr>
              <w:t>；</w:t>
            </w:r>
            <m:oMath>
              <m:r>
                <m:rPr/>
                <w:rPr>
                  <w:rFonts w:ascii="Cambria Math" w:hAnsi="Cambria Math"/>
                  <w:sz w:val="24"/>
                </w:rPr>
                <m:t>ΔSock=+0</m:t>
              </m:r>
            </m:oMath>
            <w:r>
              <w:rPr>
                <w:rFonts w:ascii="宋体" w:hAnsi="宋体"/>
                <w:sz w:val="24"/>
              </w:rPr>
              <w:t>；</w:t>
            </w:r>
            <m:oMath>
              <m:r>
                <m:rPr/>
                <w:rPr>
                  <w:rFonts w:ascii="Cambria Math" w:hAnsi="Cambria Math"/>
                  <w:sz w:val="24"/>
                </w:rPr>
                <m:t>ΔRSS=+1024</m:t>
              </m:r>
            </m:oMath>
            <w:r>
              <w:rPr>
                <w:rFonts w:ascii="宋体" w:hAnsi="宋体"/>
                <w:sz w:val="24"/>
              </w:rPr>
              <w:t>KiB；</w:t>
            </w:r>
            <m:oMath>
              <m:r>
                <m:rPr/>
                <w:rPr>
                  <w:rFonts w:ascii="Cambria Math" w:hAnsi="Cambria Math"/>
                  <w:sz w:val="24"/>
                </w:rPr>
                <m:t>ΔThr=+0</m:t>
              </m:r>
            </m:oMath>
          </w:p>
        </w:tc>
        <w:tc>
          <w:tcPr>
            <w:tcW w:w="1122" w:type="pct"/>
            <w:tcBorders>
              <w:top w:val="nil"/>
              <w:left w:val="nil"/>
              <w:bottom w:val="nil"/>
              <w:right w:val="nil"/>
            </w:tcBorders>
            <w:tcMar>
              <w:top w:w="-1" w:type="dxa"/>
              <w:left w:w="-1" w:type="dxa"/>
              <w:bottom w:w="-1" w:type="dxa"/>
              <w:right w:w="-1" w:type="dxa"/>
            </w:tcMar>
            <w:vAlign w:val="center"/>
          </w:tcPr>
          <w:p w14:paraId="013D74C3">
            <w:pPr>
              <w:snapToGrid w:val="0"/>
              <w:jc w:val="center"/>
              <w:rPr>
                <w:rFonts w:ascii="宋体"/>
                <w:sz w:val="24"/>
              </w:rPr>
            </w:pPr>
            <w:r>
              <w:rPr>
                <w:rFonts w:ascii="宋体" w:hAnsi="宋体"/>
                <w:sz w:val="24"/>
              </w:rPr>
              <w:t>协议异常输入验证记录 / A5</w:t>
            </w:r>
          </w:p>
        </w:tc>
      </w:tr>
      <w:tr w14:paraId="4D1C6D8B">
        <w:tblPrEx>
          <w:tblCellMar>
            <w:top w:w="0" w:type="dxa"/>
            <w:left w:w="108" w:type="dxa"/>
            <w:bottom w:w="0" w:type="dxa"/>
            <w:right w:w="108" w:type="dxa"/>
          </w:tblCellMar>
        </w:tblPrEx>
        <w:trPr>
          <w:jc w:val="center"/>
        </w:trPr>
        <w:tc>
          <w:tcPr>
            <w:tcW w:w="827" w:type="pct"/>
            <w:tcBorders>
              <w:top w:val="nil"/>
              <w:left w:val="nil"/>
              <w:bottom w:val="nil"/>
              <w:right w:val="nil"/>
            </w:tcBorders>
            <w:tcMar>
              <w:top w:w="-1" w:type="dxa"/>
              <w:left w:w="-1" w:type="dxa"/>
              <w:bottom w:w="-1" w:type="dxa"/>
              <w:right w:w="-1" w:type="dxa"/>
            </w:tcMar>
            <w:vAlign w:val="center"/>
          </w:tcPr>
          <w:p w14:paraId="157C4DE5">
            <w:pPr>
              <w:snapToGrid w:val="0"/>
              <w:jc w:val="center"/>
              <w:rPr>
                <w:rFonts w:ascii="宋体"/>
                <w:sz w:val="24"/>
              </w:rPr>
            </w:pPr>
            <w:r>
              <w:rPr>
                <w:rFonts w:ascii="宋体" w:hAnsi="宋体"/>
                <w:sz w:val="24"/>
              </w:rPr>
              <w:t>超长 JSON</w:t>
            </w:r>
          </w:p>
        </w:tc>
        <w:tc>
          <w:tcPr>
            <w:tcW w:w="1863" w:type="pct"/>
            <w:tcBorders>
              <w:top w:val="nil"/>
              <w:left w:val="nil"/>
              <w:bottom w:val="nil"/>
              <w:right w:val="nil"/>
            </w:tcBorders>
            <w:tcMar>
              <w:top w:w="-1" w:type="dxa"/>
              <w:left w:w="-1" w:type="dxa"/>
              <w:bottom w:w="-1" w:type="dxa"/>
              <w:right w:w="-1" w:type="dxa"/>
            </w:tcMar>
            <w:vAlign w:val="center"/>
          </w:tcPr>
          <w:p w14:paraId="5CC51468">
            <w:pPr>
              <w:snapToGrid w:val="0"/>
              <w:jc w:val="center"/>
              <w:rPr>
                <w:rFonts w:ascii="宋体"/>
                <w:sz w:val="24"/>
              </w:rPr>
            </w:pPr>
            <w:r>
              <w:rPr>
                <w:rFonts w:ascii="宋体" w:hAnsi="宋体"/>
                <w:sz w:val="24"/>
              </w:rPr>
              <w:t>HTTP 400 / invalid_control_plane_payload</w:t>
            </w:r>
          </w:p>
        </w:tc>
        <w:tc>
          <w:tcPr>
            <w:tcW w:w="1185" w:type="pct"/>
            <w:tcBorders>
              <w:top w:val="nil"/>
              <w:left w:val="nil"/>
              <w:bottom w:val="nil"/>
              <w:right w:val="nil"/>
            </w:tcBorders>
            <w:tcMar>
              <w:top w:w="-1" w:type="dxa"/>
              <w:left w:w="-1" w:type="dxa"/>
              <w:bottom w:w="-1" w:type="dxa"/>
              <w:right w:w="-1" w:type="dxa"/>
            </w:tcMar>
            <w:vAlign w:val="center"/>
          </w:tcPr>
          <w:p w14:paraId="0FACC38C">
            <w:pPr>
              <w:snapToGrid w:val="0"/>
              <w:jc w:val="center"/>
              <w:rPr>
                <w:rFonts w:ascii="宋体"/>
                <w:sz w:val="24"/>
              </w:rPr>
            </w:pPr>
            <m:oMath>
              <m:r>
                <m:rPr/>
                <w:rPr>
                  <w:rFonts w:ascii="Cambria Math" w:hAnsi="Cambria Math"/>
                  <w:sz w:val="24"/>
                </w:rPr>
                <m:t>ΔFD=+0</m:t>
              </m:r>
            </m:oMath>
            <w:r>
              <w:rPr>
                <w:rFonts w:ascii="宋体" w:hAnsi="宋体"/>
                <w:sz w:val="24"/>
              </w:rPr>
              <w:t>；</w:t>
            </w:r>
            <m:oMath>
              <m:r>
                <m:rPr/>
                <w:rPr>
                  <w:rFonts w:ascii="Cambria Math" w:hAnsi="Cambria Math"/>
                  <w:sz w:val="24"/>
                </w:rPr>
                <m:t>ΔSock=+0</m:t>
              </m:r>
            </m:oMath>
            <w:r>
              <w:rPr>
                <w:rFonts w:ascii="宋体" w:hAnsi="宋体"/>
                <w:sz w:val="24"/>
              </w:rPr>
              <w:t>；</w:t>
            </w:r>
            <m:oMath>
              <m:r>
                <m:rPr/>
                <w:rPr>
                  <w:rFonts w:ascii="Cambria Math" w:hAnsi="Cambria Math"/>
                  <w:sz w:val="24"/>
                </w:rPr>
                <m:t>ΔRSS=+5120</m:t>
              </m:r>
            </m:oMath>
            <w:r>
              <w:rPr>
                <w:rFonts w:ascii="宋体" w:hAnsi="宋体"/>
                <w:sz w:val="24"/>
              </w:rPr>
              <w:t>KiB；</w:t>
            </w:r>
            <m:oMath>
              <m:r>
                <m:rPr/>
                <w:rPr>
                  <w:rFonts w:ascii="Cambria Math" w:hAnsi="Cambria Math"/>
                  <w:sz w:val="24"/>
                </w:rPr>
                <m:t>ΔThr=+0</m:t>
              </m:r>
            </m:oMath>
          </w:p>
        </w:tc>
        <w:tc>
          <w:tcPr>
            <w:tcW w:w="1122" w:type="pct"/>
            <w:tcBorders>
              <w:top w:val="nil"/>
              <w:left w:val="nil"/>
              <w:bottom w:val="nil"/>
              <w:right w:val="nil"/>
            </w:tcBorders>
            <w:tcMar>
              <w:top w:w="-1" w:type="dxa"/>
              <w:left w:w="-1" w:type="dxa"/>
              <w:bottom w:w="-1" w:type="dxa"/>
              <w:right w:w="-1" w:type="dxa"/>
            </w:tcMar>
            <w:vAlign w:val="center"/>
          </w:tcPr>
          <w:p w14:paraId="71D680E9">
            <w:pPr>
              <w:snapToGrid w:val="0"/>
              <w:jc w:val="center"/>
              <w:rPr>
                <w:rFonts w:ascii="宋体"/>
                <w:sz w:val="24"/>
              </w:rPr>
            </w:pPr>
            <w:r>
              <w:rPr>
                <w:rFonts w:ascii="宋体" w:hAnsi="宋体"/>
                <w:sz w:val="24"/>
              </w:rPr>
              <w:t>协议异常输入验证记录 / A6</w:t>
            </w:r>
          </w:p>
        </w:tc>
      </w:tr>
      <w:tr w14:paraId="0CA27BE7">
        <w:tblPrEx>
          <w:tblCellMar>
            <w:top w:w="0" w:type="dxa"/>
            <w:left w:w="108" w:type="dxa"/>
            <w:bottom w:w="0" w:type="dxa"/>
            <w:right w:w="108" w:type="dxa"/>
          </w:tblCellMar>
        </w:tblPrEx>
        <w:trPr>
          <w:jc w:val="center"/>
        </w:trPr>
        <w:tc>
          <w:tcPr>
            <w:tcW w:w="827" w:type="pct"/>
            <w:tcBorders>
              <w:top w:val="nil"/>
              <w:left w:val="nil"/>
              <w:bottom w:val="nil"/>
              <w:right w:val="nil"/>
            </w:tcBorders>
            <w:tcMar>
              <w:top w:w="-1" w:type="dxa"/>
              <w:left w:w="-1" w:type="dxa"/>
              <w:bottom w:w="-1" w:type="dxa"/>
              <w:right w:w="-1" w:type="dxa"/>
            </w:tcMar>
            <w:vAlign w:val="center"/>
          </w:tcPr>
          <w:p w14:paraId="56A353EC">
            <w:pPr>
              <w:snapToGrid w:val="0"/>
              <w:jc w:val="center"/>
              <w:rPr>
                <w:rFonts w:ascii="宋体"/>
                <w:sz w:val="24"/>
              </w:rPr>
            </w:pPr>
            <w:r>
              <w:rPr>
                <w:rFonts w:ascii="宋体" w:hAnsi="宋体"/>
                <w:sz w:val="24"/>
              </w:rPr>
              <w:t>字段集漂移</w:t>
            </w:r>
          </w:p>
        </w:tc>
        <w:tc>
          <w:tcPr>
            <w:tcW w:w="1863" w:type="pct"/>
            <w:tcBorders>
              <w:top w:val="nil"/>
              <w:left w:val="nil"/>
              <w:bottom w:val="nil"/>
              <w:right w:val="nil"/>
            </w:tcBorders>
            <w:tcMar>
              <w:top w:w="-1" w:type="dxa"/>
              <w:left w:w="-1" w:type="dxa"/>
              <w:bottom w:w="-1" w:type="dxa"/>
              <w:right w:w="-1" w:type="dxa"/>
            </w:tcMar>
            <w:vAlign w:val="center"/>
          </w:tcPr>
          <w:p w14:paraId="52D76A30">
            <w:pPr>
              <w:snapToGrid w:val="0"/>
              <w:jc w:val="center"/>
              <w:rPr>
                <w:rFonts w:ascii="宋体"/>
                <w:sz w:val="24"/>
              </w:rPr>
            </w:pPr>
            <w:r>
              <w:rPr>
                <w:rFonts w:ascii="宋体" w:hAnsi="宋体"/>
                <w:sz w:val="24"/>
              </w:rPr>
              <w:t>HTTP 400 / malformed_multipart_precheck_failed</w:t>
            </w:r>
          </w:p>
        </w:tc>
        <w:tc>
          <w:tcPr>
            <w:tcW w:w="1185" w:type="pct"/>
            <w:tcBorders>
              <w:top w:val="nil"/>
              <w:left w:val="nil"/>
              <w:bottom w:val="nil"/>
              <w:right w:val="nil"/>
            </w:tcBorders>
            <w:tcMar>
              <w:top w:w="-1" w:type="dxa"/>
              <w:left w:w="-1" w:type="dxa"/>
              <w:bottom w:w="-1" w:type="dxa"/>
              <w:right w:w="-1" w:type="dxa"/>
            </w:tcMar>
            <w:vAlign w:val="center"/>
          </w:tcPr>
          <w:p w14:paraId="2D118B08">
            <w:pPr>
              <w:snapToGrid w:val="0"/>
              <w:jc w:val="center"/>
              <w:rPr>
                <w:rFonts w:ascii="宋体"/>
                <w:sz w:val="24"/>
              </w:rPr>
            </w:pPr>
            <m:oMath>
              <m:r>
                <m:rPr/>
                <w:rPr>
                  <w:rFonts w:ascii="Cambria Math" w:hAnsi="Cambria Math"/>
                  <w:sz w:val="24"/>
                </w:rPr>
                <m:t>ΔFD=+0</m:t>
              </m:r>
            </m:oMath>
            <w:r>
              <w:rPr>
                <w:rFonts w:ascii="宋体" w:hAnsi="宋体"/>
                <w:sz w:val="24"/>
              </w:rPr>
              <w:t>；</w:t>
            </w:r>
            <m:oMath>
              <m:r>
                <m:rPr/>
                <w:rPr>
                  <w:rFonts w:ascii="Cambria Math" w:hAnsi="Cambria Math"/>
                  <w:sz w:val="24"/>
                </w:rPr>
                <m:t>ΔSock=+0</m:t>
              </m:r>
            </m:oMath>
            <w:r>
              <w:rPr>
                <w:rFonts w:ascii="宋体" w:hAnsi="宋体"/>
                <w:sz w:val="24"/>
              </w:rPr>
              <w:t>；</w:t>
            </w:r>
            <m:oMath>
              <m:r>
                <m:rPr/>
                <w:rPr>
                  <w:rFonts w:ascii="Cambria Math" w:hAnsi="Cambria Math"/>
                  <w:sz w:val="24"/>
                </w:rPr>
                <m:t>ΔRSS=+192</m:t>
              </m:r>
            </m:oMath>
            <w:r>
              <w:rPr>
                <w:rFonts w:ascii="宋体" w:hAnsi="宋体"/>
                <w:sz w:val="24"/>
              </w:rPr>
              <w:t>KiB；</w:t>
            </w:r>
            <m:oMath>
              <m:r>
                <m:rPr/>
                <w:rPr>
                  <w:rFonts w:ascii="Cambria Math" w:hAnsi="Cambria Math"/>
                  <w:sz w:val="24"/>
                </w:rPr>
                <m:t>ΔThr=+0</m:t>
              </m:r>
            </m:oMath>
          </w:p>
        </w:tc>
        <w:tc>
          <w:tcPr>
            <w:tcW w:w="1122" w:type="pct"/>
            <w:tcBorders>
              <w:top w:val="nil"/>
              <w:left w:val="nil"/>
              <w:bottom w:val="nil"/>
              <w:right w:val="nil"/>
            </w:tcBorders>
            <w:tcMar>
              <w:top w:w="-1" w:type="dxa"/>
              <w:left w:w="-1" w:type="dxa"/>
              <w:bottom w:w="-1" w:type="dxa"/>
              <w:right w:w="-1" w:type="dxa"/>
            </w:tcMar>
            <w:vAlign w:val="center"/>
          </w:tcPr>
          <w:p w14:paraId="150F7259">
            <w:pPr>
              <w:snapToGrid w:val="0"/>
              <w:jc w:val="center"/>
              <w:rPr>
                <w:rFonts w:ascii="宋体"/>
                <w:sz w:val="24"/>
              </w:rPr>
            </w:pPr>
            <w:r>
              <w:rPr>
                <w:rFonts w:ascii="宋体" w:hAnsi="宋体"/>
                <w:sz w:val="24"/>
              </w:rPr>
              <w:t>协议异常输入验证记录 / A7</w:t>
            </w:r>
          </w:p>
        </w:tc>
      </w:tr>
      <w:tr w14:paraId="2DA3698A">
        <w:tblPrEx>
          <w:tblCellMar>
            <w:top w:w="0" w:type="dxa"/>
            <w:left w:w="108" w:type="dxa"/>
            <w:bottom w:w="0" w:type="dxa"/>
            <w:right w:w="108" w:type="dxa"/>
          </w:tblCellMar>
        </w:tblPrEx>
        <w:trPr>
          <w:jc w:val="center"/>
        </w:trPr>
        <w:tc>
          <w:tcPr>
            <w:tcW w:w="827" w:type="pct"/>
            <w:tcBorders>
              <w:top w:val="nil"/>
              <w:left w:val="nil"/>
              <w:bottom w:val="nil"/>
              <w:right w:val="nil"/>
            </w:tcBorders>
            <w:tcMar>
              <w:top w:w="-1" w:type="dxa"/>
              <w:left w:w="-1" w:type="dxa"/>
              <w:bottom w:w="-1" w:type="dxa"/>
              <w:right w:w="-1" w:type="dxa"/>
            </w:tcMar>
            <w:vAlign w:val="center"/>
          </w:tcPr>
          <w:p w14:paraId="50780FE7">
            <w:pPr>
              <w:snapToGrid w:val="0"/>
              <w:jc w:val="center"/>
              <w:rPr>
                <w:rFonts w:ascii="宋体"/>
                <w:sz w:val="24"/>
              </w:rPr>
            </w:pPr>
            <w:r>
              <w:rPr>
                <w:rFonts w:ascii="宋体" w:hAnsi="宋体"/>
                <w:sz w:val="24"/>
              </w:rPr>
              <w:t>Boundary 参数混淆</w:t>
            </w:r>
          </w:p>
        </w:tc>
        <w:tc>
          <w:tcPr>
            <w:tcW w:w="1863" w:type="pct"/>
            <w:tcBorders>
              <w:top w:val="nil"/>
              <w:left w:val="nil"/>
              <w:bottom w:val="nil"/>
              <w:right w:val="nil"/>
            </w:tcBorders>
            <w:tcMar>
              <w:top w:w="-1" w:type="dxa"/>
              <w:left w:w="-1" w:type="dxa"/>
              <w:bottom w:w="-1" w:type="dxa"/>
              <w:right w:w="-1" w:type="dxa"/>
            </w:tcMar>
            <w:vAlign w:val="center"/>
          </w:tcPr>
          <w:p w14:paraId="2906F998">
            <w:pPr>
              <w:snapToGrid w:val="0"/>
              <w:jc w:val="center"/>
              <w:rPr>
                <w:rFonts w:ascii="宋体"/>
                <w:sz w:val="24"/>
              </w:rPr>
            </w:pPr>
            <w:r>
              <w:rPr>
                <w:rFonts w:ascii="宋体" w:hAnsi="宋体"/>
                <w:sz w:val="24"/>
              </w:rPr>
              <w:t>HTTP 400 / malformed_multipart_precheck_failed</w:t>
            </w:r>
          </w:p>
        </w:tc>
        <w:tc>
          <w:tcPr>
            <w:tcW w:w="1185" w:type="pct"/>
            <w:tcBorders>
              <w:top w:val="nil"/>
              <w:left w:val="nil"/>
              <w:bottom w:val="nil"/>
              <w:right w:val="nil"/>
            </w:tcBorders>
            <w:tcMar>
              <w:top w:w="-1" w:type="dxa"/>
              <w:left w:w="-1" w:type="dxa"/>
              <w:bottom w:w="-1" w:type="dxa"/>
              <w:right w:w="-1" w:type="dxa"/>
            </w:tcMar>
            <w:vAlign w:val="center"/>
          </w:tcPr>
          <w:p w14:paraId="0BA20C8C">
            <w:pPr>
              <w:snapToGrid w:val="0"/>
              <w:jc w:val="center"/>
              <w:rPr>
                <w:rFonts w:ascii="宋体"/>
                <w:sz w:val="24"/>
              </w:rPr>
            </w:pPr>
            <m:oMath>
              <m:r>
                <m:rPr/>
                <w:rPr>
                  <w:rFonts w:ascii="Cambria Math" w:hAnsi="Cambria Math"/>
                  <w:sz w:val="24"/>
                </w:rPr>
                <m:t>ΔFD=+0</m:t>
              </m:r>
            </m:oMath>
            <w:r>
              <w:rPr>
                <w:rFonts w:ascii="宋体" w:hAnsi="宋体"/>
                <w:sz w:val="24"/>
              </w:rPr>
              <w:t>；</w:t>
            </w:r>
            <m:oMath>
              <m:r>
                <m:rPr/>
                <w:rPr>
                  <w:rFonts w:ascii="Cambria Math" w:hAnsi="Cambria Math"/>
                  <w:sz w:val="24"/>
                </w:rPr>
                <m:t>ΔSock=+0</m:t>
              </m:r>
            </m:oMath>
            <w:r>
              <w:rPr>
                <w:rFonts w:ascii="宋体" w:hAnsi="宋体"/>
                <w:sz w:val="24"/>
              </w:rPr>
              <w:t>；</w:t>
            </w:r>
            <m:oMath>
              <m:r>
                <m:rPr/>
                <w:rPr>
                  <w:rFonts w:ascii="Cambria Math" w:hAnsi="Cambria Math"/>
                  <w:sz w:val="24"/>
                </w:rPr>
                <m:t>ΔRSS=+0</m:t>
              </m:r>
            </m:oMath>
            <w:r>
              <w:rPr>
                <w:rFonts w:ascii="宋体" w:hAnsi="宋体"/>
                <w:sz w:val="24"/>
              </w:rPr>
              <w:t>KiB；</w:t>
            </w:r>
            <m:oMath>
              <m:r>
                <m:rPr/>
                <w:rPr>
                  <w:rFonts w:ascii="Cambria Math" w:hAnsi="Cambria Math"/>
                  <w:sz w:val="24"/>
                </w:rPr>
                <m:t>ΔThr=+0</m:t>
              </m:r>
            </m:oMath>
          </w:p>
        </w:tc>
        <w:tc>
          <w:tcPr>
            <w:tcW w:w="1122" w:type="pct"/>
            <w:tcBorders>
              <w:top w:val="nil"/>
              <w:left w:val="nil"/>
              <w:bottom w:val="nil"/>
              <w:right w:val="nil"/>
            </w:tcBorders>
            <w:tcMar>
              <w:top w:w="-1" w:type="dxa"/>
              <w:left w:w="-1" w:type="dxa"/>
              <w:bottom w:w="-1" w:type="dxa"/>
              <w:right w:w="-1" w:type="dxa"/>
            </w:tcMar>
            <w:vAlign w:val="center"/>
          </w:tcPr>
          <w:p w14:paraId="62C7FF8B">
            <w:pPr>
              <w:snapToGrid w:val="0"/>
              <w:jc w:val="center"/>
              <w:rPr>
                <w:rFonts w:ascii="宋体"/>
                <w:sz w:val="24"/>
              </w:rPr>
            </w:pPr>
            <w:r>
              <w:rPr>
                <w:rFonts w:ascii="宋体" w:hAnsi="宋体"/>
                <w:sz w:val="24"/>
              </w:rPr>
              <w:t>协议异常输入验证记录 / A8</w:t>
            </w:r>
          </w:p>
        </w:tc>
      </w:tr>
      <w:tr w14:paraId="04C3D468">
        <w:tblPrEx>
          <w:tblCellMar>
            <w:top w:w="0" w:type="dxa"/>
            <w:left w:w="108" w:type="dxa"/>
            <w:bottom w:w="0" w:type="dxa"/>
            <w:right w:w="108" w:type="dxa"/>
          </w:tblCellMar>
        </w:tblPrEx>
        <w:trPr>
          <w:jc w:val="center"/>
        </w:trPr>
        <w:tc>
          <w:tcPr>
            <w:tcW w:w="827" w:type="pct"/>
            <w:tcBorders>
              <w:top w:val="nil"/>
              <w:left w:val="nil"/>
              <w:bottom w:val="nil"/>
              <w:right w:val="nil"/>
            </w:tcBorders>
            <w:tcMar>
              <w:top w:w="-1" w:type="dxa"/>
              <w:left w:w="-1" w:type="dxa"/>
              <w:bottom w:w="-1" w:type="dxa"/>
              <w:right w:w="-1" w:type="dxa"/>
            </w:tcMar>
            <w:vAlign w:val="center"/>
          </w:tcPr>
          <w:p w14:paraId="71149824">
            <w:pPr>
              <w:snapToGrid w:val="0"/>
              <w:jc w:val="center"/>
              <w:rPr>
                <w:rFonts w:ascii="宋体"/>
                <w:sz w:val="24"/>
              </w:rPr>
            </w:pPr>
            <w:r>
              <w:rPr>
                <w:rFonts w:ascii="宋体" w:hAnsi="宋体"/>
                <w:sz w:val="24"/>
              </w:rPr>
              <w:t>畸形 Part Header</w:t>
            </w:r>
          </w:p>
        </w:tc>
        <w:tc>
          <w:tcPr>
            <w:tcW w:w="1863" w:type="pct"/>
            <w:tcBorders>
              <w:top w:val="nil"/>
              <w:left w:val="nil"/>
              <w:bottom w:val="nil"/>
              <w:right w:val="nil"/>
            </w:tcBorders>
            <w:tcMar>
              <w:top w:w="-1" w:type="dxa"/>
              <w:left w:w="-1" w:type="dxa"/>
              <w:bottom w:w="-1" w:type="dxa"/>
              <w:right w:w="-1" w:type="dxa"/>
            </w:tcMar>
            <w:vAlign w:val="center"/>
          </w:tcPr>
          <w:p w14:paraId="3E1D8215">
            <w:pPr>
              <w:snapToGrid w:val="0"/>
              <w:jc w:val="center"/>
              <w:rPr>
                <w:rFonts w:ascii="宋体"/>
                <w:sz w:val="24"/>
              </w:rPr>
            </w:pPr>
            <w:r>
              <w:rPr>
                <w:rFonts w:ascii="宋体" w:hAnsi="宋体"/>
                <w:sz w:val="24"/>
              </w:rPr>
              <w:t>HTTP 400 / malformed_multipart_precheck_failed</w:t>
            </w:r>
          </w:p>
        </w:tc>
        <w:tc>
          <w:tcPr>
            <w:tcW w:w="1185" w:type="pct"/>
            <w:tcBorders>
              <w:top w:val="nil"/>
              <w:left w:val="nil"/>
              <w:bottom w:val="nil"/>
              <w:right w:val="nil"/>
            </w:tcBorders>
            <w:tcMar>
              <w:top w:w="-1" w:type="dxa"/>
              <w:left w:w="-1" w:type="dxa"/>
              <w:bottom w:w="-1" w:type="dxa"/>
              <w:right w:w="-1" w:type="dxa"/>
            </w:tcMar>
            <w:vAlign w:val="center"/>
          </w:tcPr>
          <w:p w14:paraId="0D1433C7">
            <w:pPr>
              <w:snapToGrid w:val="0"/>
              <w:jc w:val="center"/>
              <w:rPr>
                <w:rFonts w:ascii="宋体"/>
                <w:sz w:val="24"/>
              </w:rPr>
            </w:pPr>
            <m:oMath>
              <m:r>
                <m:rPr/>
                <w:rPr>
                  <w:rFonts w:ascii="Cambria Math" w:hAnsi="Cambria Math"/>
                  <w:sz w:val="24"/>
                </w:rPr>
                <m:t>ΔFD=+0</m:t>
              </m:r>
            </m:oMath>
            <w:r>
              <w:rPr>
                <w:rFonts w:ascii="宋体" w:hAnsi="宋体"/>
                <w:sz w:val="24"/>
              </w:rPr>
              <w:t>；</w:t>
            </w:r>
            <m:oMath>
              <m:r>
                <m:rPr/>
                <w:rPr>
                  <w:rFonts w:ascii="Cambria Math" w:hAnsi="Cambria Math"/>
                  <w:sz w:val="24"/>
                </w:rPr>
                <m:t>ΔSock=+0</m:t>
              </m:r>
            </m:oMath>
            <w:r>
              <w:rPr>
                <w:rFonts w:ascii="宋体" w:hAnsi="宋体"/>
                <w:sz w:val="24"/>
              </w:rPr>
              <w:t>；</w:t>
            </w:r>
            <m:oMath>
              <m:r>
                <m:rPr/>
                <w:rPr>
                  <w:rFonts w:ascii="Cambria Math" w:hAnsi="Cambria Math"/>
                  <w:sz w:val="24"/>
                </w:rPr>
                <m:t>ΔRSS=+0</m:t>
              </m:r>
            </m:oMath>
            <w:r>
              <w:rPr>
                <w:rFonts w:ascii="宋体" w:hAnsi="宋体"/>
                <w:sz w:val="24"/>
              </w:rPr>
              <w:t>KiB；</w:t>
            </w:r>
            <m:oMath>
              <m:r>
                <m:rPr/>
                <w:rPr>
                  <w:rFonts w:ascii="Cambria Math" w:hAnsi="Cambria Math"/>
                  <w:sz w:val="24"/>
                </w:rPr>
                <m:t>ΔThr=+0</m:t>
              </m:r>
            </m:oMath>
          </w:p>
        </w:tc>
        <w:tc>
          <w:tcPr>
            <w:tcW w:w="1122" w:type="pct"/>
            <w:tcBorders>
              <w:top w:val="nil"/>
              <w:left w:val="nil"/>
              <w:bottom w:val="nil"/>
              <w:right w:val="nil"/>
            </w:tcBorders>
            <w:tcMar>
              <w:top w:w="-1" w:type="dxa"/>
              <w:left w:w="-1" w:type="dxa"/>
              <w:bottom w:w="-1" w:type="dxa"/>
              <w:right w:w="-1" w:type="dxa"/>
            </w:tcMar>
            <w:vAlign w:val="center"/>
          </w:tcPr>
          <w:p w14:paraId="5B130C18">
            <w:pPr>
              <w:snapToGrid w:val="0"/>
              <w:jc w:val="center"/>
              <w:rPr>
                <w:rFonts w:ascii="宋体"/>
                <w:sz w:val="24"/>
              </w:rPr>
            </w:pPr>
            <w:r>
              <w:rPr>
                <w:rFonts w:ascii="宋体" w:hAnsi="宋体"/>
                <w:sz w:val="24"/>
              </w:rPr>
              <w:t>协议异常输入验证记录 / A9</w:t>
            </w:r>
          </w:p>
        </w:tc>
      </w:tr>
      <w:tr w14:paraId="55AD9618">
        <w:tblPrEx>
          <w:tblCellMar>
            <w:top w:w="0" w:type="dxa"/>
            <w:left w:w="108" w:type="dxa"/>
            <w:bottom w:w="0" w:type="dxa"/>
            <w:right w:w="108" w:type="dxa"/>
          </w:tblCellMar>
        </w:tblPrEx>
        <w:trPr>
          <w:jc w:val="center"/>
        </w:trPr>
        <w:tc>
          <w:tcPr>
            <w:tcW w:w="827" w:type="pct"/>
            <w:tcBorders>
              <w:top w:val="nil"/>
              <w:left w:val="nil"/>
              <w:bottom w:val="nil"/>
              <w:right w:val="nil"/>
            </w:tcBorders>
            <w:tcMar>
              <w:top w:w="-1" w:type="dxa"/>
              <w:left w:w="-1" w:type="dxa"/>
              <w:bottom w:w="-1" w:type="dxa"/>
              <w:right w:w="-1" w:type="dxa"/>
            </w:tcMar>
            <w:vAlign w:val="center"/>
          </w:tcPr>
          <w:p w14:paraId="67B84B88">
            <w:pPr>
              <w:snapToGrid w:val="0"/>
              <w:jc w:val="center"/>
              <w:rPr>
                <w:rFonts w:ascii="宋体"/>
                <w:sz w:val="24"/>
              </w:rPr>
            </w:pPr>
            <w:r>
              <w:rPr>
                <w:rFonts w:ascii="宋体" w:hAnsi="宋体"/>
                <w:sz w:val="24"/>
              </w:rPr>
              <w:t>Header 空字节注入</w:t>
            </w:r>
          </w:p>
        </w:tc>
        <w:tc>
          <w:tcPr>
            <w:tcW w:w="1863" w:type="pct"/>
            <w:tcBorders>
              <w:top w:val="nil"/>
              <w:left w:val="nil"/>
              <w:bottom w:val="nil"/>
              <w:right w:val="nil"/>
            </w:tcBorders>
            <w:tcMar>
              <w:top w:w="-1" w:type="dxa"/>
              <w:left w:w="-1" w:type="dxa"/>
              <w:bottom w:w="-1" w:type="dxa"/>
              <w:right w:w="-1" w:type="dxa"/>
            </w:tcMar>
            <w:vAlign w:val="center"/>
          </w:tcPr>
          <w:p w14:paraId="243691A0">
            <w:pPr>
              <w:snapToGrid w:val="0"/>
              <w:jc w:val="center"/>
              <w:rPr>
                <w:rFonts w:ascii="宋体"/>
                <w:sz w:val="24"/>
              </w:rPr>
            </w:pPr>
            <w:r>
              <w:rPr>
                <w:rFonts w:ascii="宋体" w:hAnsi="宋体"/>
                <w:sz w:val="24"/>
              </w:rPr>
              <w:t>HTTP 400 / malformed_multipart_precheck_failed</w:t>
            </w:r>
          </w:p>
        </w:tc>
        <w:tc>
          <w:tcPr>
            <w:tcW w:w="1185" w:type="pct"/>
            <w:tcBorders>
              <w:top w:val="nil"/>
              <w:left w:val="nil"/>
              <w:bottom w:val="nil"/>
              <w:right w:val="nil"/>
            </w:tcBorders>
            <w:tcMar>
              <w:top w:w="-1" w:type="dxa"/>
              <w:left w:w="-1" w:type="dxa"/>
              <w:bottom w:w="-1" w:type="dxa"/>
              <w:right w:w="-1" w:type="dxa"/>
            </w:tcMar>
            <w:vAlign w:val="center"/>
          </w:tcPr>
          <w:p w14:paraId="5C7D6C35">
            <w:pPr>
              <w:snapToGrid w:val="0"/>
              <w:jc w:val="center"/>
              <w:rPr>
                <w:rFonts w:ascii="宋体"/>
                <w:sz w:val="24"/>
              </w:rPr>
            </w:pPr>
            <m:oMath>
              <m:r>
                <m:rPr/>
                <w:rPr>
                  <w:rFonts w:ascii="Cambria Math" w:hAnsi="Cambria Math"/>
                  <w:sz w:val="24"/>
                </w:rPr>
                <m:t>ΔFD=+0</m:t>
              </m:r>
            </m:oMath>
            <w:r>
              <w:rPr>
                <w:rFonts w:ascii="宋体" w:hAnsi="宋体"/>
                <w:sz w:val="24"/>
              </w:rPr>
              <w:t>；</w:t>
            </w:r>
            <m:oMath>
              <m:r>
                <m:rPr/>
                <w:rPr>
                  <w:rFonts w:ascii="Cambria Math" w:hAnsi="Cambria Math"/>
                  <w:sz w:val="24"/>
                </w:rPr>
                <m:t>ΔSock=+0</m:t>
              </m:r>
            </m:oMath>
            <w:r>
              <w:rPr>
                <w:rFonts w:ascii="宋体" w:hAnsi="宋体"/>
                <w:sz w:val="24"/>
              </w:rPr>
              <w:t>；</w:t>
            </w:r>
            <m:oMath>
              <m:r>
                <m:rPr/>
                <w:rPr>
                  <w:rFonts w:ascii="Cambria Math" w:hAnsi="Cambria Math"/>
                  <w:sz w:val="24"/>
                </w:rPr>
                <m:t>ΔRSS=+0</m:t>
              </m:r>
            </m:oMath>
            <w:r>
              <w:rPr>
                <w:rFonts w:ascii="宋体" w:hAnsi="宋体"/>
                <w:sz w:val="24"/>
              </w:rPr>
              <w:t>KiB；</w:t>
            </w:r>
            <m:oMath>
              <m:r>
                <m:rPr/>
                <w:rPr>
                  <w:rFonts w:ascii="Cambria Math" w:hAnsi="Cambria Math"/>
                  <w:sz w:val="24"/>
                </w:rPr>
                <m:t>ΔThr=+0</m:t>
              </m:r>
            </m:oMath>
          </w:p>
        </w:tc>
        <w:tc>
          <w:tcPr>
            <w:tcW w:w="1122" w:type="pct"/>
            <w:tcBorders>
              <w:top w:val="nil"/>
              <w:left w:val="nil"/>
              <w:bottom w:val="nil"/>
              <w:right w:val="nil"/>
            </w:tcBorders>
            <w:tcMar>
              <w:top w:w="-1" w:type="dxa"/>
              <w:left w:w="-1" w:type="dxa"/>
              <w:bottom w:w="-1" w:type="dxa"/>
              <w:right w:w="-1" w:type="dxa"/>
            </w:tcMar>
            <w:vAlign w:val="center"/>
          </w:tcPr>
          <w:p w14:paraId="52AD193A">
            <w:pPr>
              <w:snapToGrid w:val="0"/>
              <w:jc w:val="center"/>
              <w:rPr>
                <w:rFonts w:ascii="宋体"/>
                <w:sz w:val="24"/>
              </w:rPr>
            </w:pPr>
            <w:r>
              <w:rPr>
                <w:rFonts w:ascii="宋体" w:hAnsi="宋体"/>
                <w:sz w:val="24"/>
              </w:rPr>
              <w:t>协议异常输入验证记录 / A10</w:t>
            </w:r>
          </w:p>
        </w:tc>
      </w:tr>
      <w:tr w14:paraId="5A1EB2BF">
        <w:tblPrEx>
          <w:tblCellMar>
            <w:top w:w="0" w:type="dxa"/>
            <w:left w:w="108" w:type="dxa"/>
            <w:bottom w:w="0" w:type="dxa"/>
            <w:right w:w="108" w:type="dxa"/>
          </w:tblCellMar>
        </w:tblPrEx>
        <w:trPr>
          <w:jc w:val="center"/>
        </w:trPr>
        <w:tc>
          <w:tcPr>
            <w:tcW w:w="827" w:type="pct"/>
            <w:tcBorders>
              <w:top w:val="nil"/>
              <w:left w:val="nil"/>
              <w:bottom w:val="nil"/>
              <w:right w:val="nil"/>
            </w:tcBorders>
            <w:tcMar>
              <w:top w:w="-1" w:type="dxa"/>
              <w:left w:w="-1" w:type="dxa"/>
              <w:bottom w:w="-1" w:type="dxa"/>
              <w:right w:w="-1" w:type="dxa"/>
            </w:tcMar>
            <w:vAlign w:val="center"/>
          </w:tcPr>
          <w:p w14:paraId="7F63F041">
            <w:pPr>
              <w:snapToGrid w:val="0"/>
              <w:jc w:val="center"/>
              <w:rPr>
                <w:rFonts w:ascii="宋体"/>
                <w:sz w:val="24"/>
              </w:rPr>
            </w:pPr>
            <w:r>
              <w:rPr>
                <w:rFonts w:ascii="宋体" w:hAnsi="宋体"/>
                <w:sz w:val="24"/>
              </w:rPr>
              <w:t>非空 Epilogue</w:t>
            </w:r>
          </w:p>
        </w:tc>
        <w:tc>
          <w:tcPr>
            <w:tcW w:w="1863" w:type="pct"/>
            <w:tcBorders>
              <w:top w:val="nil"/>
              <w:left w:val="nil"/>
              <w:bottom w:val="nil"/>
              <w:right w:val="nil"/>
            </w:tcBorders>
            <w:tcMar>
              <w:top w:w="-1" w:type="dxa"/>
              <w:left w:w="-1" w:type="dxa"/>
              <w:bottom w:w="-1" w:type="dxa"/>
              <w:right w:w="-1" w:type="dxa"/>
            </w:tcMar>
            <w:vAlign w:val="center"/>
          </w:tcPr>
          <w:p w14:paraId="3804F024">
            <w:pPr>
              <w:snapToGrid w:val="0"/>
              <w:jc w:val="center"/>
              <w:rPr>
                <w:rFonts w:ascii="宋体"/>
                <w:sz w:val="24"/>
              </w:rPr>
            </w:pPr>
            <w:r>
              <w:rPr>
                <w:rFonts w:ascii="宋体" w:hAnsi="宋体"/>
                <w:sz w:val="24"/>
              </w:rPr>
              <w:t>HTTP 400 / malformed_multipart_precheck_failed</w:t>
            </w:r>
          </w:p>
        </w:tc>
        <w:tc>
          <w:tcPr>
            <w:tcW w:w="1185" w:type="pct"/>
            <w:tcBorders>
              <w:top w:val="nil"/>
              <w:left w:val="nil"/>
              <w:bottom w:val="nil"/>
              <w:right w:val="nil"/>
            </w:tcBorders>
            <w:tcMar>
              <w:top w:w="-1" w:type="dxa"/>
              <w:left w:w="-1" w:type="dxa"/>
              <w:bottom w:w="-1" w:type="dxa"/>
              <w:right w:w="-1" w:type="dxa"/>
            </w:tcMar>
            <w:vAlign w:val="center"/>
          </w:tcPr>
          <w:p w14:paraId="307D58BD">
            <w:pPr>
              <w:snapToGrid w:val="0"/>
              <w:jc w:val="center"/>
              <w:rPr>
                <w:rFonts w:ascii="宋体"/>
                <w:sz w:val="24"/>
              </w:rPr>
            </w:pPr>
            <m:oMath>
              <m:r>
                <m:rPr/>
                <w:rPr>
                  <w:rFonts w:ascii="Cambria Math" w:hAnsi="Cambria Math"/>
                  <w:sz w:val="24"/>
                </w:rPr>
                <m:t>ΔFD=+0</m:t>
              </m:r>
            </m:oMath>
            <w:r>
              <w:rPr>
                <w:rFonts w:ascii="宋体" w:hAnsi="宋体"/>
                <w:sz w:val="24"/>
              </w:rPr>
              <w:t>；</w:t>
            </w:r>
            <m:oMath>
              <m:r>
                <m:rPr/>
                <w:rPr>
                  <w:rFonts w:ascii="Cambria Math" w:hAnsi="Cambria Math"/>
                  <w:sz w:val="24"/>
                </w:rPr>
                <m:t>ΔSock=+0</m:t>
              </m:r>
            </m:oMath>
            <w:r>
              <w:rPr>
                <w:rFonts w:ascii="宋体" w:hAnsi="宋体"/>
                <w:sz w:val="24"/>
              </w:rPr>
              <w:t>；</w:t>
            </w:r>
            <m:oMath>
              <m:r>
                <m:rPr/>
                <w:rPr>
                  <w:rFonts w:ascii="Cambria Math" w:hAnsi="Cambria Math"/>
                  <w:sz w:val="24"/>
                </w:rPr>
                <m:t>ΔRSS=+0</m:t>
              </m:r>
            </m:oMath>
            <w:r>
              <w:rPr>
                <w:rFonts w:ascii="宋体" w:hAnsi="宋体"/>
                <w:sz w:val="24"/>
              </w:rPr>
              <w:t>KiB；</w:t>
            </w:r>
            <m:oMath>
              <m:r>
                <m:rPr/>
                <w:rPr>
                  <w:rFonts w:ascii="Cambria Math" w:hAnsi="Cambria Math"/>
                  <w:sz w:val="24"/>
                </w:rPr>
                <m:t>ΔThr=+0</m:t>
              </m:r>
            </m:oMath>
          </w:p>
        </w:tc>
        <w:tc>
          <w:tcPr>
            <w:tcW w:w="1122" w:type="pct"/>
            <w:tcBorders>
              <w:top w:val="nil"/>
              <w:left w:val="nil"/>
              <w:bottom w:val="nil"/>
              <w:right w:val="nil"/>
            </w:tcBorders>
            <w:tcMar>
              <w:top w:w="-1" w:type="dxa"/>
              <w:left w:w="-1" w:type="dxa"/>
              <w:bottom w:w="-1" w:type="dxa"/>
              <w:right w:w="-1" w:type="dxa"/>
            </w:tcMar>
            <w:vAlign w:val="center"/>
          </w:tcPr>
          <w:p w14:paraId="53C22553">
            <w:pPr>
              <w:snapToGrid w:val="0"/>
              <w:jc w:val="center"/>
              <w:rPr>
                <w:rFonts w:ascii="宋体"/>
                <w:sz w:val="24"/>
              </w:rPr>
            </w:pPr>
            <w:r>
              <w:rPr>
                <w:rFonts w:ascii="宋体" w:hAnsi="宋体"/>
                <w:sz w:val="24"/>
              </w:rPr>
              <w:t>协议异常输入验证记录 / A11</w:t>
            </w:r>
          </w:p>
        </w:tc>
      </w:tr>
      <w:tr w14:paraId="57D4DA72">
        <w:tblPrEx>
          <w:tblCellMar>
            <w:top w:w="0" w:type="dxa"/>
            <w:left w:w="108" w:type="dxa"/>
            <w:bottom w:w="0" w:type="dxa"/>
            <w:right w:w="108" w:type="dxa"/>
          </w:tblCellMar>
        </w:tblPrEx>
        <w:trPr>
          <w:jc w:val="center"/>
        </w:trPr>
        <w:tc>
          <w:tcPr>
            <w:tcW w:w="827" w:type="pct"/>
            <w:tcBorders>
              <w:top w:val="nil"/>
              <w:left w:val="nil"/>
              <w:bottom w:val="nil"/>
              <w:right w:val="nil"/>
            </w:tcBorders>
            <w:tcMar>
              <w:top w:w="-1" w:type="dxa"/>
              <w:left w:w="-1" w:type="dxa"/>
              <w:bottom w:w="-1" w:type="dxa"/>
              <w:right w:w="-1" w:type="dxa"/>
            </w:tcMar>
            <w:vAlign w:val="center"/>
          </w:tcPr>
          <w:p w14:paraId="66BC422B">
            <w:pPr>
              <w:snapToGrid w:val="0"/>
              <w:jc w:val="center"/>
              <w:rPr>
                <w:rFonts w:ascii="宋体"/>
                <w:sz w:val="24"/>
              </w:rPr>
            </w:pPr>
            <w:r>
              <w:rPr>
                <w:rFonts w:ascii="宋体" w:hAnsi="宋体"/>
                <w:sz w:val="24"/>
              </w:rPr>
              <w:t>异常 JSON 字符集</w:t>
            </w:r>
          </w:p>
        </w:tc>
        <w:tc>
          <w:tcPr>
            <w:tcW w:w="1863" w:type="pct"/>
            <w:tcBorders>
              <w:top w:val="nil"/>
              <w:left w:val="nil"/>
              <w:bottom w:val="nil"/>
              <w:right w:val="nil"/>
            </w:tcBorders>
            <w:tcMar>
              <w:top w:w="-1" w:type="dxa"/>
              <w:left w:w="-1" w:type="dxa"/>
              <w:bottom w:w="-1" w:type="dxa"/>
              <w:right w:w="-1" w:type="dxa"/>
            </w:tcMar>
            <w:vAlign w:val="center"/>
          </w:tcPr>
          <w:p w14:paraId="5F436454">
            <w:pPr>
              <w:snapToGrid w:val="0"/>
              <w:jc w:val="center"/>
              <w:rPr>
                <w:rFonts w:ascii="宋体"/>
                <w:sz w:val="24"/>
              </w:rPr>
            </w:pPr>
            <w:r>
              <w:rPr>
                <w:rFonts w:ascii="宋体" w:hAnsi="宋体"/>
                <w:sz w:val="24"/>
              </w:rPr>
              <w:t>HTTP 400 / invalid_control_plane_payload</w:t>
            </w:r>
          </w:p>
        </w:tc>
        <w:tc>
          <w:tcPr>
            <w:tcW w:w="1185" w:type="pct"/>
            <w:tcBorders>
              <w:top w:val="nil"/>
              <w:left w:val="nil"/>
              <w:bottom w:val="nil"/>
              <w:right w:val="nil"/>
            </w:tcBorders>
            <w:tcMar>
              <w:top w:w="-1" w:type="dxa"/>
              <w:left w:w="-1" w:type="dxa"/>
              <w:bottom w:w="-1" w:type="dxa"/>
              <w:right w:w="-1" w:type="dxa"/>
            </w:tcMar>
            <w:vAlign w:val="center"/>
          </w:tcPr>
          <w:p w14:paraId="376CDC42">
            <w:pPr>
              <w:snapToGrid w:val="0"/>
              <w:jc w:val="center"/>
              <w:rPr>
                <w:rFonts w:ascii="宋体"/>
                <w:sz w:val="24"/>
              </w:rPr>
            </w:pPr>
            <m:oMath>
              <m:r>
                <m:rPr/>
                <w:rPr>
                  <w:rFonts w:ascii="Cambria Math" w:hAnsi="Cambria Math"/>
                  <w:sz w:val="24"/>
                </w:rPr>
                <m:t>ΔFD=+0</m:t>
              </m:r>
            </m:oMath>
            <w:r>
              <w:rPr>
                <w:rFonts w:ascii="宋体" w:hAnsi="宋体"/>
                <w:sz w:val="24"/>
              </w:rPr>
              <w:t>；</w:t>
            </w:r>
            <m:oMath>
              <m:r>
                <m:rPr/>
                <w:rPr>
                  <w:rFonts w:ascii="Cambria Math" w:hAnsi="Cambria Math"/>
                  <w:sz w:val="24"/>
                </w:rPr>
                <m:t>ΔSock=+0</m:t>
              </m:r>
            </m:oMath>
            <w:r>
              <w:rPr>
                <w:rFonts w:ascii="宋体" w:hAnsi="宋体"/>
                <w:sz w:val="24"/>
              </w:rPr>
              <w:t>；</w:t>
            </w:r>
            <m:oMath>
              <m:r>
                <m:rPr/>
                <w:rPr>
                  <w:rFonts w:ascii="Cambria Math" w:hAnsi="Cambria Math"/>
                  <w:sz w:val="24"/>
                </w:rPr>
                <m:t>ΔRSS=+6604</m:t>
              </m:r>
            </m:oMath>
            <w:r>
              <w:rPr>
                <w:rFonts w:ascii="宋体" w:hAnsi="宋体"/>
                <w:sz w:val="24"/>
              </w:rPr>
              <w:t>KiB；</w:t>
            </w:r>
            <m:oMath>
              <m:r>
                <m:rPr/>
                <w:rPr>
                  <w:rFonts w:ascii="Cambria Math" w:hAnsi="Cambria Math"/>
                  <w:sz w:val="24"/>
                </w:rPr>
                <m:t>ΔThr=+0</m:t>
              </m:r>
            </m:oMath>
          </w:p>
        </w:tc>
        <w:tc>
          <w:tcPr>
            <w:tcW w:w="1122" w:type="pct"/>
            <w:tcBorders>
              <w:top w:val="nil"/>
              <w:left w:val="nil"/>
              <w:bottom w:val="nil"/>
              <w:right w:val="nil"/>
            </w:tcBorders>
            <w:tcMar>
              <w:top w:w="-1" w:type="dxa"/>
              <w:left w:w="-1" w:type="dxa"/>
              <w:bottom w:w="-1" w:type="dxa"/>
              <w:right w:w="-1" w:type="dxa"/>
            </w:tcMar>
            <w:vAlign w:val="center"/>
          </w:tcPr>
          <w:p w14:paraId="664A9F79">
            <w:pPr>
              <w:snapToGrid w:val="0"/>
              <w:jc w:val="center"/>
              <w:rPr>
                <w:rFonts w:ascii="宋体"/>
                <w:sz w:val="24"/>
              </w:rPr>
            </w:pPr>
            <w:r>
              <w:rPr>
                <w:rFonts w:ascii="宋体" w:hAnsi="宋体"/>
                <w:sz w:val="24"/>
              </w:rPr>
              <w:t>协议异常输入验证记录 / A12</w:t>
            </w:r>
          </w:p>
        </w:tc>
      </w:tr>
      <w:tr w14:paraId="3F7CD857">
        <w:tblPrEx>
          <w:tblCellMar>
            <w:top w:w="0" w:type="dxa"/>
            <w:left w:w="108" w:type="dxa"/>
            <w:bottom w:w="0" w:type="dxa"/>
            <w:right w:w="108" w:type="dxa"/>
          </w:tblCellMar>
        </w:tblPrEx>
        <w:trPr>
          <w:jc w:val="center"/>
        </w:trPr>
        <w:tc>
          <w:tcPr>
            <w:tcW w:w="827" w:type="pct"/>
            <w:tcBorders>
              <w:top w:val="nil"/>
              <w:left w:val="nil"/>
              <w:bottom w:val="nil"/>
              <w:right w:val="nil"/>
            </w:tcBorders>
            <w:tcMar>
              <w:top w:w="-1" w:type="dxa"/>
              <w:left w:w="-1" w:type="dxa"/>
              <w:bottom w:w="-1" w:type="dxa"/>
              <w:right w:w="-1" w:type="dxa"/>
            </w:tcMar>
            <w:vAlign w:val="center"/>
          </w:tcPr>
          <w:p w14:paraId="1BCD1A10">
            <w:pPr>
              <w:snapToGrid w:val="0"/>
              <w:jc w:val="center"/>
              <w:rPr>
                <w:rFonts w:ascii="宋体"/>
                <w:sz w:val="24"/>
              </w:rPr>
            </w:pPr>
            <w:r>
              <w:rPr>
                <w:rFonts w:ascii="宋体" w:hAnsi="宋体"/>
                <w:sz w:val="24"/>
              </w:rPr>
              <w:t>截断请求体</w:t>
            </w:r>
          </w:p>
        </w:tc>
        <w:tc>
          <w:tcPr>
            <w:tcW w:w="1863" w:type="pct"/>
            <w:tcBorders>
              <w:top w:val="nil"/>
              <w:left w:val="nil"/>
              <w:bottom w:val="nil"/>
              <w:right w:val="nil"/>
            </w:tcBorders>
            <w:tcMar>
              <w:top w:w="-1" w:type="dxa"/>
              <w:left w:w="-1" w:type="dxa"/>
              <w:bottom w:w="-1" w:type="dxa"/>
              <w:right w:w="-1" w:type="dxa"/>
            </w:tcMar>
            <w:vAlign w:val="center"/>
          </w:tcPr>
          <w:p w14:paraId="266D98B4">
            <w:pPr>
              <w:snapToGrid w:val="0"/>
              <w:jc w:val="center"/>
              <w:rPr>
                <w:rFonts w:ascii="宋体"/>
                <w:sz w:val="24"/>
              </w:rPr>
            </w:pPr>
            <w:r>
              <w:rPr>
                <w:rFonts w:ascii="宋体" w:hAnsi="宋体"/>
                <w:sz w:val="24"/>
              </w:rPr>
              <w:t>HTTP 400 / truncated_body</w:t>
            </w:r>
          </w:p>
        </w:tc>
        <w:tc>
          <w:tcPr>
            <w:tcW w:w="1185" w:type="pct"/>
            <w:tcBorders>
              <w:top w:val="nil"/>
              <w:left w:val="nil"/>
              <w:bottom w:val="nil"/>
              <w:right w:val="nil"/>
            </w:tcBorders>
            <w:tcMar>
              <w:top w:w="-1" w:type="dxa"/>
              <w:left w:w="-1" w:type="dxa"/>
              <w:bottom w:w="-1" w:type="dxa"/>
              <w:right w:w="-1" w:type="dxa"/>
            </w:tcMar>
            <w:vAlign w:val="center"/>
          </w:tcPr>
          <w:p w14:paraId="5587F068">
            <w:pPr>
              <w:snapToGrid w:val="0"/>
              <w:jc w:val="center"/>
              <w:rPr>
                <w:rFonts w:ascii="宋体"/>
                <w:sz w:val="24"/>
              </w:rPr>
            </w:pPr>
            <m:oMath>
              <m:r>
                <m:rPr/>
                <w:rPr>
                  <w:rFonts w:ascii="Cambria Math" w:hAnsi="Cambria Math"/>
                  <w:sz w:val="24"/>
                </w:rPr>
                <m:t>ΔFD=+0</m:t>
              </m:r>
            </m:oMath>
            <w:r>
              <w:rPr>
                <w:rFonts w:ascii="宋体" w:hAnsi="宋体"/>
                <w:sz w:val="24"/>
              </w:rPr>
              <w:t>；</w:t>
            </w:r>
            <m:oMath>
              <m:r>
                <m:rPr/>
                <w:rPr>
                  <w:rFonts w:ascii="Cambria Math" w:hAnsi="Cambria Math"/>
                  <w:sz w:val="24"/>
                </w:rPr>
                <m:t>ΔSock=+0</m:t>
              </m:r>
            </m:oMath>
            <w:r>
              <w:rPr>
                <w:rFonts w:ascii="宋体" w:hAnsi="宋体"/>
                <w:sz w:val="24"/>
              </w:rPr>
              <w:t>；</w:t>
            </w:r>
            <m:oMath>
              <m:r>
                <m:rPr/>
                <w:rPr>
                  <w:rFonts w:ascii="Cambria Math" w:hAnsi="Cambria Math"/>
                  <w:sz w:val="24"/>
                </w:rPr>
                <m:t>ΔRSS=+0</m:t>
              </m:r>
            </m:oMath>
            <w:r>
              <w:rPr>
                <w:rFonts w:ascii="宋体" w:hAnsi="宋体"/>
                <w:sz w:val="24"/>
              </w:rPr>
              <w:t>KiB；</w:t>
            </w:r>
            <m:oMath>
              <m:r>
                <m:rPr/>
                <w:rPr>
                  <w:rFonts w:ascii="Cambria Math" w:hAnsi="Cambria Math"/>
                  <w:sz w:val="24"/>
                </w:rPr>
                <m:t>ΔThr=+0</m:t>
              </m:r>
            </m:oMath>
          </w:p>
        </w:tc>
        <w:tc>
          <w:tcPr>
            <w:tcW w:w="1122" w:type="pct"/>
            <w:tcBorders>
              <w:top w:val="nil"/>
              <w:left w:val="nil"/>
              <w:bottom w:val="nil"/>
              <w:right w:val="nil"/>
            </w:tcBorders>
            <w:tcMar>
              <w:top w:w="-1" w:type="dxa"/>
              <w:left w:w="-1" w:type="dxa"/>
              <w:bottom w:w="-1" w:type="dxa"/>
              <w:right w:w="-1" w:type="dxa"/>
            </w:tcMar>
            <w:vAlign w:val="center"/>
          </w:tcPr>
          <w:p w14:paraId="5B1E9667">
            <w:pPr>
              <w:snapToGrid w:val="0"/>
              <w:jc w:val="center"/>
              <w:rPr>
                <w:rFonts w:ascii="宋体"/>
                <w:sz w:val="24"/>
              </w:rPr>
            </w:pPr>
            <w:r>
              <w:rPr>
                <w:rFonts w:ascii="宋体" w:hAnsi="宋体"/>
                <w:sz w:val="24"/>
              </w:rPr>
              <w:t>协议异常输入验证记录 / A13</w:t>
            </w:r>
          </w:p>
        </w:tc>
      </w:tr>
      <w:tr w14:paraId="72247BC6">
        <w:tblPrEx>
          <w:tblCellMar>
            <w:top w:w="0" w:type="dxa"/>
            <w:left w:w="108" w:type="dxa"/>
            <w:bottom w:w="0" w:type="dxa"/>
            <w:right w:w="108" w:type="dxa"/>
          </w:tblCellMar>
        </w:tblPrEx>
        <w:trPr>
          <w:jc w:val="center"/>
        </w:trPr>
        <w:tc>
          <w:tcPr>
            <w:tcW w:w="827" w:type="pct"/>
            <w:tcBorders>
              <w:top w:val="nil"/>
              <w:left w:val="nil"/>
              <w:bottom w:val="nil"/>
              <w:right w:val="nil"/>
            </w:tcBorders>
            <w:tcMar>
              <w:top w:w="-1" w:type="dxa"/>
              <w:left w:w="-1" w:type="dxa"/>
              <w:bottom w:w="-1" w:type="dxa"/>
              <w:right w:w="-1" w:type="dxa"/>
            </w:tcMar>
            <w:vAlign w:val="center"/>
          </w:tcPr>
          <w:p w14:paraId="3384632A">
            <w:pPr>
              <w:snapToGrid w:val="0"/>
              <w:jc w:val="center"/>
              <w:rPr>
                <w:rFonts w:ascii="宋体"/>
                <w:sz w:val="24"/>
              </w:rPr>
            </w:pPr>
            <w:r>
              <w:rPr>
                <w:rFonts w:ascii="宋体" w:hAnsi="宋体"/>
                <w:sz w:val="24"/>
              </w:rPr>
              <w:t>重复 Nonce 并发重放</w:t>
            </w:r>
          </w:p>
        </w:tc>
        <w:tc>
          <w:tcPr>
            <w:tcW w:w="1863" w:type="pct"/>
            <w:tcBorders>
              <w:top w:val="nil"/>
              <w:left w:val="nil"/>
              <w:bottom w:val="nil"/>
              <w:right w:val="nil"/>
            </w:tcBorders>
            <w:tcMar>
              <w:top w:w="-1" w:type="dxa"/>
              <w:left w:w="-1" w:type="dxa"/>
              <w:bottom w:w="-1" w:type="dxa"/>
              <w:right w:w="-1" w:type="dxa"/>
            </w:tcMar>
            <w:vAlign w:val="center"/>
          </w:tcPr>
          <w:p w14:paraId="78DD08C3">
            <w:pPr>
              <w:snapToGrid w:val="0"/>
              <w:jc w:val="center"/>
              <w:rPr>
                <w:rFonts w:ascii="宋体"/>
                <w:sz w:val="24"/>
              </w:rPr>
            </w:pPr>
            <w:r>
              <w:rPr>
                <w:rFonts w:ascii="宋体" w:hAnsi="宋体"/>
                <w:sz w:val="24"/>
              </w:rPr>
              <w:t>duplicate_nonce×3；200×1</w:t>
            </w:r>
          </w:p>
        </w:tc>
        <w:tc>
          <w:tcPr>
            <w:tcW w:w="1185" w:type="pct"/>
            <w:tcBorders>
              <w:top w:val="nil"/>
              <w:left w:val="nil"/>
              <w:bottom w:val="nil"/>
              <w:right w:val="nil"/>
            </w:tcBorders>
            <w:tcMar>
              <w:top w:w="-1" w:type="dxa"/>
              <w:left w:w="-1" w:type="dxa"/>
              <w:bottom w:w="-1" w:type="dxa"/>
              <w:right w:w="-1" w:type="dxa"/>
            </w:tcMar>
            <w:vAlign w:val="center"/>
          </w:tcPr>
          <w:p w14:paraId="52A61E1E">
            <w:pPr>
              <w:snapToGrid w:val="0"/>
              <w:jc w:val="center"/>
              <w:rPr>
                <w:rFonts w:ascii="宋体"/>
                <w:sz w:val="24"/>
              </w:rPr>
            </w:pPr>
            <m:oMath>
              <m:r>
                <m:rPr/>
                <w:rPr>
                  <w:rFonts w:ascii="Cambria Math" w:hAnsi="Cambria Math"/>
                  <w:sz w:val="24"/>
                </w:rPr>
                <m:t>ΔFD=+0</m:t>
              </m:r>
            </m:oMath>
            <w:r>
              <w:rPr>
                <w:rFonts w:ascii="宋体" w:hAnsi="宋体"/>
                <w:sz w:val="24"/>
              </w:rPr>
              <w:t>；</w:t>
            </w:r>
            <m:oMath>
              <m:r>
                <m:rPr/>
                <w:rPr>
                  <w:rFonts w:ascii="Cambria Math" w:hAnsi="Cambria Math"/>
                  <w:sz w:val="24"/>
                </w:rPr>
                <m:t>ΔSock=+0</m:t>
              </m:r>
            </m:oMath>
            <w:r>
              <w:rPr>
                <w:rFonts w:ascii="宋体" w:hAnsi="宋体"/>
                <w:sz w:val="24"/>
              </w:rPr>
              <w:t>；</w:t>
            </w:r>
            <m:oMath>
              <m:r>
                <m:rPr/>
                <w:rPr>
                  <w:rFonts w:ascii="Cambria Math" w:hAnsi="Cambria Math"/>
                  <w:sz w:val="24"/>
                </w:rPr>
                <m:t>ΔRSS=+30632</m:t>
              </m:r>
            </m:oMath>
            <w:r>
              <w:rPr>
                <w:rFonts w:ascii="宋体" w:hAnsi="宋体"/>
                <w:sz w:val="24"/>
              </w:rPr>
              <w:t>KiB；</w:t>
            </w:r>
            <m:oMath>
              <m:r>
                <m:rPr/>
                <w:rPr>
                  <w:rFonts w:ascii="Cambria Math" w:hAnsi="Cambria Math"/>
                  <w:sz w:val="24"/>
                </w:rPr>
                <m:t>ΔThr=+0</m:t>
              </m:r>
            </m:oMath>
          </w:p>
        </w:tc>
        <w:tc>
          <w:tcPr>
            <w:tcW w:w="1122" w:type="pct"/>
            <w:tcBorders>
              <w:top w:val="nil"/>
              <w:left w:val="nil"/>
              <w:bottom w:val="nil"/>
              <w:right w:val="nil"/>
            </w:tcBorders>
            <w:tcMar>
              <w:top w:w="-1" w:type="dxa"/>
              <w:left w:w="-1" w:type="dxa"/>
              <w:bottom w:w="-1" w:type="dxa"/>
              <w:right w:w="-1" w:type="dxa"/>
            </w:tcMar>
            <w:vAlign w:val="center"/>
          </w:tcPr>
          <w:p w14:paraId="49DE59B6">
            <w:pPr>
              <w:snapToGrid w:val="0"/>
              <w:jc w:val="center"/>
              <w:rPr>
                <w:rFonts w:ascii="宋体"/>
                <w:sz w:val="24"/>
              </w:rPr>
            </w:pPr>
            <w:r>
              <w:rPr>
                <w:rFonts w:ascii="宋体" w:hAnsi="宋体"/>
                <w:sz w:val="24"/>
              </w:rPr>
              <w:t>控制面守卫验证记录 / G1</w:t>
            </w:r>
          </w:p>
        </w:tc>
      </w:tr>
      <w:tr w14:paraId="3072AA67">
        <w:tblPrEx>
          <w:tblCellMar>
            <w:top w:w="0" w:type="dxa"/>
            <w:left w:w="108" w:type="dxa"/>
            <w:bottom w:w="0" w:type="dxa"/>
            <w:right w:w="108" w:type="dxa"/>
          </w:tblCellMar>
        </w:tblPrEx>
        <w:trPr>
          <w:jc w:val="center"/>
        </w:trPr>
        <w:tc>
          <w:tcPr>
            <w:tcW w:w="827" w:type="pct"/>
            <w:tcBorders>
              <w:top w:val="nil"/>
              <w:left w:val="nil"/>
              <w:bottom w:val="nil"/>
              <w:right w:val="nil"/>
            </w:tcBorders>
            <w:tcMar>
              <w:top w:w="-1" w:type="dxa"/>
              <w:left w:w="-1" w:type="dxa"/>
              <w:bottom w:w="-1" w:type="dxa"/>
              <w:right w:w="-1" w:type="dxa"/>
            </w:tcMar>
            <w:vAlign w:val="center"/>
          </w:tcPr>
          <w:p w14:paraId="7CAD40E7">
            <w:pPr>
              <w:snapToGrid w:val="0"/>
              <w:jc w:val="center"/>
              <w:rPr>
                <w:rFonts w:ascii="宋体"/>
                <w:sz w:val="24"/>
              </w:rPr>
            </w:pPr>
            <w:r>
              <w:rPr>
                <w:rFonts w:ascii="宋体" w:hAnsi="宋体"/>
                <w:sz w:val="24"/>
              </w:rPr>
              <w:t>同载荷换 Nonce</w:t>
            </w:r>
          </w:p>
        </w:tc>
        <w:tc>
          <w:tcPr>
            <w:tcW w:w="1863" w:type="pct"/>
            <w:tcBorders>
              <w:top w:val="nil"/>
              <w:left w:val="nil"/>
              <w:bottom w:val="nil"/>
              <w:right w:val="nil"/>
            </w:tcBorders>
            <w:tcMar>
              <w:top w:w="-1" w:type="dxa"/>
              <w:left w:w="-1" w:type="dxa"/>
              <w:bottom w:w="-1" w:type="dxa"/>
              <w:right w:w="-1" w:type="dxa"/>
            </w:tcMar>
            <w:vAlign w:val="center"/>
          </w:tcPr>
          <w:p w14:paraId="1D9FE65D">
            <w:pPr>
              <w:snapToGrid w:val="0"/>
              <w:jc w:val="center"/>
              <w:rPr>
                <w:rFonts w:ascii="宋体"/>
                <w:sz w:val="24"/>
              </w:rPr>
            </w:pPr>
            <w:r>
              <w:rPr>
                <w:rFonts w:ascii="宋体" w:hAnsi="宋体"/>
                <w:sz w:val="24"/>
              </w:rPr>
              <w:t>首发 200；复发 duplicate_payload</w:t>
            </w:r>
          </w:p>
        </w:tc>
        <w:tc>
          <w:tcPr>
            <w:tcW w:w="1185" w:type="pct"/>
            <w:tcBorders>
              <w:top w:val="nil"/>
              <w:left w:val="nil"/>
              <w:bottom w:val="nil"/>
              <w:right w:val="nil"/>
            </w:tcBorders>
            <w:tcMar>
              <w:top w:w="-1" w:type="dxa"/>
              <w:left w:w="-1" w:type="dxa"/>
              <w:bottom w:w="-1" w:type="dxa"/>
              <w:right w:w="-1" w:type="dxa"/>
            </w:tcMar>
            <w:vAlign w:val="center"/>
          </w:tcPr>
          <w:p w14:paraId="1A554EC9">
            <w:pPr>
              <w:snapToGrid w:val="0"/>
              <w:jc w:val="center"/>
              <w:rPr>
                <w:rFonts w:ascii="宋体"/>
                <w:sz w:val="24"/>
              </w:rPr>
            </w:pPr>
            <m:oMath>
              <m:r>
                <m:rPr/>
                <w:rPr>
                  <w:rFonts w:ascii="Cambria Math" w:hAnsi="Cambria Math"/>
                  <w:sz w:val="24"/>
                </w:rPr>
                <m:t>ΔFD=+0</m:t>
              </m:r>
            </m:oMath>
            <w:r>
              <w:rPr>
                <w:rFonts w:ascii="宋体" w:hAnsi="宋体"/>
                <w:sz w:val="24"/>
              </w:rPr>
              <w:t>；</w:t>
            </w:r>
            <m:oMath>
              <m:r>
                <m:rPr/>
                <w:rPr>
                  <w:rFonts w:ascii="Cambria Math" w:hAnsi="Cambria Math"/>
                  <w:sz w:val="24"/>
                </w:rPr>
                <m:t>ΔSock=+0</m:t>
              </m:r>
            </m:oMath>
            <w:r>
              <w:rPr>
                <w:rFonts w:ascii="宋体" w:hAnsi="宋体"/>
                <w:sz w:val="24"/>
              </w:rPr>
              <w:t>；</w:t>
            </w:r>
            <m:oMath>
              <m:r>
                <m:rPr/>
                <w:rPr>
                  <w:rFonts w:ascii="Cambria Math" w:hAnsi="Cambria Math"/>
                  <w:sz w:val="24"/>
                </w:rPr>
                <m:t>ΔRSS=+16032</m:t>
              </m:r>
            </m:oMath>
            <w:r>
              <w:rPr>
                <w:rFonts w:ascii="宋体" w:hAnsi="宋体"/>
                <w:sz w:val="24"/>
              </w:rPr>
              <w:t>KiB；</w:t>
            </w:r>
            <m:oMath>
              <m:r>
                <m:rPr/>
                <w:rPr>
                  <w:rFonts w:ascii="Cambria Math" w:hAnsi="Cambria Math"/>
                  <w:sz w:val="24"/>
                </w:rPr>
                <m:t>ΔThr=+0</m:t>
              </m:r>
            </m:oMath>
          </w:p>
        </w:tc>
        <w:tc>
          <w:tcPr>
            <w:tcW w:w="1122" w:type="pct"/>
            <w:tcBorders>
              <w:top w:val="nil"/>
              <w:left w:val="nil"/>
              <w:bottom w:val="nil"/>
              <w:right w:val="nil"/>
            </w:tcBorders>
            <w:tcMar>
              <w:top w:w="-1" w:type="dxa"/>
              <w:left w:w="-1" w:type="dxa"/>
              <w:bottom w:w="-1" w:type="dxa"/>
              <w:right w:w="-1" w:type="dxa"/>
            </w:tcMar>
            <w:vAlign w:val="center"/>
          </w:tcPr>
          <w:p w14:paraId="55BC360E">
            <w:pPr>
              <w:snapToGrid w:val="0"/>
              <w:jc w:val="center"/>
              <w:rPr>
                <w:rFonts w:ascii="宋体"/>
                <w:sz w:val="24"/>
              </w:rPr>
            </w:pPr>
            <w:r>
              <w:rPr>
                <w:rFonts w:ascii="宋体" w:hAnsi="宋体"/>
                <w:sz w:val="24"/>
              </w:rPr>
              <w:t>控制面守卫验证记录 / G2</w:t>
            </w:r>
          </w:p>
        </w:tc>
      </w:tr>
      <w:tr w14:paraId="2FC1089B">
        <w:tblPrEx>
          <w:tblCellMar>
            <w:top w:w="0" w:type="dxa"/>
            <w:left w:w="108" w:type="dxa"/>
            <w:bottom w:w="0" w:type="dxa"/>
            <w:right w:w="108" w:type="dxa"/>
          </w:tblCellMar>
        </w:tblPrEx>
        <w:trPr>
          <w:jc w:val="center"/>
        </w:trPr>
        <w:tc>
          <w:tcPr>
            <w:tcW w:w="827" w:type="pct"/>
            <w:tcBorders>
              <w:top w:val="nil"/>
              <w:left w:val="nil"/>
              <w:bottom w:val="nil"/>
              <w:right w:val="nil"/>
            </w:tcBorders>
            <w:tcMar>
              <w:top w:w="-1" w:type="dxa"/>
              <w:left w:w="-1" w:type="dxa"/>
              <w:bottom w:w="-1" w:type="dxa"/>
              <w:right w:w="-1" w:type="dxa"/>
            </w:tcMar>
            <w:vAlign w:val="center"/>
          </w:tcPr>
          <w:p w14:paraId="39FFF9CD">
            <w:pPr>
              <w:snapToGrid w:val="0"/>
              <w:jc w:val="center"/>
              <w:rPr>
                <w:rFonts w:ascii="宋体"/>
                <w:sz w:val="24"/>
              </w:rPr>
            </w:pPr>
            <w:r>
              <w:rPr>
                <w:rFonts w:ascii="宋体" w:hAnsi="宋体"/>
                <w:sz w:val="24"/>
              </w:rPr>
              <w:t>同 IP 并发占满</w:t>
            </w:r>
          </w:p>
        </w:tc>
        <w:tc>
          <w:tcPr>
            <w:tcW w:w="1863" w:type="pct"/>
            <w:tcBorders>
              <w:top w:val="nil"/>
              <w:left w:val="nil"/>
              <w:bottom w:val="nil"/>
              <w:right w:val="nil"/>
            </w:tcBorders>
            <w:tcMar>
              <w:top w:w="-1" w:type="dxa"/>
              <w:left w:w="-1" w:type="dxa"/>
              <w:bottom w:w="-1" w:type="dxa"/>
              <w:right w:w="-1" w:type="dxa"/>
            </w:tcMar>
            <w:vAlign w:val="center"/>
          </w:tcPr>
          <w:p w14:paraId="2C1EF2C8">
            <w:pPr>
              <w:snapToGrid w:val="0"/>
              <w:jc w:val="center"/>
              <w:rPr>
                <w:rFonts w:ascii="宋体"/>
                <w:sz w:val="24"/>
              </w:rPr>
            </w:pPr>
            <w:r>
              <w:rPr>
                <w:rFonts w:ascii="宋体" w:hAnsi="宋体"/>
                <w:sz w:val="24"/>
              </w:rPr>
              <w:t>200×2；busy_retry_later×2</w:t>
            </w:r>
          </w:p>
        </w:tc>
        <w:tc>
          <w:tcPr>
            <w:tcW w:w="1185" w:type="pct"/>
            <w:tcBorders>
              <w:top w:val="nil"/>
              <w:left w:val="nil"/>
              <w:bottom w:val="nil"/>
              <w:right w:val="nil"/>
            </w:tcBorders>
            <w:tcMar>
              <w:top w:w="-1" w:type="dxa"/>
              <w:left w:w="-1" w:type="dxa"/>
              <w:bottom w:w="-1" w:type="dxa"/>
              <w:right w:w="-1" w:type="dxa"/>
            </w:tcMar>
            <w:vAlign w:val="center"/>
          </w:tcPr>
          <w:p w14:paraId="3A54BD2C">
            <w:pPr>
              <w:snapToGrid w:val="0"/>
              <w:jc w:val="center"/>
              <w:rPr>
                <w:rFonts w:ascii="宋体"/>
                <w:sz w:val="24"/>
              </w:rPr>
            </w:pPr>
            <m:oMath>
              <m:r>
                <m:rPr/>
                <w:rPr>
                  <w:rFonts w:ascii="Cambria Math" w:hAnsi="Cambria Math"/>
                  <w:sz w:val="24"/>
                </w:rPr>
                <m:t>ΔFD=+0</m:t>
              </m:r>
            </m:oMath>
            <w:r>
              <w:rPr>
                <w:rFonts w:ascii="宋体" w:hAnsi="宋体"/>
                <w:sz w:val="24"/>
              </w:rPr>
              <w:t>；</w:t>
            </w:r>
            <m:oMath>
              <m:r>
                <m:rPr/>
                <w:rPr>
                  <w:rFonts w:ascii="Cambria Math" w:hAnsi="Cambria Math"/>
                  <w:sz w:val="24"/>
                </w:rPr>
                <m:t>ΔSock=+0</m:t>
              </m:r>
            </m:oMath>
            <w:r>
              <w:rPr>
                <w:rFonts w:ascii="宋体" w:hAnsi="宋体"/>
                <w:sz w:val="24"/>
              </w:rPr>
              <w:t>；</w:t>
            </w:r>
            <m:oMath>
              <m:r>
                <m:rPr/>
                <w:rPr>
                  <w:rFonts w:ascii="Cambria Math" w:hAnsi="Cambria Math"/>
                  <w:sz w:val="24"/>
                </w:rPr>
                <m:t>ΔRSS=+47004</m:t>
              </m:r>
            </m:oMath>
            <w:r>
              <w:rPr>
                <w:rFonts w:ascii="宋体" w:hAnsi="宋体"/>
                <w:sz w:val="24"/>
              </w:rPr>
              <w:t>KiB；</w:t>
            </w:r>
            <m:oMath>
              <m:r>
                <m:rPr/>
                <w:rPr>
                  <w:rFonts w:ascii="Cambria Math" w:hAnsi="Cambria Math"/>
                  <w:sz w:val="24"/>
                </w:rPr>
                <m:t>ΔThr=+0</m:t>
              </m:r>
            </m:oMath>
          </w:p>
        </w:tc>
        <w:tc>
          <w:tcPr>
            <w:tcW w:w="1122" w:type="pct"/>
            <w:tcBorders>
              <w:top w:val="nil"/>
              <w:left w:val="nil"/>
              <w:bottom w:val="nil"/>
              <w:right w:val="nil"/>
            </w:tcBorders>
            <w:tcMar>
              <w:top w:w="-1" w:type="dxa"/>
              <w:left w:w="-1" w:type="dxa"/>
              <w:bottom w:w="-1" w:type="dxa"/>
              <w:right w:w="-1" w:type="dxa"/>
            </w:tcMar>
            <w:vAlign w:val="center"/>
          </w:tcPr>
          <w:p w14:paraId="5FEA04A5">
            <w:pPr>
              <w:snapToGrid w:val="0"/>
              <w:jc w:val="center"/>
              <w:rPr>
                <w:rFonts w:ascii="宋体"/>
                <w:sz w:val="24"/>
              </w:rPr>
            </w:pPr>
            <w:r>
              <w:rPr>
                <w:rFonts w:ascii="宋体" w:hAnsi="宋体"/>
                <w:sz w:val="24"/>
              </w:rPr>
              <w:t>控制面守卫验证记录 / G3</w:t>
            </w:r>
          </w:p>
        </w:tc>
      </w:tr>
      <w:tr w14:paraId="031BE923">
        <w:tblPrEx>
          <w:tblCellMar>
            <w:top w:w="0" w:type="dxa"/>
            <w:left w:w="108" w:type="dxa"/>
            <w:bottom w:w="0" w:type="dxa"/>
            <w:right w:w="108" w:type="dxa"/>
          </w:tblCellMar>
        </w:tblPrEx>
        <w:trPr>
          <w:jc w:val="center"/>
        </w:trPr>
        <w:tc>
          <w:tcPr>
            <w:tcW w:w="827" w:type="pct"/>
            <w:tcBorders>
              <w:top w:val="nil"/>
              <w:left w:val="nil"/>
              <w:bottom w:val="single" w:color="auto" w:sz="12" w:space="0"/>
              <w:right w:val="nil"/>
            </w:tcBorders>
            <w:tcMar>
              <w:top w:w="-1" w:type="dxa"/>
              <w:left w:w="-1" w:type="dxa"/>
              <w:bottom w:w="-1" w:type="dxa"/>
              <w:right w:w="-1" w:type="dxa"/>
            </w:tcMar>
            <w:vAlign w:val="center"/>
          </w:tcPr>
          <w:p w14:paraId="1B73F3E8">
            <w:pPr>
              <w:snapToGrid w:val="0"/>
              <w:jc w:val="center"/>
              <w:rPr>
                <w:rFonts w:ascii="宋体"/>
                <w:sz w:val="24"/>
              </w:rPr>
            </w:pPr>
            <w:r>
              <w:rPr>
                <w:rFonts w:ascii="宋体" w:hAnsi="宋体"/>
                <w:sz w:val="24"/>
              </w:rPr>
              <w:t>短窗限频</w:t>
            </w:r>
          </w:p>
        </w:tc>
        <w:tc>
          <w:tcPr>
            <w:tcW w:w="1863" w:type="pct"/>
            <w:tcBorders>
              <w:top w:val="nil"/>
              <w:left w:val="nil"/>
              <w:bottom w:val="single" w:color="auto" w:sz="12" w:space="0"/>
              <w:right w:val="nil"/>
            </w:tcBorders>
            <w:tcMar>
              <w:top w:w="-1" w:type="dxa"/>
              <w:left w:w="-1" w:type="dxa"/>
              <w:bottom w:w="-1" w:type="dxa"/>
              <w:right w:w="-1" w:type="dxa"/>
            </w:tcMar>
            <w:vAlign w:val="center"/>
          </w:tcPr>
          <w:p w14:paraId="4A60DDB4">
            <w:pPr>
              <w:snapToGrid w:val="0"/>
              <w:jc w:val="center"/>
              <w:rPr>
                <w:rFonts w:ascii="宋体"/>
                <w:sz w:val="24"/>
              </w:rPr>
            </w:pPr>
            <w:r>
              <w:rPr>
                <w:rFonts w:ascii="宋体" w:hAnsi="宋体"/>
                <w:sz w:val="24"/>
              </w:rPr>
              <w:t>invalid_content_length×6；rate_limited_ip×2</w:t>
            </w:r>
          </w:p>
        </w:tc>
        <w:tc>
          <w:tcPr>
            <w:tcW w:w="1185" w:type="pct"/>
            <w:tcBorders>
              <w:top w:val="nil"/>
              <w:left w:val="nil"/>
              <w:bottom w:val="single" w:color="auto" w:sz="12" w:space="0"/>
              <w:right w:val="nil"/>
            </w:tcBorders>
            <w:tcMar>
              <w:top w:w="-1" w:type="dxa"/>
              <w:left w:w="-1" w:type="dxa"/>
              <w:bottom w:w="-1" w:type="dxa"/>
              <w:right w:w="-1" w:type="dxa"/>
            </w:tcMar>
            <w:vAlign w:val="center"/>
          </w:tcPr>
          <w:p w14:paraId="012614BE">
            <w:pPr>
              <w:snapToGrid w:val="0"/>
              <w:jc w:val="center"/>
              <w:rPr>
                <w:rFonts w:ascii="宋体"/>
                <w:sz w:val="24"/>
              </w:rPr>
            </w:pPr>
            <m:oMath>
              <m:r>
                <m:rPr/>
                <w:rPr>
                  <w:rFonts w:ascii="Cambria Math" w:hAnsi="Cambria Math"/>
                  <w:sz w:val="24"/>
                </w:rPr>
                <m:t>ΔFD=+0</m:t>
              </m:r>
            </m:oMath>
            <w:r>
              <w:rPr>
                <w:rFonts w:ascii="宋体" w:hAnsi="宋体"/>
                <w:sz w:val="24"/>
              </w:rPr>
              <w:t>；</w:t>
            </w:r>
            <m:oMath>
              <m:r>
                <m:rPr/>
                <w:rPr>
                  <w:rFonts w:ascii="Cambria Math" w:hAnsi="Cambria Math"/>
                  <w:sz w:val="24"/>
                </w:rPr>
                <m:t>ΔSock=+0</m:t>
              </m:r>
            </m:oMath>
            <w:r>
              <w:rPr>
                <w:rFonts w:ascii="宋体" w:hAnsi="宋体"/>
                <w:sz w:val="24"/>
              </w:rPr>
              <w:t>；</w:t>
            </w:r>
            <m:oMath>
              <m:r>
                <m:rPr/>
                <w:rPr>
                  <w:rFonts w:ascii="Cambria Math" w:hAnsi="Cambria Math"/>
                  <w:sz w:val="24"/>
                </w:rPr>
                <m:t>ΔRSS=+128</m:t>
              </m:r>
            </m:oMath>
            <w:r>
              <w:rPr>
                <w:rFonts w:ascii="宋体" w:hAnsi="宋体"/>
                <w:sz w:val="24"/>
              </w:rPr>
              <w:t>KiB；</w:t>
            </w:r>
            <m:oMath>
              <m:r>
                <m:rPr/>
                <w:rPr>
                  <w:rFonts w:ascii="Cambria Math" w:hAnsi="Cambria Math"/>
                  <w:sz w:val="24"/>
                </w:rPr>
                <m:t>ΔThr=+0</m:t>
              </m:r>
            </m:oMath>
          </w:p>
        </w:tc>
        <w:tc>
          <w:tcPr>
            <w:tcW w:w="1122" w:type="pct"/>
            <w:tcBorders>
              <w:top w:val="nil"/>
              <w:left w:val="nil"/>
              <w:bottom w:val="single" w:color="auto" w:sz="12" w:space="0"/>
              <w:right w:val="nil"/>
            </w:tcBorders>
            <w:tcMar>
              <w:top w:w="-1" w:type="dxa"/>
              <w:left w:w="-1" w:type="dxa"/>
              <w:bottom w:w="-1" w:type="dxa"/>
              <w:right w:w="-1" w:type="dxa"/>
            </w:tcMar>
            <w:vAlign w:val="center"/>
          </w:tcPr>
          <w:p w14:paraId="2CF6620A">
            <w:pPr>
              <w:snapToGrid w:val="0"/>
              <w:jc w:val="center"/>
              <w:rPr>
                <w:rFonts w:ascii="宋体"/>
                <w:sz w:val="24"/>
              </w:rPr>
            </w:pPr>
            <w:r>
              <w:rPr>
                <w:rFonts w:ascii="宋体" w:hAnsi="宋体"/>
                <w:sz w:val="24"/>
              </w:rPr>
              <w:t>控制面守卫验证记录 / G4</w:t>
            </w:r>
          </w:p>
        </w:tc>
      </w:tr>
    </w:tbl>
    <w:p w14:paraId="60CB97FA">
      <w:pPr>
        <w:spacing w:line="360" w:lineRule="auto"/>
        <w:jc w:val="center"/>
      </w:pPr>
      <w:r>
        <w:rPr>
          <w:rFonts w:ascii="宋体" w:hAnsi="宋体" w:cs="宋体"/>
          <w:sz w:val="24"/>
        </w:rPr>
        <w:t>注：系统状态指标 ΔFD、ΔSock、ΔRSS、ΔThr 均为异常处理完成后 10 秒的观测值与基线值的差值；所有证据文件均已留存于仓内 tools/evidence 目录。</w:t>
      </w:r>
    </w:p>
    <w:p w14:paraId="7D92331D">
      <w:pPr>
        <w:spacing w:line="360" w:lineRule="auto"/>
        <w:jc w:val="center"/>
      </w:pPr>
      <w:r>
        <w:drawing>
          <wp:inline distT="0" distB="0" distL="114300" distR="114300">
            <wp:extent cx="5205730" cy="3329940"/>
            <wp:effectExtent l="0" t="0" r="127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stretch>
                      <a:fillRect/>
                    </a:stretch>
                  </pic:blipFill>
                  <pic:spPr>
                    <a:xfrm>
                      <a:off x="0" y="0"/>
                      <a:ext cx="5205730" cy="3329940"/>
                    </a:xfrm>
                    <a:prstGeom prst="rect">
                      <a:avLst/>
                    </a:prstGeom>
                  </pic:spPr>
                </pic:pic>
              </a:graphicData>
            </a:graphic>
          </wp:inline>
        </w:drawing>
      </w:r>
    </w:p>
    <w:p w14:paraId="6CBFDE29">
      <w:pPr>
        <w:spacing w:line="288" w:lineRule="auto"/>
        <w:jc w:val="center"/>
      </w:pPr>
      <w:r>
        <w:rPr>
          <w:rFonts w:ascii="宋体" w:hAnsi="宋体"/>
          <w:sz w:val="20"/>
        </w:rPr>
        <w:t>图4-</w:t>
      </w:r>
      <w:r>
        <w:rPr>
          <w:rFonts w:hint="eastAsia" w:ascii="宋体" w:hAnsi="宋体"/>
          <w:sz w:val="20"/>
          <w:lang w:val="en-US" w:eastAsia="zh-CN"/>
        </w:rPr>
        <w:t>4</w:t>
      </w:r>
      <w:r>
        <w:rPr>
          <w:rFonts w:ascii="宋体" w:hAnsi="宋体"/>
          <w:sz w:val="20"/>
        </w:rPr>
        <w:t xml:space="preserve"> 协议层异常输入与控制面兜底验证矩阵：同时显示首个拦截层级与文件描述符、套接字及常驻内存回落摘要。</w:t>
      </w:r>
    </w:p>
    <w:p w14:paraId="17BACA33">
      <w:pPr>
        <w:spacing w:line="360" w:lineRule="auto"/>
        <w:ind w:firstLine="480"/>
      </w:pPr>
      <w:r>
        <w:rPr>
          <w:rFonts w:ascii="宋体" w:hAnsi="宋体"/>
          <w:sz w:val="24"/>
        </w:rPr>
        <w:t>资源状态采用可观测代理指标描述，而不作无法直接证明的绝对化承诺。本文将“系统仍可服务”限定为：请求结束后 inflight 占用计数回落，文件描述符数量与套接字文件描述符数量回到基线附近，未观察到连接句柄持续泄漏；常驻内存在部分已通过前置校验的压力用例中出现瞬时抬升，但重复异常注入测试后未观察到单调持续增长，因此仅将其表述为原型阶段的瞬时资源成本，而不宣称所有指标完全归零。</w:t>
      </w:r>
    </w:p>
    <w:p w14:paraId="73EBD161">
      <w:pPr>
        <w:spacing w:line="360" w:lineRule="auto"/>
        <w:outlineLvl w:val="1"/>
        <w:rPr>
          <w:rFonts w:hint="eastAsia" w:ascii="黑体" w:hAnsi="黑体" w:eastAsia="黑体"/>
          <w:b/>
          <w:sz w:val="24"/>
        </w:rPr>
      </w:pPr>
      <w:bookmarkStart w:id="50" w:name="Transshield_TOC_section_4_7"/>
      <w:bookmarkStart w:id="51" w:name="_Toc230691165"/>
      <w:r>
        <w:rPr>
          <w:rFonts w:ascii="黑体" w:hAnsi="黑体" w:eastAsia="黑体"/>
          <w:b/>
          <w:sz w:val="24"/>
        </w:rPr>
        <w:t>4.7 结果分析</w:t>
      </w:r>
      <w:bookmarkEnd w:id="50"/>
      <w:bookmarkEnd w:id="51"/>
    </w:p>
    <w:p w14:paraId="38CC61B0">
      <w:pPr>
        <w:spacing w:line="360" w:lineRule="auto"/>
        <w:ind w:firstLine="480"/>
        <w:rPr>
          <w:rFonts w:hint="eastAsia" w:ascii="宋体" w:hAnsi="宋体"/>
          <w:sz w:val="24"/>
        </w:rPr>
      </w:pPr>
      <w:r>
        <w:rPr>
          <w:rFonts w:ascii="宋体" w:hAnsi="宋体"/>
          <w:sz w:val="24"/>
        </w:rPr>
        <w:t>综合上述结果可以得到三个结论。第一，本作品正式动态主线的主要收益并非体现在超越强明文参考，而是体现在双向隐私约束下保留了可部署的动态剪枝能力，并通过阈值校准把全量验证集精度恢复到 92.7481%。第二，算子级 proxy 对比说明 secure-friendly 算子本身具有明显的通信与时间收益，但结构尺度差异仍然是当前端到端时延偏高的关键原因。第三，协议层异常输入与控制面探针在当前实现下能够被前置阻断，且未观察到文件描述符或套接字句柄的持续泄漏，这为系统的原型级可服务性提供了必要的证据支撑。</w:t>
      </w:r>
    </w:p>
    <w:p w14:paraId="13CC62B3">
      <w:pPr>
        <w:spacing w:line="360" w:lineRule="auto"/>
        <w:outlineLvl w:val="1"/>
        <w:rPr>
          <w:rFonts w:hint="eastAsia" w:ascii="黑体" w:hAnsi="黑体" w:eastAsia="黑体"/>
          <w:b/>
          <w:sz w:val="24"/>
        </w:rPr>
      </w:pPr>
      <w:bookmarkStart w:id="52" w:name="_Toc230691166"/>
      <w:bookmarkStart w:id="53" w:name="Transshield_TOC_section_4_8"/>
      <w:r>
        <w:rPr>
          <w:rFonts w:hint="eastAsia" w:ascii="黑体" w:hAnsi="黑体" w:eastAsia="黑体"/>
          <w:b/>
          <w:sz w:val="24"/>
        </w:rPr>
        <w:t>4.8 消融实验与必要性验证</w:t>
      </w:r>
      <w:bookmarkEnd w:id="52"/>
      <w:bookmarkEnd w:id="53"/>
    </w:p>
    <w:p w14:paraId="22F324A0">
      <w:pPr>
        <w:spacing w:line="360" w:lineRule="auto"/>
        <w:ind w:firstLine="480"/>
        <w:rPr>
          <w:rFonts w:hint="eastAsia" w:ascii="宋体" w:hAnsi="宋体"/>
          <w:sz w:val="24"/>
        </w:rPr>
      </w:pPr>
      <w:r>
        <w:rPr>
          <w:rFonts w:hint="eastAsia" w:ascii="宋体" w:hAnsi="宋体"/>
          <w:sz w:val="24"/>
        </w:rPr>
        <w:t>为验证各关键设计的必要性，本文进一步从模型路径与控制面两条主线开展消融分析。</w:t>
      </w:r>
      <w:r>
        <w:rPr>
          <w:rFonts w:hint="eastAsia" w:ascii="宋体" w:hAnsi="宋体"/>
          <w:sz w:val="24"/>
          <w:lang w:val="en-US" w:eastAsia="zh-CN"/>
        </w:rPr>
        <w:t>图4-5</w:t>
      </w:r>
      <w:r>
        <w:rPr>
          <w:rFonts w:hint="eastAsia" w:ascii="宋体" w:hAnsi="宋体"/>
          <w:sz w:val="24"/>
        </w:rPr>
        <w:t>给出了正式动态主线、去掉动态剪枝后的静态安全基线以及原始明文参考基线的同口径对照结果。可以看到，在524张全量验证集样本上，正式动态主线的阈值精度达到92.7481%，高于去掉动态剪枝后的静态安全基线89.6947%，提升3.0534个百分点；AUC由0.9539提升至0.9639，增幅为0.0100。与此同时，正式动态主线的argmax精度并未高于静态安全基线，说明动态剪枝安全化改写的主要价值不在于未校准条件下的直接分类，而在于部署口径下更稳定、更可校准的判别边界。</w:t>
      </w:r>
    </w:p>
    <w:p w14:paraId="64D0DF6C">
      <w:pPr>
        <w:spacing w:line="360" w:lineRule="auto"/>
        <w:ind w:firstLine="480"/>
        <w:rPr>
          <w:rFonts w:hint="eastAsia" w:ascii="宋体" w:hAnsi="宋体"/>
          <w:sz w:val="24"/>
        </w:rPr>
      </w:pPr>
      <w:r>
        <w:rPr>
          <w:rFonts w:hint="eastAsia" w:ascii="宋体" w:hAnsi="宋体"/>
          <w:sz w:val="24"/>
        </w:rPr>
        <w:t>进一步地，与原始明文参考基线相比，正式动态主线的阈值精度提升17.3664个百分点，表明本作品并非仅在外层增加安全计算壳，而是在动态剪枝边界、固定图安全语义和部署后阈值校准之间形成了协同增益。</w:t>
      </w:r>
    </w:p>
    <w:p w14:paraId="3C180F25">
      <w:pPr>
        <w:spacing w:line="360" w:lineRule="auto"/>
        <w:ind w:firstLine="480"/>
        <w:rPr>
          <w:rFonts w:hint="eastAsia" w:ascii="宋体" w:hAnsi="宋体"/>
          <w:sz w:val="24"/>
        </w:rPr>
      </w:pPr>
      <w:r>
        <w:rPr>
          <w:rFonts w:hint="eastAsia" w:ascii="宋体" w:hAnsi="宋体"/>
          <w:sz w:val="24"/>
        </w:rPr>
        <w:t>在控制面方面，现有协议层异常输入与控制面探针共覆盖17类黑盒用例，17/17均返回预期拦截或限制结果；同时审计日志表明，重复载荷会被重放守卫以duplicate_payload阻断，正常请求则被记录为quality_status=pass。上述结果说明，服务端权威快检、重放防护、并发门控和审计链并非展示性附件，而是保证异常输入止于SPU之前、非法重放止于控制面边界、运行状态可复核的必要组成部分。</w:t>
      </w:r>
    </w:p>
    <w:p w14:paraId="0209E147">
      <w:pPr>
        <w:spacing w:line="360" w:lineRule="auto"/>
        <w:ind w:firstLine="480"/>
        <w:jc w:val="center"/>
        <w:rPr>
          <w:rFonts w:hint="eastAsia" w:ascii="宋体" w:hAnsi="宋体"/>
          <w:sz w:val="24"/>
        </w:rPr>
      </w:pPr>
      <w:r>
        <w:rPr>
          <w:rFonts w:hint="eastAsia" w:ascii="宋体" w:hAnsi="宋体"/>
          <w:sz w:val="24"/>
          <w:lang w:val="en-US" w:eastAsia="zh-CN"/>
        </w:rPr>
        <w:t>图4-5</w:t>
      </w:r>
      <w:r>
        <w:rPr>
          <w:rFonts w:hint="eastAsia" w:ascii="宋体" w:hAnsi="宋体"/>
          <w:sz w:val="24"/>
        </w:rPr>
        <w:t xml:space="preserve"> 动态剪枝消融结果（524张验证集，同口径）</w:t>
      </w:r>
    </w:p>
    <w:p w14:paraId="5B4C4028">
      <w:pPr>
        <w:spacing w:line="360" w:lineRule="auto"/>
        <w:ind w:firstLine="480" w:firstLineChars="200"/>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5066665" cy="2581275"/>
            <wp:effectExtent l="0" t="0" r="635" b="9525"/>
            <wp:docPr id="7" name="图片 7" descr="206ca438fd77f4b525cd3e8da071fb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06ca438fd77f4b525cd3e8da071fbb8"/>
                    <pic:cNvPicPr>
                      <a:picLocks noChangeAspect="1"/>
                    </pic:cNvPicPr>
                  </pic:nvPicPr>
                  <pic:blipFill>
                    <a:blip r:embed="rId18"/>
                    <a:srcRect t="7375"/>
                    <a:stretch>
                      <a:fillRect/>
                    </a:stretch>
                  </pic:blipFill>
                  <pic:spPr>
                    <a:xfrm>
                      <a:off x="0" y="0"/>
                      <a:ext cx="5066665" cy="2581275"/>
                    </a:xfrm>
                    <a:prstGeom prst="rect">
                      <a:avLst/>
                    </a:prstGeom>
                  </pic:spPr>
                </pic:pic>
              </a:graphicData>
            </a:graphic>
          </wp:inline>
        </w:drawing>
      </w:r>
    </w:p>
    <w:p w14:paraId="31793632">
      <w:pPr>
        <w:spacing w:line="360" w:lineRule="auto"/>
        <w:ind w:firstLine="480" w:firstLineChars="200"/>
        <w:rPr>
          <w:rFonts w:hint="eastAsia" w:ascii="宋体" w:hAnsi="宋体"/>
          <w:sz w:val="24"/>
        </w:rPr>
      </w:pPr>
      <w:r>
        <w:rPr>
          <w:rFonts w:hint="eastAsia" w:ascii="宋体" w:hAnsi="宋体"/>
          <w:sz w:val="24"/>
        </w:rPr>
        <w:t>其中，正式动态主线相较静态安全基线的阈值精度提升3.0534个百分点，AUC提升0.0100；相较原始明文参考基线的阈值精度提升17.3664个百分点。</w:t>
      </w:r>
    </w:p>
    <w:p w14:paraId="1220F269">
      <w:pPr>
        <w:rPr>
          <w:rFonts w:hint="eastAsia" w:ascii="宋体" w:hAnsi="宋体"/>
          <w:sz w:val="24"/>
        </w:rPr>
      </w:pPr>
      <w:r>
        <w:rPr>
          <w:rFonts w:hint="eastAsia" w:ascii="宋体" w:hAnsi="宋体"/>
          <w:sz w:val="24"/>
        </w:rPr>
        <w:br w:type="page"/>
      </w:r>
    </w:p>
    <w:p w14:paraId="15005C3F">
      <w:pPr>
        <w:pStyle w:val="2"/>
        <w:jc w:val="center"/>
      </w:pPr>
      <w:bookmarkStart w:id="54" w:name="_Toc230691167"/>
      <w:bookmarkStart w:id="55" w:name="Transshield_TOC_chapter_5"/>
      <w:r>
        <w:rPr>
          <w:rFonts w:ascii="黑体" w:hAnsi="黑体" w:eastAsia="黑体"/>
        </w:rPr>
        <w:t>第五章 创新性与局限性</w:t>
      </w:r>
      <w:bookmarkEnd w:id="54"/>
      <w:bookmarkEnd w:id="55"/>
    </w:p>
    <w:p w14:paraId="49DF95E8">
      <w:pPr>
        <w:spacing w:line="360" w:lineRule="auto"/>
        <w:outlineLvl w:val="1"/>
        <w:rPr>
          <w:rFonts w:hint="eastAsia" w:ascii="黑体" w:hAnsi="黑体" w:eastAsia="黑体"/>
          <w:b/>
          <w:sz w:val="24"/>
        </w:rPr>
      </w:pPr>
      <w:bookmarkStart w:id="56" w:name="_Toc230691168"/>
      <w:bookmarkStart w:id="57" w:name="Transshield_TOC_section_5_1"/>
      <w:r>
        <w:rPr>
          <w:rFonts w:hint="eastAsia" w:ascii="黑体" w:hAnsi="黑体" w:eastAsia="黑体"/>
          <w:b/>
          <w:sz w:val="24"/>
        </w:rPr>
        <w:t>5.1 算法层创新</w:t>
      </w:r>
      <w:bookmarkEnd w:id="56"/>
      <w:bookmarkEnd w:id="57"/>
    </w:p>
    <w:p w14:paraId="2186C7E4">
      <w:pPr>
        <w:spacing w:line="360" w:lineRule="auto"/>
        <w:ind w:firstLine="480"/>
      </w:pPr>
      <w:r>
        <w:rPr>
          <w:rFonts w:ascii="宋体" w:hAnsi="宋体"/>
          <w:sz w:val="24"/>
        </w:rPr>
        <w:t>现有问题在于：原始 DynamicViT 的词元删除、阈值比较与数据相关 Top-</w:t>
      </w:r>
      <m:oMath>
        <m:r>
          <m:rPr/>
          <w:rPr>
            <w:rFonts w:ascii="Cambria Math" w:hAnsi="Cambria Math"/>
          </w:rPr>
          <m:t>K</m:t>
        </m:r>
      </m:oMath>
      <w:r>
        <w:rPr>
          <w:rFonts w:ascii="宋体" w:hAnsi="宋体"/>
          <w:sz w:val="24"/>
        </w:rPr>
        <w:t>选择依赖明文控制流，直接迁入安全计算图会同时遭遇变长结构、路径泄露和并列分数不稳定三类困难，因此常见方案通常选择放弃动态剪枝，退回固定结构安全推理。</w:t>
      </w:r>
    </w:p>
    <w:p w14:paraId="4AAF2ACD">
      <w:pPr>
        <w:spacing w:line="360" w:lineRule="auto"/>
        <w:ind w:firstLine="480"/>
      </w:pPr>
      <w:r>
        <w:rPr>
          <w:rFonts w:ascii="宋体" w:hAnsi="宋体"/>
          <w:sz w:val="24"/>
        </w:rPr>
        <w:t xml:space="preserve">本作品的做法是把 pruning boundary 从“删除式表达”重写为“掩码化表达”，将词元保留决策改写为基于安全选择原语的 </w:t>
      </w:r>
      <m:oMath>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mux</m:t>
            </m:r>
            <m:ctrlPr>
              <w:rPr>
                <w:rFonts w:ascii="Cambria Math" w:hAnsi="Cambria Math"/>
              </w:rPr>
            </m:ctrlPr>
          </m:sub>
        </m:sSub>
      </m:oMath>
      <w:r>
        <w:rPr>
          <w:rFonts w:ascii="宋体" w:hAnsi="宋体"/>
          <w:sz w:val="24"/>
        </w:rPr>
        <w:t xml:space="preserve"> 表达，将阈值判断改写为基于安全比较原语的 </w:t>
      </w:r>
      <m:oMath>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less</m:t>
            </m:r>
            <m:ctrlPr>
              <w:rPr>
                <w:rFonts w:ascii="Cambria Math" w:hAnsi="Cambria Math"/>
              </w:rPr>
            </m:ctrlPr>
          </m:sub>
        </m:sSub>
      </m:oMath>
      <w:r>
        <w:rPr>
          <w:rFonts w:ascii="宋体" w:hAnsi="宋体"/>
          <w:sz w:val="24"/>
        </w:rPr>
        <w:t xml:space="preserve"> 表达，并结合编码键双调排序（Encoded-Key Bitonic Sort）处理安全 Top-</w:t>
      </w:r>
      <m:oMath>
        <m:r>
          <m:rPr/>
          <w:rPr>
            <w:rFonts w:ascii="Cambria Math" w:hAnsi="Cambria Math"/>
          </w:rPr>
          <m:t>K</m:t>
        </m:r>
      </m:oMath>
      <w:r>
        <w:rPr>
          <w:rFonts w:ascii="宋体" w:hAnsi="宋体"/>
          <w:sz w:val="24"/>
        </w:rPr>
        <w:t>（前</w:t>
      </w:r>
      <m:oMath>
        <m:r>
          <m:rPr/>
          <w:rPr>
            <w:rFonts w:ascii="Cambria Math" w:hAnsi="Cambria Math"/>
          </w:rPr>
          <m:t>K</m:t>
        </m:r>
      </m:oMath>
      <w:r>
        <w:rPr>
          <w:rFonts w:ascii="宋体" w:hAnsi="宋体"/>
          <w:sz w:val="24"/>
        </w:rPr>
        <w:t>选择）与并列分数决断问题。这样做的意义在于，不仅让动态剪枝能够进入固定图安全执行环境，而且保留了按样本变化的剪枝决策能力，而不是用一个固定结构模型替代原始方法。</w:t>
      </w:r>
    </w:p>
    <w:p w14:paraId="3D09E46C">
      <w:pPr>
        <w:spacing w:line="360" w:lineRule="auto"/>
        <w:ind w:firstLine="480"/>
      </w:pPr>
      <w:r>
        <w:rPr>
          <w:rFonts w:ascii="宋体" w:hAnsi="宋体"/>
          <w:sz w:val="24"/>
        </w:rPr>
        <w:t>这一层的技术难点在于：既要避免数据相关分支泄露，又要在固定图语义下近似保留原始动态模型的判别边界；同时，排序与并列分数处理必须在安全执行环境内稳定完成，否则最终决策链会因 tie 或索引不稳定而失去可验证性。</w:t>
      </w:r>
    </w:p>
    <w:p w14:paraId="3F8CD6EE">
      <w:pPr>
        <w:spacing w:line="360" w:lineRule="auto"/>
        <w:ind w:firstLine="480"/>
      </w:pPr>
      <w:r>
        <w:rPr>
          <w:rFonts w:ascii="宋体" w:hAnsi="宋体"/>
          <w:sz w:val="24"/>
        </w:rPr>
        <w:t>实验证据表明，该改写并未使动态路径退化为不可部署状态：正式动态主线相较固定结构静态对照线的阈值精度提升 0.7634 个百分点，相较未经安全化边界重写的原始 DynamicViT 提升 17.3664 个百分点。该层内容由第 2.4 节密态改写表、第 4.2 节基线对比、第 4.3 节医疗主线结果与第 4.7 节结果分析共同支撑。</w:t>
      </w:r>
      <w:r>
        <w:rPr>
          <w:rFonts w:hint="eastAsia" w:ascii="宋体" w:hAnsi="宋体"/>
          <w:sz w:val="24"/>
        </w:rPr>
        <w:t>第四章的消融结果进一步说明，该创新并非“只是在安全执行域中复现一条既有推理链”，而是实质性保留了动态剪枝在部署口径下的有效判别边界：去掉动态剪枝后，阈值精度由92.7481%下降至89.6947%，AUC由0.9639下降至0.9539，表明动态剪枝安全化改写对最终可部署性能具有直接贡献。</w:t>
      </w:r>
    </w:p>
    <w:p w14:paraId="191E3E2E">
      <w:pPr>
        <w:spacing w:line="360" w:lineRule="auto"/>
        <w:outlineLvl w:val="1"/>
        <w:rPr>
          <w:rFonts w:hint="eastAsia" w:ascii="黑体" w:hAnsi="黑体" w:eastAsia="黑体"/>
          <w:b/>
          <w:sz w:val="24"/>
        </w:rPr>
      </w:pPr>
      <w:bookmarkStart w:id="58" w:name="_Toc230691169"/>
      <w:bookmarkStart w:id="59" w:name="Transshield_TOC_section_5_2"/>
      <w:r>
        <w:rPr>
          <w:rFonts w:hint="eastAsia" w:ascii="黑体" w:hAnsi="黑体" w:eastAsia="黑体"/>
          <w:b/>
          <w:sz w:val="24"/>
        </w:rPr>
        <w:t>5.2 系统层创新</w:t>
      </w:r>
      <w:bookmarkEnd w:id="58"/>
      <w:bookmarkEnd w:id="59"/>
    </w:p>
    <w:p w14:paraId="38443CC2">
      <w:pPr>
        <w:spacing w:line="360" w:lineRule="auto"/>
        <w:ind w:firstLine="480"/>
      </w:pPr>
      <w:r>
        <w:rPr>
          <w:rFonts w:ascii="宋体" w:hAnsi="宋体"/>
          <w:sz w:val="24"/>
        </w:rPr>
        <w:t>现有问题在于，不少安全推理系统虽然使用了密态执行框架，但会在外部明文环境中预先决定剪枝路径，再把结果送入密态推理后端。这类做法虽然降低了工程难度，却使动态状态、路径信息甚至部分模型行为暴露在安全执行域之外，本质上仍属于半隐私运行。</w:t>
      </w:r>
    </w:p>
    <w:p w14:paraId="2CDBB459">
      <w:pPr>
        <w:spacing w:line="360" w:lineRule="auto"/>
        <w:ind w:firstLine="480"/>
      </w:pPr>
      <w:r>
        <w:rPr>
          <w:rFonts w:ascii="宋体" w:hAnsi="宋体"/>
          <w:sz w:val="24"/>
        </w:rPr>
        <w:t>本作品的做法是将动态剪枝预测器 PredictorLG、阈值判断与并列分数决断保留在安全执行域内，并以 SPU 与 OpenBumbleBee 组成两方安全计算链路，对输入数据、模型参数和中间动态决策状态同时进行保护。这样，系统不再依赖“外部先算路径、内部只回放”的简化策略，而是在双向隐私前提下完成完整的动态决策链执行。</w:t>
      </w:r>
    </w:p>
    <w:p w14:paraId="03A273F5">
      <w:pPr>
        <w:spacing w:line="360" w:lineRule="auto"/>
        <w:ind w:firstLine="480"/>
      </w:pPr>
      <w:r>
        <w:rPr>
          <w:rFonts w:ascii="宋体" w:hAnsi="宋体"/>
          <w:sz w:val="24"/>
        </w:rPr>
        <w:t>这一层的技术难点在于：既要在两方半诚实模型下维持输入与参数的双向隐私边界，又要让动态路径的关键控制流保留在密态环境内执行；如果处理不当，系统很容易退化为只保护输入或只保护模型的单向隐私方案。</w:t>
      </w:r>
    </w:p>
    <w:p w14:paraId="0A472545">
      <w:pPr>
        <w:spacing w:line="360" w:lineRule="auto"/>
        <w:ind w:firstLine="480"/>
      </w:pPr>
      <w:r>
        <w:rPr>
          <w:rFonts w:ascii="宋体" w:hAnsi="宋体"/>
          <w:sz w:val="24"/>
        </w:rPr>
        <w:t>实验证据方面，当前端到端原型在 32 条医疗部署验证样本上的双向总通信量为 84.47 GiB，且服务端不接收明文像素值、模型参数不以明文暴露，对外仅返回最终分类结果；金融边界压力样本 8/8 与明文参考逐样本一致。该层内容由第 2.1 节总体架构、第 2.2 节威胁模型与安全边界、第 3.1 节两方安全推理链路、第 4.3 节医疗结果与第 4.5 节金融边界验证共同支撑。</w:t>
      </w:r>
    </w:p>
    <w:p w14:paraId="666D826F">
      <w:pPr>
        <w:spacing w:line="360" w:lineRule="auto"/>
        <w:outlineLvl w:val="1"/>
        <w:rPr>
          <w:rFonts w:hint="eastAsia" w:ascii="黑体" w:hAnsi="黑体" w:eastAsia="黑体"/>
          <w:b/>
          <w:sz w:val="24"/>
        </w:rPr>
      </w:pPr>
      <w:bookmarkStart w:id="60" w:name="Transshield_TOC_section_5_3"/>
      <w:bookmarkStart w:id="61" w:name="_Toc230691170"/>
      <w:r>
        <w:rPr>
          <w:rFonts w:hint="eastAsia" w:ascii="黑体" w:hAnsi="黑体" w:eastAsia="黑体"/>
          <w:b/>
          <w:sz w:val="24"/>
        </w:rPr>
        <w:t>5.3 工程层特色与可验证交付能力</w:t>
      </w:r>
      <w:bookmarkEnd w:id="60"/>
      <w:bookmarkEnd w:id="61"/>
    </w:p>
    <w:p w14:paraId="1231C946">
      <w:pPr>
        <w:spacing w:line="360" w:lineRule="auto"/>
        <w:ind w:firstLine="480"/>
      </w:pPr>
      <w:r>
        <w:rPr>
          <w:rFonts w:ascii="宋体" w:hAnsi="宋体"/>
          <w:sz w:val="24"/>
        </w:rPr>
        <w:t>现有问题在于，很多 Web 演示只展示模型输出结果，默认将输入视为天然可信，缺少协议层异常输入阻断、审计链、资源状态回落记录和可复现实验入口。对于信息安全类作品而言，这类展示很难支撑“系统已形成工程闭环”的判断。</w:t>
      </w:r>
    </w:p>
    <w:p w14:paraId="1B0339F4">
      <w:pPr>
        <w:spacing w:line="360" w:lineRule="auto"/>
        <w:ind w:firstLine="480"/>
      </w:pPr>
      <w:r>
        <w:rPr>
          <w:rFonts w:ascii="宋体" w:hAnsi="宋体"/>
          <w:sz w:val="24"/>
        </w:rPr>
        <w:t>本作品的做法是把浏览器工作线程、本地数据质量评估、审计哈希链、服务端权威快检、协议层异常输入模糊测试、重放与并发守卫、以及重放与并发守卫一起纳入交付范围。这里的重点不是把工程实现拔高为核心算法创新，而是保证评审能够看到：系统不仅能给出分类结果，还能证明输入经过了哪些检查、异常请求在何处被阻断，以及资源状态是否回到稳态。</w:t>
      </w:r>
    </w:p>
    <w:p w14:paraId="65D30FF8">
      <w:pPr>
        <w:spacing w:line="360" w:lineRule="auto"/>
        <w:ind w:firstLine="480"/>
      </w:pPr>
      <w:r>
        <w:rPr>
          <w:rFonts w:ascii="宋体" w:hAnsi="宋体"/>
          <w:sz w:val="24"/>
        </w:rPr>
        <w:t>这一层的技术难点在于：前端要在不阻塞主线程的前提下完成高开销预处理与审计摘要生成，服务端要在进入 SPU 前完成原始报文、JSON 元数据、share 字节流和张量层的多级快检，同时还要把异常输入、重放与并发探针的结果转化为可复核的证据文件。</w:t>
      </w:r>
    </w:p>
    <w:p w14:paraId="6D187E20">
      <w:pPr>
        <w:spacing w:line="360" w:lineRule="auto"/>
        <w:ind w:firstLine="480"/>
      </w:pPr>
      <w:r>
        <w:rPr>
          <w:rFonts w:ascii="宋体" w:hAnsi="宋体"/>
          <w:sz w:val="24"/>
        </w:rPr>
        <w:t>实验证据方面，本作品已覆盖 17 类协议层与控制面黑盒用例，17/17 按预期返回，且采样窗口内未观察到文件描述符或套接字文件描述符净增长；同时仓内提供 10–20 分钟最低可复现路径，用于复核完整计算链路。该层内容由第 3.3 节前端控制面、第 3.4 节服务端权威快检与审计、第 4.6 节鲁棒性矩阵、第 6.1 节复现路径和 `README_REPRODUCE.md` 共同支撑。</w:t>
      </w:r>
    </w:p>
    <w:p w14:paraId="5FAB7414">
      <w:pPr>
        <w:spacing w:line="360" w:lineRule="auto"/>
        <w:outlineLvl w:val="1"/>
        <w:rPr>
          <w:rFonts w:hint="eastAsia" w:ascii="黑体" w:hAnsi="黑体" w:eastAsia="黑体"/>
          <w:b/>
          <w:sz w:val="24"/>
        </w:rPr>
      </w:pPr>
      <w:bookmarkStart w:id="62" w:name="_Toc230691171"/>
      <w:bookmarkStart w:id="63" w:name="Transshield_TOC_section_5_4"/>
      <w:r>
        <w:rPr>
          <w:rFonts w:hint="eastAsia" w:ascii="黑体" w:hAnsi="黑体" w:eastAsia="黑体"/>
          <w:b/>
          <w:sz w:val="24"/>
        </w:rPr>
        <w:t>5.4 与常见方案对比</w:t>
      </w:r>
      <w:bookmarkEnd w:id="62"/>
      <w:bookmarkEnd w:id="63"/>
    </w:p>
    <w:p w14:paraId="4F91172E">
      <w:pPr>
        <w:spacing w:line="360" w:lineRule="auto"/>
        <w:jc w:val="center"/>
        <w:rPr>
          <w:rFonts w:hint="eastAsia" w:ascii="黑体" w:hAnsi="黑体" w:eastAsia="黑体"/>
          <w:b/>
          <w:sz w:val="24"/>
        </w:rPr>
      </w:pPr>
      <w:r>
        <w:rPr>
          <w:rFonts w:ascii="宋体" w:hAnsi="宋体" w:cs="宋体"/>
          <w:sz w:val="24"/>
        </w:rPr>
        <w:t xml:space="preserve">表 </w:t>
      </w:r>
      <w:r>
        <w:rPr>
          <w:rFonts w:hint="eastAsia" w:ascii="宋体" w:hAnsi="宋体" w:cs="宋体"/>
          <w:sz w:val="24"/>
        </w:rPr>
        <w:t>1</w:t>
      </w:r>
      <w:r>
        <w:rPr>
          <w:rFonts w:hint="eastAsia" w:ascii="宋体" w:hAnsi="宋体" w:cs="宋体"/>
          <w:sz w:val="24"/>
          <w:lang w:val="en-US" w:eastAsia="zh-CN"/>
        </w:rPr>
        <w:t>4</w:t>
      </w:r>
      <w:r>
        <w:rPr>
          <w:rFonts w:ascii="宋体" w:hAnsi="宋体" w:cs="宋体"/>
          <w:sz w:val="24"/>
        </w:rPr>
        <w:t xml:space="preserve"> 本作品与常见隐私推理方案能力对比</w:t>
      </w:r>
    </w:p>
    <w:tbl>
      <w:tblPr>
        <w:tblStyle w:val="7"/>
        <w:tblW w:w="8820" w:type="dxa"/>
        <w:jc w:val="center"/>
        <w:tblLayout w:type="autofit"/>
        <w:tblCellMar>
          <w:top w:w="0" w:type="dxa"/>
          <w:left w:w="108" w:type="dxa"/>
          <w:bottom w:w="0" w:type="dxa"/>
          <w:right w:w="108" w:type="dxa"/>
        </w:tblCellMar>
      </w:tblPr>
      <w:tblGrid>
        <w:gridCol w:w="1600"/>
        <w:gridCol w:w="3267"/>
        <w:gridCol w:w="3953"/>
      </w:tblGrid>
      <w:tr w14:paraId="270D9327">
        <w:tblPrEx>
          <w:tblCellMar>
            <w:top w:w="0" w:type="dxa"/>
            <w:left w:w="108" w:type="dxa"/>
            <w:bottom w:w="0" w:type="dxa"/>
            <w:right w:w="108" w:type="dxa"/>
          </w:tblCellMar>
        </w:tblPrEx>
        <w:trPr>
          <w:tblHeader/>
          <w:jc w:val="center"/>
        </w:trPr>
        <w:tc>
          <w:tcPr>
            <w:tcW w:w="1600" w:type="dxa"/>
            <w:tcBorders>
              <w:top w:val="single" w:color="auto" w:sz="12" w:space="0"/>
              <w:left w:val="nil"/>
              <w:bottom w:val="nil"/>
              <w:right w:val="nil"/>
            </w:tcBorders>
            <w:tcMar>
              <w:top w:w="-1" w:type="dxa"/>
              <w:left w:w="-1" w:type="dxa"/>
              <w:bottom w:w="-1" w:type="dxa"/>
              <w:right w:w="-1" w:type="dxa"/>
            </w:tcMar>
            <w:vAlign w:val="center"/>
          </w:tcPr>
          <w:p w14:paraId="0C33197B">
            <w:pPr>
              <w:snapToGrid w:val="0"/>
              <w:jc w:val="center"/>
              <w:rPr>
                <w:rFonts w:ascii="宋体"/>
                <w:b/>
                <w:sz w:val="24"/>
              </w:rPr>
            </w:pPr>
            <w:r>
              <w:rPr>
                <w:rFonts w:ascii="宋体" w:hAnsi="宋体"/>
                <w:b/>
                <w:sz w:val="24"/>
              </w:rPr>
              <w:t>对比对象</w:t>
            </w:r>
          </w:p>
        </w:tc>
        <w:tc>
          <w:tcPr>
            <w:tcW w:w="3267" w:type="dxa"/>
            <w:tcBorders>
              <w:top w:val="single" w:color="auto" w:sz="12" w:space="0"/>
              <w:left w:val="nil"/>
              <w:bottom w:val="nil"/>
              <w:right w:val="nil"/>
            </w:tcBorders>
            <w:tcMar>
              <w:top w:w="-1" w:type="dxa"/>
              <w:left w:w="-1" w:type="dxa"/>
              <w:bottom w:w="-1" w:type="dxa"/>
              <w:right w:w="-1" w:type="dxa"/>
            </w:tcMar>
            <w:vAlign w:val="center"/>
          </w:tcPr>
          <w:p w14:paraId="1F652807">
            <w:pPr>
              <w:snapToGrid w:val="0"/>
              <w:jc w:val="center"/>
              <w:rPr>
                <w:rFonts w:ascii="宋体"/>
                <w:b/>
                <w:sz w:val="24"/>
              </w:rPr>
            </w:pPr>
            <w:r>
              <w:rPr>
                <w:rFonts w:ascii="宋体" w:hAnsi="宋体"/>
                <w:b/>
                <w:sz w:val="24"/>
              </w:rPr>
              <w:t>常见做法</w:t>
            </w:r>
          </w:p>
        </w:tc>
        <w:tc>
          <w:tcPr>
            <w:tcW w:w="3953" w:type="dxa"/>
            <w:tcBorders>
              <w:top w:val="single" w:color="auto" w:sz="12" w:space="0"/>
              <w:left w:val="nil"/>
              <w:bottom w:val="nil"/>
              <w:right w:val="nil"/>
            </w:tcBorders>
            <w:tcMar>
              <w:top w:w="-1" w:type="dxa"/>
              <w:left w:w="-1" w:type="dxa"/>
              <w:bottom w:w="-1" w:type="dxa"/>
              <w:right w:w="-1" w:type="dxa"/>
            </w:tcMar>
            <w:vAlign w:val="center"/>
          </w:tcPr>
          <w:p w14:paraId="06BD4BB2">
            <w:pPr>
              <w:snapToGrid w:val="0"/>
              <w:jc w:val="center"/>
              <w:rPr>
                <w:rFonts w:ascii="宋体"/>
                <w:b/>
                <w:sz w:val="24"/>
              </w:rPr>
            </w:pPr>
            <w:r>
              <w:rPr>
                <w:rFonts w:ascii="宋体" w:hAnsi="宋体"/>
                <w:b/>
                <w:sz w:val="24"/>
              </w:rPr>
              <w:t>本作品差异</w:t>
            </w:r>
          </w:p>
        </w:tc>
      </w:tr>
      <w:tr w14:paraId="2F741C0D">
        <w:tblPrEx>
          <w:tblCellMar>
            <w:top w:w="0" w:type="dxa"/>
            <w:left w:w="108" w:type="dxa"/>
            <w:bottom w:w="0" w:type="dxa"/>
            <w:right w:w="108" w:type="dxa"/>
          </w:tblCellMar>
        </w:tblPrEx>
        <w:trPr>
          <w:jc w:val="center"/>
        </w:trPr>
        <w:tc>
          <w:tcPr>
            <w:tcW w:w="1600" w:type="dxa"/>
            <w:tcBorders>
              <w:top w:val="single" w:color="auto" w:sz="4" w:space="0"/>
              <w:left w:val="nil"/>
              <w:bottom w:val="nil"/>
              <w:right w:val="nil"/>
            </w:tcBorders>
            <w:tcMar>
              <w:top w:w="-1" w:type="dxa"/>
              <w:left w:w="-1" w:type="dxa"/>
              <w:bottom w:w="-1" w:type="dxa"/>
              <w:right w:w="-1" w:type="dxa"/>
            </w:tcMar>
            <w:vAlign w:val="center"/>
          </w:tcPr>
          <w:p w14:paraId="4ED30E71">
            <w:pPr>
              <w:snapToGrid w:val="0"/>
              <w:jc w:val="center"/>
              <w:rPr>
                <w:rFonts w:ascii="宋体"/>
                <w:sz w:val="24"/>
              </w:rPr>
            </w:pPr>
            <w:r>
              <w:rPr>
                <w:rFonts w:ascii="宋体" w:hAnsi="宋体"/>
                <w:sz w:val="24"/>
              </w:rPr>
              <w:t>固定结构安全推理</w:t>
            </w:r>
          </w:p>
        </w:tc>
        <w:tc>
          <w:tcPr>
            <w:tcW w:w="3267" w:type="dxa"/>
            <w:tcBorders>
              <w:top w:val="single" w:color="auto" w:sz="4" w:space="0"/>
              <w:left w:val="nil"/>
              <w:bottom w:val="nil"/>
              <w:right w:val="nil"/>
            </w:tcBorders>
            <w:tcMar>
              <w:top w:w="-1" w:type="dxa"/>
              <w:left w:w="-1" w:type="dxa"/>
              <w:bottom w:w="-1" w:type="dxa"/>
              <w:right w:w="-1" w:type="dxa"/>
            </w:tcMar>
            <w:vAlign w:val="center"/>
          </w:tcPr>
          <w:p w14:paraId="11DDE5A3">
            <w:pPr>
              <w:snapToGrid w:val="0"/>
              <w:jc w:val="center"/>
              <w:rPr>
                <w:rFonts w:ascii="宋体"/>
                <w:sz w:val="24"/>
              </w:rPr>
            </w:pPr>
            <w:r>
              <w:rPr>
                <w:rFonts w:ascii="宋体" w:hAnsi="宋体"/>
                <w:sz w:val="24"/>
              </w:rPr>
              <w:t>放弃动态剪枝，直接改为固定结构模型</w:t>
            </w:r>
          </w:p>
        </w:tc>
        <w:tc>
          <w:tcPr>
            <w:tcW w:w="3953" w:type="dxa"/>
            <w:tcBorders>
              <w:top w:val="single" w:color="auto" w:sz="4" w:space="0"/>
              <w:left w:val="nil"/>
              <w:bottom w:val="nil"/>
              <w:right w:val="nil"/>
            </w:tcBorders>
            <w:tcMar>
              <w:top w:w="-1" w:type="dxa"/>
              <w:left w:w="-1" w:type="dxa"/>
              <w:bottom w:w="-1" w:type="dxa"/>
              <w:right w:w="-1" w:type="dxa"/>
            </w:tcMar>
            <w:vAlign w:val="center"/>
          </w:tcPr>
          <w:p w14:paraId="08BF56DD">
            <w:pPr>
              <w:snapToGrid w:val="0"/>
              <w:jc w:val="left"/>
              <w:rPr>
                <w:rFonts w:ascii="宋体"/>
                <w:sz w:val="24"/>
              </w:rPr>
            </w:pPr>
            <w:r>
              <w:rPr>
                <w:rFonts w:ascii="宋体" w:hAnsi="宋体"/>
                <w:sz w:val="24"/>
              </w:rPr>
              <w:t>保留按样本变化的剪枝决策，并把边界重写为可密态执行语义</w:t>
            </w:r>
          </w:p>
        </w:tc>
      </w:tr>
      <w:tr w14:paraId="71569A69">
        <w:tblPrEx>
          <w:tblCellMar>
            <w:top w:w="0" w:type="dxa"/>
            <w:left w:w="108" w:type="dxa"/>
            <w:bottom w:w="0" w:type="dxa"/>
            <w:right w:w="108" w:type="dxa"/>
          </w:tblCellMar>
        </w:tblPrEx>
        <w:trPr>
          <w:jc w:val="center"/>
        </w:trPr>
        <w:tc>
          <w:tcPr>
            <w:tcW w:w="1600" w:type="dxa"/>
            <w:tcBorders>
              <w:top w:val="nil"/>
              <w:left w:val="nil"/>
              <w:bottom w:val="nil"/>
              <w:right w:val="nil"/>
            </w:tcBorders>
            <w:tcMar>
              <w:top w:w="-1" w:type="dxa"/>
              <w:left w:w="-1" w:type="dxa"/>
              <w:bottom w:w="-1" w:type="dxa"/>
              <w:right w:w="-1" w:type="dxa"/>
            </w:tcMar>
            <w:vAlign w:val="center"/>
          </w:tcPr>
          <w:p w14:paraId="1464E84E">
            <w:pPr>
              <w:snapToGrid w:val="0"/>
              <w:jc w:val="center"/>
              <w:rPr>
                <w:rFonts w:ascii="宋体"/>
                <w:sz w:val="24"/>
              </w:rPr>
            </w:pPr>
            <w:r>
              <w:rPr>
                <w:rFonts w:ascii="宋体" w:hAnsi="宋体"/>
                <w:sz w:val="24"/>
              </w:rPr>
              <w:t>明文剪枝 + 密态推理</w:t>
            </w:r>
          </w:p>
        </w:tc>
        <w:tc>
          <w:tcPr>
            <w:tcW w:w="3267" w:type="dxa"/>
            <w:tcBorders>
              <w:top w:val="nil"/>
              <w:left w:val="nil"/>
              <w:bottom w:val="nil"/>
              <w:right w:val="nil"/>
            </w:tcBorders>
            <w:tcMar>
              <w:top w:w="-1" w:type="dxa"/>
              <w:left w:w="-1" w:type="dxa"/>
              <w:bottom w:w="-1" w:type="dxa"/>
              <w:right w:w="-1" w:type="dxa"/>
            </w:tcMar>
            <w:vAlign w:val="center"/>
          </w:tcPr>
          <w:p w14:paraId="7E30BA0B">
            <w:pPr>
              <w:snapToGrid w:val="0"/>
              <w:jc w:val="center"/>
              <w:rPr>
                <w:rFonts w:ascii="宋体"/>
                <w:sz w:val="24"/>
              </w:rPr>
            </w:pPr>
            <w:r>
              <w:rPr>
                <w:rFonts w:ascii="宋体" w:hAnsi="宋体"/>
                <w:sz w:val="24"/>
              </w:rPr>
              <w:t>外部明文环境先决定路径，密态后端仅回放结果</w:t>
            </w:r>
          </w:p>
        </w:tc>
        <w:tc>
          <w:tcPr>
            <w:tcW w:w="3953" w:type="dxa"/>
            <w:tcBorders>
              <w:top w:val="nil"/>
              <w:left w:val="nil"/>
              <w:bottom w:val="nil"/>
              <w:right w:val="nil"/>
            </w:tcBorders>
            <w:tcMar>
              <w:top w:w="-1" w:type="dxa"/>
              <w:left w:w="-1" w:type="dxa"/>
              <w:bottom w:w="-1" w:type="dxa"/>
              <w:right w:w="-1" w:type="dxa"/>
            </w:tcMar>
            <w:vAlign w:val="center"/>
          </w:tcPr>
          <w:p w14:paraId="2E5E43AA">
            <w:pPr>
              <w:snapToGrid w:val="0"/>
              <w:jc w:val="left"/>
              <w:rPr>
                <w:rFonts w:ascii="宋体"/>
                <w:sz w:val="24"/>
              </w:rPr>
            </w:pPr>
            <w:r>
              <w:rPr>
                <w:rFonts w:ascii="宋体" w:hAnsi="宋体"/>
                <w:sz w:val="24"/>
              </w:rPr>
              <w:t>剪枝决策链保留在安全执行域内完成，避免半隐私运行</w:t>
            </w:r>
          </w:p>
        </w:tc>
      </w:tr>
      <w:tr w14:paraId="433040B0">
        <w:tblPrEx>
          <w:tblCellMar>
            <w:top w:w="0" w:type="dxa"/>
            <w:left w:w="108" w:type="dxa"/>
            <w:bottom w:w="0" w:type="dxa"/>
            <w:right w:w="108" w:type="dxa"/>
          </w:tblCellMar>
        </w:tblPrEx>
        <w:trPr>
          <w:jc w:val="center"/>
        </w:trPr>
        <w:tc>
          <w:tcPr>
            <w:tcW w:w="1600" w:type="dxa"/>
            <w:tcBorders>
              <w:top w:val="nil"/>
              <w:left w:val="nil"/>
              <w:bottom w:val="nil"/>
              <w:right w:val="nil"/>
            </w:tcBorders>
            <w:tcMar>
              <w:top w:w="-1" w:type="dxa"/>
              <w:left w:w="-1" w:type="dxa"/>
              <w:bottom w:w="-1" w:type="dxa"/>
              <w:right w:w="-1" w:type="dxa"/>
            </w:tcMar>
            <w:vAlign w:val="center"/>
          </w:tcPr>
          <w:p w14:paraId="226E9D31">
            <w:pPr>
              <w:snapToGrid w:val="0"/>
              <w:jc w:val="center"/>
              <w:rPr>
                <w:rFonts w:ascii="宋体"/>
                <w:sz w:val="24"/>
              </w:rPr>
            </w:pPr>
            <w:r>
              <w:rPr>
                <w:rFonts w:ascii="宋体" w:hAnsi="宋体"/>
                <w:sz w:val="24"/>
              </w:rPr>
              <w:t>单向隐私推理</w:t>
            </w:r>
          </w:p>
        </w:tc>
        <w:tc>
          <w:tcPr>
            <w:tcW w:w="3267" w:type="dxa"/>
            <w:tcBorders>
              <w:top w:val="nil"/>
              <w:left w:val="nil"/>
              <w:bottom w:val="nil"/>
              <w:right w:val="nil"/>
            </w:tcBorders>
            <w:tcMar>
              <w:top w:w="-1" w:type="dxa"/>
              <w:left w:w="-1" w:type="dxa"/>
              <w:bottom w:w="-1" w:type="dxa"/>
              <w:right w:w="-1" w:type="dxa"/>
            </w:tcMar>
            <w:vAlign w:val="center"/>
          </w:tcPr>
          <w:p w14:paraId="08911BC6">
            <w:pPr>
              <w:snapToGrid w:val="0"/>
              <w:jc w:val="center"/>
              <w:rPr>
                <w:rFonts w:ascii="宋体"/>
                <w:sz w:val="24"/>
              </w:rPr>
            </w:pPr>
            <w:r>
              <w:rPr>
                <w:rFonts w:ascii="宋体" w:hAnsi="宋体"/>
                <w:sz w:val="24"/>
              </w:rPr>
              <w:t>只保护输入或只保护模型参数</w:t>
            </w:r>
          </w:p>
        </w:tc>
        <w:tc>
          <w:tcPr>
            <w:tcW w:w="3953" w:type="dxa"/>
            <w:tcBorders>
              <w:top w:val="nil"/>
              <w:left w:val="nil"/>
              <w:bottom w:val="nil"/>
              <w:right w:val="nil"/>
            </w:tcBorders>
            <w:tcMar>
              <w:top w:w="-1" w:type="dxa"/>
              <w:left w:w="-1" w:type="dxa"/>
              <w:bottom w:w="-1" w:type="dxa"/>
              <w:right w:w="-1" w:type="dxa"/>
            </w:tcMar>
            <w:vAlign w:val="center"/>
          </w:tcPr>
          <w:p w14:paraId="41E32C88">
            <w:pPr>
              <w:snapToGrid w:val="0"/>
              <w:jc w:val="left"/>
              <w:rPr>
                <w:rFonts w:ascii="宋体"/>
                <w:sz w:val="24"/>
              </w:rPr>
            </w:pPr>
            <w:r>
              <w:rPr>
                <w:rFonts w:ascii="宋体" w:hAnsi="宋体"/>
                <w:sz w:val="24"/>
              </w:rPr>
              <w:t>同时保护输入数据、模型参数和动态中间状态</w:t>
            </w:r>
          </w:p>
        </w:tc>
      </w:tr>
      <w:tr w14:paraId="1375C2A1">
        <w:tblPrEx>
          <w:tblCellMar>
            <w:top w:w="0" w:type="dxa"/>
            <w:left w:w="108" w:type="dxa"/>
            <w:bottom w:w="0" w:type="dxa"/>
            <w:right w:w="108" w:type="dxa"/>
          </w:tblCellMar>
        </w:tblPrEx>
        <w:trPr>
          <w:jc w:val="center"/>
        </w:trPr>
        <w:tc>
          <w:tcPr>
            <w:tcW w:w="1600" w:type="dxa"/>
            <w:tcBorders>
              <w:top w:val="nil"/>
              <w:left w:val="nil"/>
              <w:bottom w:val="single" w:color="auto" w:sz="12" w:space="0"/>
              <w:right w:val="nil"/>
            </w:tcBorders>
            <w:tcMar>
              <w:top w:w="-1" w:type="dxa"/>
              <w:left w:w="-1" w:type="dxa"/>
              <w:bottom w:w="-1" w:type="dxa"/>
              <w:right w:w="-1" w:type="dxa"/>
            </w:tcMar>
            <w:vAlign w:val="center"/>
          </w:tcPr>
          <w:p w14:paraId="2D2E6D44">
            <w:pPr>
              <w:snapToGrid w:val="0"/>
              <w:jc w:val="center"/>
              <w:rPr>
                <w:rFonts w:ascii="宋体"/>
                <w:sz w:val="24"/>
              </w:rPr>
            </w:pPr>
            <w:r>
              <w:rPr>
                <w:rFonts w:ascii="宋体" w:hAnsi="宋体"/>
                <w:sz w:val="24"/>
              </w:rPr>
              <w:t>普通 Web 演示</w:t>
            </w:r>
          </w:p>
        </w:tc>
        <w:tc>
          <w:tcPr>
            <w:tcW w:w="3267" w:type="dxa"/>
            <w:tcBorders>
              <w:top w:val="nil"/>
              <w:left w:val="nil"/>
              <w:bottom w:val="single" w:color="auto" w:sz="12" w:space="0"/>
              <w:right w:val="nil"/>
            </w:tcBorders>
            <w:tcMar>
              <w:top w:w="-1" w:type="dxa"/>
              <w:left w:w="-1" w:type="dxa"/>
              <w:bottom w:w="-1" w:type="dxa"/>
              <w:right w:w="-1" w:type="dxa"/>
            </w:tcMar>
            <w:vAlign w:val="center"/>
          </w:tcPr>
          <w:p w14:paraId="69228E8F">
            <w:pPr>
              <w:snapToGrid w:val="0"/>
              <w:jc w:val="center"/>
              <w:rPr>
                <w:rFonts w:ascii="宋体"/>
                <w:sz w:val="24"/>
              </w:rPr>
            </w:pPr>
            <w:r>
              <w:rPr>
                <w:rFonts w:ascii="宋体" w:hAnsi="宋体"/>
                <w:sz w:val="24"/>
              </w:rPr>
              <w:t>只展示结果页面，不提供输入守卫与异常验证</w:t>
            </w:r>
          </w:p>
        </w:tc>
        <w:tc>
          <w:tcPr>
            <w:tcW w:w="3953" w:type="dxa"/>
            <w:tcBorders>
              <w:top w:val="nil"/>
              <w:left w:val="nil"/>
              <w:bottom w:val="single" w:color="auto" w:sz="12" w:space="0"/>
              <w:right w:val="nil"/>
            </w:tcBorders>
            <w:tcMar>
              <w:top w:w="-1" w:type="dxa"/>
              <w:left w:w="-1" w:type="dxa"/>
              <w:bottom w:w="-1" w:type="dxa"/>
              <w:right w:w="-1" w:type="dxa"/>
            </w:tcMar>
            <w:vAlign w:val="center"/>
          </w:tcPr>
          <w:p w14:paraId="6DC40160">
            <w:pPr>
              <w:snapToGrid w:val="0"/>
              <w:jc w:val="left"/>
              <w:rPr>
                <w:rFonts w:ascii="宋体"/>
                <w:sz w:val="24"/>
              </w:rPr>
            </w:pPr>
            <w:r>
              <w:rPr>
                <w:rFonts w:ascii="宋体" w:hAnsi="宋体"/>
                <w:sz w:val="24"/>
              </w:rPr>
              <w:t>加入服务端快检、审计链、模糊测试与重放/并发守卫证据</w:t>
            </w:r>
          </w:p>
        </w:tc>
      </w:tr>
    </w:tbl>
    <w:p w14:paraId="27B84C9E">
      <w:pPr>
        <w:spacing w:line="360" w:lineRule="auto"/>
        <w:ind w:firstLine="480"/>
      </w:pPr>
      <w:r>
        <w:rPr>
          <w:rFonts w:ascii="宋体" w:hAnsi="宋体" w:cs="宋体"/>
          <w:sz w:val="24"/>
        </w:rPr>
        <w:t xml:space="preserve">本作品与常见隐私推理方案在核心能力上的差异对比如表 </w:t>
      </w:r>
      <w:r>
        <w:rPr>
          <w:rFonts w:hint="eastAsia" w:ascii="宋体" w:hAnsi="宋体" w:cs="宋体"/>
          <w:sz w:val="24"/>
        </w:rPr>
        <w:t>1</w:t>
      </w:r>
      <w:r>
        <w:rPr>
          <w:rFonts w:hint="eastAsia" w:ascii="宋体" w:hAnsi="宋体" w:cs="宋体"/>
          <w:sz w:val="24"/>
          <w:lang w:val="en-US" w:eastAsia="zh-CN"/>
        </w:rPr>
        <w:t>4</w:t>
      </w:r>
      <w:r>
        <w:rPr>
          <w:rFonts w:ascii="宋体" w:hAnsi="宋体" w:cs="宋体"/>
          <w:sz w:val="24"/>
        </w:rPr>
        <w:t xml:space="preserve"> 所示。</w:t>
      </w:r>
      <w:r>
        <w:rPr>
          <w:rFonts w:ascii="宋体" w:hAnsi="宋体"/>
          <w:sz w:val="24"/>
        </w:rPr>
        <w:t>这组对比说明，本作品的主要价值不在于简单地“再做一条安全推理链”，而在于同时解决了动态剪枝保留、双向隐私成立、动态决策链不外泄以及工程交付可验证四个问题。</w:t>
      </w:r>
      <w:r>
        <w:rPr>
          <w:rFonts w:hint="eastAsia" w:ascii="宋体" w:hAnsi="宋体"/>
          <w:sz w:val="24"/>
        </w:rPr>
        <w:t>若从已有隐私保护 ViT 路线来看，SViT[13] 代表的是“保持原始 ViT-B/16 结构不变，通过秘密共享安全协议优化降低推理开销”的方案。其优势在于协议边界清晰、非线性算子设计完整，并且在计算效率和在线通信量方面相较 CrypTen 取得了较明显改善。相比之下，本作品的重点不在于复现固定结构 ViT 的安全执行，而在于把 DynamicViT 中原本依赖明文控制流的动态词元剪枝路径，重写为固定图下可执行的安全比较与安全选择语义，并进一步纳入浏览器端控制面、服务端权威快检和审计闭环。换言之，SViT 更偏向“协议优化型”隐私推理框架，而本作品更偏向“动态结构安全化 + 双向隐私 + 工程闭环”的综合方案。</w:t>
      </w:r>
    </w:p>
    <w:p w14:paraId="646010BA">
      <w:pPr>
        <w:spacing w:line="360" w:lineRule="auto"/>
        <w:ind w:firstLine="480"/>
      </w:pPr>
      <w:r>
        <w:rPr>
          <w:rFonts w:ascii="宋体" w:hAnsi="宋体"/>
          <w:sz w:val="24"/>
        </w:rPr>
        <w:t>为避免“文字对比结论”显得过于抽象，图 5-1 进一步把固定结构安全推理、明文剪枝后密态回放、单向隐私推理与本作品放在同一能力矩阵下进行边界比较。该图服务于第 5.4 节的总结性结论：本作品的差异不在于单独强化某一侧能力，而在于把动态剪枝、双向隐私、服务端权威快检与可复核控制面整合进同一条工程闭环。</w:t>
      </w:r>
    </w:p>
    <w:p w14:paraId="546EACC6">
      <w:pPr>
        <w:spacing w:line="360" w:lineRule="auto"/>
        <w:jc w:val="center"/>
      </w:pPr>
      <w:r>
        <w:drawing>
          <wp:inline distT="0" distB="0" distL="114300" distR="114300">
            <wp:extent cx="5595620" cy="3051175"/>
            <wp:effectExtent l="0" t="0" r="508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5595620" cy="3051175"/>
                    </a:xfrm>
                    <a:prstGeom prst="rect">
                      <a:avLst/>
                    </a:prstGeom>
                    <a:noFill/>
                    <a:ln>
                      <a:noFill/>
                    </a:ln>
                  </pic:spPr>
                </pic:pic>
              </a:graphicData>
            </a:graphic>
          </wp:inline>
        </w:drawing>
      </w:r>
    </w:p>
    <w:p w14:paraId="34E715C7">
      <w:pPr>
        <w:spacing w:line="288" w:lineRule="auto"/>
        <w:jc w:val="center"/>
      </w:pPr>
      <w:r>
        <w:rPr>
          <w:rFonts w:ascii="宋体" w:hAnsi="宋体"/>
          <w:sz w:val="20"/>
        </w:rPr>
        <w:t>图5-1 本作品与常见方案能力边界对比图：从动态剪枝、双向隐私、服务端快检与可追溯控制面四个维度展示差异。</w:t>
      </w:r>
    </w:p>
    <w:p w14:paraId="203B31B6">
      <w:pPr>
        <w:spacing w:line="360" w:lineRule="auto"/>
        <w:outlineLvl w:val="1"/>
        <w:rPr>
          <w:rFonts w:hint="eastAsia" w:ascii="黑体" w:hAnsi="黑体" w:eastAsia="黑体"/>
          <w:b/>
          <w:sz w:val="24"/>
        </w:rPr>
      </w:pPr>
      <w:bookmarkStart w:id="64" w:name="_Toc230691172"/>
      <w:bookmarkStart w:id="65" w:name="Transshield_TOC_section_5_5"/>
      <w:r>
        <w:rPr>
          <w:rFonts w:hint="eastAsia" w:ascii="黑体" w:hAnsi="黑体" w:eastAsia="黑体"/>
          <w:b/>
          <w:sz w:val="24"/>
        </w:rPr>
        <w:t>5.5 当前局限性</w:t>
      </w:r>
      <w:bookmarkEnd w:id="64"/>
      <w:bookmarkEnd w:id="65"/>
    </w:p>
    <w:p w14:paraId="19EED25C">
      <w:pPr>
        <w:spacing w:line="360" w:lineRule="auto"/>
        <w:ind w:firstLine="480"/>
        <w:rPr>
          <w:rFonts w:hint="eastAsia" w:ascii="黑体" w:hAnsi="黑体" w:eastAsia="黑体"/>
          <w:b/>
          <w:sz w:val="44"/>
        </w:rPr>
      </w:pPr>
      <w:r>
        <w:rPr>
          <w:rFonts w:hint="eastAsia" w:ascii="宋体" w:hAnsi="宋体"/>
          <w:sz w:val="24"/>
        </w:rPr>
        <w:t>本作品当前仍有六点需要明确说明的边界。第一，当前展示后端采用单进程 Uvicorn/FastAPI 原型承载长耗时 SPU 调用，进入长耗时 SPU 计算后的主动断连感知、任务取消和队列化调度能力仍不完整，因此现有并发守卫不能等价替代生产级拒绝服务防护。第二，当前仓内仅固化了端到端通信量与算子级代理基准证据，未单独落盘正式医疗主线的阶段级时延剖面，因此尚不能给出更细粒度的性能分解。第三，金融任务当前只覆盖 8 条边界压力样本，足以支撑稳定性验证，但不足以单独构成第二应用主线。第四，当前安全模型主要建立在两方半诚实假设上，不覆盖恶意参与方串谋、模型抽取和更强侧信道对抗场景。第五，当前系统尚未系统评估输出结果本身可能带来的反推风险，因此输出侧隐私仍需在后续工作中单独建模与验证。第六，SViT 这类外部对照方案虽然在协议级性能方面表现较优，但仍依赖可信第三方和固定两方执行模型，说明当前隐私保护 ViT 系统在部署角色、信任假设和执行形态上仍存在约束。</w:t>
      </w:r>
      <w:r>
        <w:rPr>
          <w:rFonts w:ascii="黑体" w:hAnsi="黑体" w:eastAsia="黑体"/>
          <w:b/>
          <w:sz w:val="44"/>
        </w:rPr>
        <w:br w:type="page"/>
      </w:r>
    </w:p>
    <w:p w14:paraId="7A08D295">
      <w:pPr>
        <w:pStyle w:val="2"/>
        <w:jc w:val="center"/>
      </w:pPr>
      <w:bookmarkStart w:id="66" w:name="_Toc230691173"/>
      <w:bookmarkStart w:id="67" w:name="Transshield_TOC_chapter_6"/>
      <w:r>
        <w:rPr>
          <w:rFonts w:ascii="黑体" w:hAnsi="黑体" w:eastAsia="黑体"/>
        </w:rPr>
        <w:t>第六章 复现与参赛声明</w:t>
      </w:r>
      <w:bookmarkEnd w:id="66"/>
      <w:bookmarkEnd w:id="67"/>
    </w:p>
    <w:p w14:paraId="3F83A30D">
      <w:pPr>
        <w:spacing w:line="360" w:lineRule="auto"/>
        <w:outlineLvl w:val="1"/>
        <w:rPr>
          <w:rFonts w:hint="eastAsia" w:ascii="黑体" w:hAnsi="黑体" w:eastAsia="黑体"/>
          <w:b/>
          <w:sz w:val="24"/>
        </w:rPr>
      </w:pPr>
      <w:bookmarkStart w:id="68" w:name="_Toc230691174"/>
      <w:bookmarkStart w:id="69" w:name="Transshield_TOC_section_6_1"/>
      <w:r>
        <w:rPr>
          <w:rFonts w:hint="eastAsia" w:ascii="黑体" w:hAnsi="黑体" w:eastAsia="黑体"/>
          <w:b/>
          <w:sz w:val="24"/>
        </w:rPr>
        <w:t>6.1 最低可复现路径</w:t>
      </w:r>
      <w:bookmarkEnd w:id="68"/>
      <w:bookmarkEnd w:id="69"/>
    </w:p>
    <w:p w14:paraId="38130C8E">
      <w:pPr>
        <w:spacing w:line="360" w:lineRule="auto"/>
        <w:ind w:firstLine="480"/>
        <w:rPr>
          <w:rFonts w:hint="eastAsia" w:ascii="宋体" w:hAnsi="宋体"/>
          <w:sz w:val="24"/>
        </w:rPr>
      </w:pPr>
      <w:r>
        <w:rPr>
          <w:rFonts w:ascii="宋体" w:hAnsi="宋体" w:cs="宋体"/>
          <w:sz w:val="24"/>
        </w:rPr>
        <w:t xml:space="preserve">系统最低可复现验证步骤如表 </w:t>
      </w:r>
      <w:r>
        <w:rPr>
          <w:rFonts w:hint="eastAsia" w:ascii="宋体" w:hAnsi="宋体" w:cs="宋体"/>
          <w:sz w:val="24"/>
        </w:rPr>
        <w:t>1</w:t>
      </w:r>
      <w:r>
        <w:rPr>
          <w:rFonts w:hint="eastAsia" w:ascii="宋体" w:hAnsi="宋体" w:cs="宋体"/>
          <w:sz w:val="24"/>
          <w:lang w:val="en-US" w:eastAsia="zh-CN"/>
        </w:rPr>
        <w:t>5</w:t>
      </w:r>
      <w:r>
        <w:rPr>
          <w:rFonts w:ascii="宋体" w:hAnsi="宋体" w:cs="宋体"/>
          <w:sz w:val="24"/>
        </w:rPr>
        <w:t xml:space="preserve"> 所示</w:t>
      </w:r>
      <w:r>
        <w:rPr>
          <w:rFonts w:hint="eastAsia" w:ascii="宋体" w:hAnsi="宋体" w:cs="宋体"/>
          <w:sz w:val="24"/>
        </w:rPr>
        <w:t>。</w:t>
      </w:r>
      <w:r>
        <w:rPr>
          <w:rFonts w:ascii="宋体" w:hAnsi="宋体"/>
          <w:sz w:val="24"/>
        </w:rPr>
        <w:t>在模型目录与基础 Python 环境已就位的前提下，可在 10–20 分钟内完成最小闭环验证：先启动 Web 演示并在浏览器端加载一张本地医疗样本，确认系统在本地完成预处理与分片后返回分类、质量保障结论、审计摘要与控制面耗时；再运行协议层异常输入脚本与至少一项控制面守卫检查，验证异常输入阻断与并发/重放防护。完整命令与故障排查说明见 `README_REPRODUCE.md`。</w:t>
      </w:r>
    </w:p>
    <w:p w14:paraId="4DD56D77">
      <w:pPr>
        <w:spacing w:line="360" w:lineRule="auto"/>
        <w:ind w:firstLine="480"/>
        <w:jc w:val="center"/>
        <w:rPr>
          <w:rFonts w:hint="eastAsia" w:ascii="宋体" w:hAnsi="宋体"/>
          <w:sz w:val="24"/>
        </w:rPr>
      </w:pPr>
      <w:r>
        <w:rPr>
          <w:rFonts w:ascii="宋体" w:hAnsi="宋体" w:cs="宋体"/>
          <w:sz w:val="24"/>
        </w:rPr>
        <w:t xml:space="preserve">表 </w:t>
      </w:r>
      <w:r>
        <w:rPr>
          <w:rFonts w:hint="eastAsia" w:ascii="宋体" w:hAnsi="宋体" w:cs="宋体"/>
          <w:sz w:val="24"/>
        </w:rPr>
        <w:t>1</w:t>
      </w:r>
      <w:r>
        <w:rPr>
          <w:rFonts w:hint="eastAsia" w:ascii="宋体" w:hAnsi="宋体" w:cs="宋体"/>
          <w:sz w:val="24"/>
          <w:lang w:val="en-US" w:eastAsia="zh-CN"/>
        </w:rPr>
        <w:t>5</w:t>
      </w:r>
      <w:r>
        <w:rPr>
          <w:rFonts w:ascii="宋体" w:hAnsi="宋体" w:cs="宋体"/>
          <w:sz w:val="24"/>
        </w:rPr>
        <w:t xml:space="preserve"> 系统最低可复现验证步骤</w:t>
      </w:r>
    </w:p>
    <w:tbl>
      <w:tblPr>
        <w:tblStyle w:val="7"/>
        <w:tblW w:w="8839" w:type="dxa"/>
        <w:jc w:val="center"/>
        <w:tblLayout w:type="fixed"/>
        <w:tblCellMar>
          <w:top w:w="0" w:type="dxa"/>
          <w:left w:w="108" w:type="dxa"/>
          <w:bottom w:w="0" w:type="dxa"/>
          <w:right w:w="108" w:type="dxa"/>
        </w:tblCellMar>
      </w:tblPr>
      <w:tblGrid>
        <w:gridCol w:w="1605"/>
        <w:gridCol w:w="1411"/>
        <w:gridCol w:w="2917"/>
        <w:gridCol w:w="2906"/>
      </w:tblGrid>
      <w:tr w14:paraId="641D73D7">
        <w:tblPrEx>
          <w:tblCellMar>
            <w:top w:w="0" w:type="dxa"/>
            <w:left w:w="108" w:type="dxa"/>
            <w:bottom w:w="0" w:type="dxa"/>
            <w:right w:w="108" w:type="dxa"/>
          </w:tblCellMar>
        </w:tblPrEx>
        <w:trPr>
          <w:tblHeader/>
          <w:jc w:val="center"/>
        </w:trPr>
        <w:tc>
          <w:tcPr>
            <w:tcW w:w="1605" w:type="dxa"/>
            <w:tcBorders>
              <w:top w:val="single" w:color="auto" w:sz="12" w:space="0"/>
              <w:left w:val="nil"/>
              <w:bottom w:val="nil"/>
              <w:right w:val="nil"/>
            </w:tcBorders>
            <w:tcMar>
              <w:top w:w="-1" w:type="dxa"/>
              <w:left w:w="-1" w:type="dxa"/>
              <w:bottom w:w="-1" w:type="dxa"/>
              <w:right w:w="-1" w:type="dxa"/>
            </w:tcMar>
            <w:vAlign w:val="center"/>
          </w:tcPr>
          <w:p w14:paraId="0FD54BD2">
            <w:pPr>
              <w:snapToGrid w:val="0"/>
              <w:jc w:val="center"/>
              <w:rPr>
                <w:rFonts w:ascii="宋体"/>
                <w:b/>
                <w:sz w:val="24"/>
                <w:szCs w:val="40"/>
              </w:rPr>
            </w:pPr>
            <w:r>
              <w:rPr>
                <w:rFonts w:ascii="宋体" w:hAnsi="宋体"/>
                <w:b/>
                <w:sz w:val="24"/>
                <w:szCs w:val="40"/>
              </w:rPr>
              <w:t>步骤</w:t>
            </w:r>
          </w:p>
        </w:tc>
        <w:tc>
          <w:tcPr>
            <w:tcW w:w="1411" w:type="dxa"/>
            <w:tcBorders>
              <w:top w:val="single" w:color="auto" w:sz="12" w:space="0"/>
              <w:left w:val="nil"/>
              <w:bottom w:val="nil"/>
              <w:right w:val="nil"/>
            </w:tcBorders>
            <w:tcMar>
              <w:top w:w="-1" w:type="dxa"/>
              <w:left w:w="-1" w:type="dxa"/>
              <w:bottom w:w="-1" w:type="dxa"/>
              <w:right w:w="-1" w:type="dxa"/>
            </w:tcMar>
            <w:vAlign w:val="center"/>
          </w:tcPr>
          <w:p w14:paraId="04CA65C0">
            <w:pPr>
              <w:snapToGrid w:val="0"/>
              <w:jc w:val="center"/>
              <w:rPr>
                <w:rFonts w:ascii="宋体"/>
                <w:b/>
                <w:sz w:val="24"/>
                <w:szCs w:val="40"/>
              </w:rPr>
            </w:pPr>
            <w:r>
              <w:rPr>
                <w:rFonts w:ascii="宋体" w:hAnsi="宋体"/>
                <w:b/>
                <w:sz w:val="24"/>
                <w:szCs w:val="40"/>
              </w:rPr>
              <w:t>预估耗时</w:t>
            </w:r>
          </w:p>
        </w:tc>
        <w:tc>
          <w:tcPr>
            <w:tcW w:w="2917" w:type="dxa"/>
            <w:tcBorders>
              <w:top w:val="single" w:color="auto" w:sz="12" w:space="0"/>
              <w:left w:val="nil"/>
              <w:bottom w:val="nil"/>
              <w:right w:val="nil"/>
            </w:tcBorders>
            <w:tcMar>
              <w:top w:w="-1" w:type="dxa"/>
              <w:left w:w="-1" w:type="dxa"/>
              <w:bottom w:w="-1" w:type="dxa"/>
              <w:right w:w="-1" w:type="dxa"/>
            </w:tcMar>
            <w:vAlign w:val="center"/>
          </w:tcPr>
          <w:p w14:paraId="63AE1B8A">
            <w:pPr>
              <w:snapToGrid w:val="0"/>
              <w:jc w:val="center"/>
              <w:rPr>
                <w:rFonts w:ascii="宋体"/>
                <w:b/>
                <w:sz w:val="24"/>
                <w:szCs w:val="40"/>
              </w:rPr>
            </w:pPr>
            <w:r>
              <w:rPr>
                <w:rFonts w:ascii="宋体" w:hAnsi="宋体"/>
                <w:b/>
                <w:sz w:val="24"/>
                <w:szCs w:val="40"/>
              </w:rPr>
              <w:t>入口</w:t>
            </w:r>
          </w:p>
        </w:tc>
        <w:tc>
          <w:tcPr>
            <w:tcW w:w="2906" w:type="dxa"/>
            <w:tcBorders>
              <w:top w:val="single" w:color="auto" w:sz="12" w:space="0"/>
              <w:left w:val="nil"/>
              <w:bottom w:val="nil"/>
              <w:right w:val="nil"/>
            </w:tcBorders>
            <w:tcMar>
              <w:top w:w="-1" w:type="dxa"/>
              <w:left w:w="-1" w:type="dxa"/>
              <w:bottom w:w="-1" w:type="dxa"/>
              <w:right w:w="-1" w:type="dxa"/>
            </w:tcMar>
            <w:vAlign w:val="center"/>
          </w:tcPr>
          <w:p w14:paraId="29635E17">
            <w:pPr>
              <w:snapToGrid w:val="0"/>
              <w:jc w:val="center"/>
              <w:rPr>
                <w:rFonts w:ascii="宋体"/>
                <w:b/>
                <w:sz w:val="24"/>
                <w:szCs w:val="40"/>
              </w:rPr>
            </w:pPr>
            <w:r>
              <w:rPr>
                <w:rFonts w:ascii="宋体" w:hAnsi="宋体"/>
                <w:b/>
                <w:sz w:val="24"/>
                <w:szCs w:val="40"/>
              </w:rPr>
              <w:t>预期输出</w:t>
            </w:r>
          </w:p>
        </w:tc>
      </w:tr>
      <w:tr w14:paraId="3541253D">
        <w:tblPrEx>
          <w:tblCellMar>
            <w:top w:w="0" w:type="dxa"/>
            <w:left w:w="108" w:type="dxa"/>
            <w:bottom w:w="0" w:type="dxa"/>
            <w:right w:w="108" w:type="dxa"/>
          </w:tblCellMar>
        </w:tblPrEx>
        <w:trPr>
          <w:jc w:val="center"/>
        </w:trPr>
        <w:tc>
          <w:tcPr>
            <w:tcW w:w="1605" w:type="dxa"/>
            <w:tcBorders>
              <w:top w:val="single" w:color="auto" w:sz="4" w:space="0"/>
              <w:left w:val="nil"/>
              <w:bottom w:val="nil"/>
              <w:right w:val="nil"/>
            </w:tcBorders>
            <w:tcMar>
              <w:top w:w="-1" w:type="dxa"/>
              <w:left w:w="-1" w:type="dxa"/>
              <w:bottom w:w="-1" w:type="dxa"/>
              <w:right w:w="-1" w:type="dxa"/>
            </w:tcMar>
            <w:vAlign w:val="center"/>
          </w:tcPr>
          <w:p w14:paraId="58F1F6FD">
            <w:pPr>
              <w:snapToGrid w:val="0"/>
              <w:jc w:val="center"/>
              <w:rPr>
                <w:rFonts w:ascii="宋体"/>
                <w:sz w:val="24"/>
                <w:szCs w:val="40"/>
              </w:rPr>
            </w:pPr>
            <w:r>
              <w:rPr>
                <w:rFonts w:ascii="宋体" w:hAnsi="宋体"/>
                <w:sz w:val="24"/>
                <w:szCs w:val="40"/>
              </w:rPr>
              <w:t>启动 Web 演示并加载一张本地医疗样本</w:t>
            </w:r>
          </w:p>
        </w:tc>
        <w:tc>
          <w:tcPr>
            <w:tcW w:w="1411" w:type="dxa"/>
            <w:tcBorders>
              <w:top w:val="single" w:color="auto" w:sz="4" w:space="0"/>
              <w:left w:val="nil"/>
              <w:bottom w:val="nil"/>
              <w:right w:val="nil"/>
            </w:tcBorders>
            <w:tcMar>
              <w:top w:w="-1" w:type="dxa"/>
              <w:left w:w="-1" w:type="dxa"/>
              <w:bottom w:w="-1" w:type="dxa"/>
              <w:right w:w="-1" w:type="dxa"/>
            </w:tcMar>
            <w:vAlign w:val="center"/>
          </w:tcPr>
          <w:p w14:paraId="559D39BA">
            <w:pPr>
              <w:snapToGrid w:val="0"/>
              <w:jc w:val="left"/>
              <w:rPr>
                <w:rFonts w:ascii="宋体"/>
                <w:sz w:val="24"/>
                <w:szCs w:val="40"/>
              </w:rPr>
            </w:pPr>
            <w:r>
              <w:rPr>
                <w:rFonts w:ascii="宋体" w:hAnsi="宋体"/>
                <w:sz w:val="24"/>
                <w:szCs w:val="40"/>
              </w:rPr>
              <w:t>3–8 分钟</w:t>
            </w:r>
          </w:p>
        </w:tc>
        <w:tc>
          <w:tcPr>
            <w:tcW w:w="2917" w:type="dxa"/>
            <w:tcBorders>
              <w:top w:val="single" w:color="auto" w:sz="4" w:space="0"/>
              <w:left w:val="nil"/>
              <w:bottom w:val="nil"/>
              <w:right w:val="nil"/>
            </w:tcBorders>
            <w:tcMar>
              <w:top w:w="-1" w:type="dxa"/>
              <w:left w:w="-1" w:type="dxa"/>
              <w:bottom w:w="-1" w:type="dxa"/>
              <w:right w:w="-1" w:type="dxa"/>
            </w:tcMar>
            <w:vAlign w:val="center"/>
          </w:tcPr>
          <w:p w14:paraId="0BBC6B0B">
            <w:r>
              <w:t>python3 tools/start_showcase_spu_demo.py --host 0.0.0.0 --port 7860</w:t>
            </w:r>
          </w:p>
        </w:tc>
        <w:tc>
          <w:tcPr>
            <w:tcW w:w="2906" w:type="dxa"/>
            <w:tcBorders>
              <w:top w:val="single" w:color="auto" w:sz="4" w:space="0"/>
              <w:left w:val="nil"/>
              <w:bottom w:val="nil"/>
              <w:right w:val="nil"/>
            </w:tcBorders>
            <w:tcMar>
              <w:top w:w="-1" w:type="dxa"/>
              <w:left w:w="-1" w:type="dxa"/>
              <w:bottom w:w="-1" w:type="dxa"/>
              <w:right w:w="-1" w:type="dxa"/>
            </w:tcMar>
            <w:vAlign w:val="center"/>
          </w:tcPr>
          <w:p w14:paraId="566329A3">
            <w:pPr>
              <w:snapToGrid w:val="0"/>
              <w:jc w:val="left"/>
              <w:rPr>
                <w:rFonts w:ascii="宋体"/>
                <w:sz w:val="24"/>
                <w:szCs w:val="40"/>
              </w:rPr>
            </w:pPr>
            <w:r>
              <w:rPr>
                <w:rFonts w:ascii="宋体" w:hAnsi="宋体"/>
                <w:sz w:val="24"/>
                <w:szCs w:val="40"/>
              </w:rPr>
              <w:t>浏览器在本地完成预处理与分片后返回分类结果、质量保障结论、审计摘要与控制面耗时</w:t>
            </w:r>
          </w:p>
        </w:tc>
      </w:tr>
      <w:tr w14:paraId="4A363D7B">
        <w:tblPrEx>
          <w:tblCellMar>
            <w:top w:w="0" w:type="dxa"/>
            <w:left w:w="108" w:type="dxa"/>
            <w:bottom w:w="0" w:type="dxa"/>
            <w:right w:w="108" w:type="dxa"/>
          </w:tblCellMar>
        </w:tblPrEx>
        <w:trPr>
          <w:jc w:val="center"/>
        </w:trPr>
        <w:tc>
          <w:tcPr>
            <w:tcW w:w="1605" w:type="dxa"/>
            <w:tcBorders>
              <w:top w:val="nil"/>
              <w:left w:val="nil"/>
              <w:bottom w:val="nil"/>
              <w:right w:val="nil"/>
            </w:tcBorders>
            <w:tcMar>
              <w:top w:w="-1" w:type="dxa"/>
              <w:left w:w="-1" w:type="dxa"/>
              <w:bottom w:w="-1" w:type="dxa"/>
              <w:right w:w="-1" w:type="dxa"/>
            </w:tcMar>
            <w:vAlign w:val="center"/>
          </w:tcPr>
          <w:p w14:paraId="1F3E5287">
            <w:pPr>
              <w:snapToGrid w:val="0"/>
              <w:jc w:val="center"/>
              <w:rPr>
                <w:rFonts w:ascii="宋体"/>
                <w:sz w:val="24"/>
                <w:szCs w:val="40"/>
              </w:rPr>
            </w:pPr>
            <w:r>
              <w:rPr>
                <w:rFonts w:ascii="宋体" w:hAnsi="宋体"/>
                <w:sz w:val="24"/>
                <w:szCs w:val="40"/>
              </w:rPr>
              <w:t>运行协议层异常输入验证</w:t>
            </w:r>
          </w:p>
        </w:tc>
        <w:tc>
          <w:tcPr>
            <w:tcW w:w="1411" w:type="dxa"/>
            <w:tcBorders>
              <w:top w:val="nil"/>
              <w:left w:val="nil"/>
              <w:bottom w:val="nil"/>
              <w:right w:val="nil"/>
            </w:tcBorders>
            <w:tcMar>
              <w:top w:w="-1" w:type="dxa"/>
              <w:left w:w="-1" w:type="dxa"/>
              <w:bottom w:w="-1" w:type="dxa"/>
              <w:right w:w="-1" w:type="dxa"/>
            </w:tcMar>
            <w:vAlign w:val="center"/>
          </w:tcPr>
          <w:p w14:paraId="34F0D5D1">
            <w:pPr>
              <w:snapToGrid w:val="0"/>
              <w:jc w:val="left"/>
              <w:rPr>
                <w:rFonts w:ascii="宋体"/>
                <w:sz w:val="24"/>
                <w:szCs w:val="40"/>
              </w:rPr>
            </w:pPr>
            <w:r>
              <w:rPr>
                <w:rFonts w:ascii="宋体" w:hAnsi="宋体"/>
                <w:sz w:val="24"/>
                <w:szCs w:val="40"/>
              </w:rPr>
              <w:t>2–4 分钟</w:t>
            </w:r>
          </w:p>
        </w:tc>
        <w:tc>
          <w:tcPr>
            <w:tcW w:w="2917" w:type="dxa"/>
            <w:tcBorders>
              <w:top w:val="nil"/>
              <w:left w:val="nil"/>
              <w:bottom w:val="nil"/>
              <w:right w:val="nil"/>
            </w:tcBorders>
            <w:tcMar>
              <w:top w:w="-1" w:type="dxa"/>
              <w:left w:w="-1" w:type="dxa"/>
              <w:bottom w:w="-1" w:type="dxa"/>
              <w:right w:w="-1" w:type="dxa"/>
            </w:tcMar>
            <w:vAlign w:val="center"/>
          </w:tcPr>
          <w:p w14:paraId="1647856D">
            <w:r>
              <w:t>python3 tools/showcase_protocol_fuzz.py --base-url http://127.0.0.1:7860</w:t>
            </w:r>
          </w:p>
        </w:tc>
        <w:tc>
          <w:tcPr>
            <w:tcW w:w="2906" w:type="dxa"/>
            <w:tcBorders>
              <w:top w:val="nil"/>
              <w:left w:val="nil"/>
              <w:bottom w:val="nil"/>
              <w:right w:val="nil"/>
            </w:tcBorders>
            <w:tcMar>
              <w:top w:w="-1" w:type="dxa"/>
              <w:left w:w="-1" w:type="dxa"/>
              <w:bottom w:w="-1" w:type="dxa"/>
              <w:right w:w="-1" w:type="dxa"/>
            </w:tcMar>
            <w:vAlign w:val="center"/>
          </w:tcPr>
          <w:p w14:paraId="50D6598C">
            <w:pPr>
              <w:snapToGrid w:val="0"/>
              <w:jc w:val="left"/>
              <w:rPr>
                <w:rFonts w:ascii="宋体"/>
                <w:sz w:val="24"/>
                <w:szCs w:val="40"/>
              </w:rPr>
            </w:pPr>
            <w:r>
              <w:rPr>
                <w:rFonts w:ascii="宋体" w:hAnsi="宋体"/>
                <w:sz w:val="24"/>
                <w:szCs w:val="40"/>
              </w:rPr>
              <w:t>生成 `protocol_fuzz_evidence.json`（或自定义输出文件），验证 multipart/JSON/截断请求体阻断</w:t>
            </w:r>
          </w:p>
        </w:tc>
      </w:tr>
      <w:tr w14:paraId="4C3F0305">
        <w:tblPrEx>
          <w:tblCellMar>
            <w:top w:w="0" w:type="dxa"/>
            <w:left w:w="108" w:type="dxa"/>
            <w:bottom w:w="0" w:type="dxa"/>
            <w:right w:w="108" w:type="dxa"/>
          </w:tblCellMar>
        </w:tblPrEx>
        <w:trPr>
          <w:jc w:val="center"/>
        </w:trPr>
        <w:tc>
          <w:tcPr>
            <w:tcW w:w="1605" w:type="dxa"/>
            <w:tcBorders>
              <w:top w:val="nil"/>
              <w:left w:val="nil"/>
              <w:bottom w:val="nil"/>
              <w:right w:val="nil"/>
            </w:tcBorders>
            <w:tcMar>
              <w:top w:w="-1" w:type="dxa"/>
              <w:left w:w="-1" w:type="dxa"/>
              <w:bottom w:w="-1" w:type="dxa"/>
              <w:right w:w="-1" w:type="dxa"/>
            </w:tcMar>
            <w:vAlign w:val="center"/>
          </w:tcPr>
          <w:p w14:paraId="1DE1678F">
            <w:pPr>
              <w:snapToGrid w:val="0"/>
              <w:jc w:val="center"/>
              <w:rPr>
                <w:rFonts w:ascii="宋体"/>
                <w:sz w:val="24"/>
                <w:szCs w:val="40"/>
              </w:rPr>
            </w:pPr>
            <w:r>
              <w:rPr>
                <w:rFonts w:ascii="宋体" w:hAnsi="宋体"/>
                <w:sz w:val="24"/>
                <w:szCs w:val="40"/>
              </w:rPr>
              <w:t>运行至少一项控制面守卫检查</w:t>
            </w:r>
          </w:p>
        </w:tc>
        <w:tc>
          <w:tcPr>
            <w:tcW w:w="1411" w:type="dxa"/>
            <w:tcBorders>
              <w:top w:val="nil"/>
              <w:left w:val="nil"/>
              <w:bottom w:val="nil"/>
              <w:right w:val="nil"/>
            </w:tcBorders>
            <w:tcMar>
              <w:top w:w="-1" w:type="dxa"/>
              <w:left w:w="-1" w:type="dxa"/>
              <w:bottom w:w="-1" w:type="dxa"/>
              <w:right w:w="-1" w:type="dxa"/>
            </w:tcMar>
            <w:vAlign w:val="center"/>
          </w:tcPr>
          <w:p w14:paraId="6B4EA48D">
            <w:pPr>
              <w:snapToGrid w:val="0"/>
              <w:jc w:val="left"/>
              <w:rPr>
                <w:rFonts w:ascii="宋体"/>
                <w:sz w:val="24"/>
                <w:szCs w:val="40"/>
              </w:rPr>
            </w:pPr>
            <w:r>
              <w:rPr>
                <w:rFonts w:ascii="宋体" w:hAnsi="宋体"/>
                <w:sz w:val="24"/>
                <w:szCs w:val="40"/>
              </w:rPr>
              <w:t>2–6 分钟</w:t>
            </w:r>
          </w:p>
        </w:tc>
        <w:tc>
          <w:tcPr>
            <w:tcW w:w="2917" w:type="dxa"/>
            <w:tcBorders>
              <w:top w:val="nil"/>
              <w:left w:val="nil"/>
              <w:bottom w:val="nil"/>
              <w:right w:val="nil"/>
            </w:tcBorders>
            <w:tcMar>
              <w:top w:w="-1" w:type="dxa"/>
              <w:left w:w="-1" w:type="dxa"/>
              <w:bottom w:w="-1" w:type="dxa"/>
              <w:right w:w="-1" w:type="dxa"/>
            </w:tcMar>
            <w:vAlign w:val="center"/>
          </w:tcPr>
          <w:p w14:paraId="430B99A0">
            <w:r>
              <w:t>python3 tools/showcase_guard_stress.py --base-url http://127.0.0.1:7860 --checks duplicate_nonce</w:t>
            </w:r>
          </w:p>
        </w:tc>
        <w:tc>
          <w:tcPr>
            <w:tcW w:w="2906" w:type="dxa"/>
            <w:tcBorders>
              <w:top w:val="nil"/>
              <w:left w:val="nil"/>
              <w:bottom w:val="nil"/>
              <w:right w:val="nil"/>
            </w:tcBorders>
            <w:tcMar>
              <w:top w:w="-1" w:type="dxa"/>
              <w:left w:w="-1" w:type="dxa"/>
              <w:bottom w:w="-1" w:type="dxa"/>
              <w:right w:w="-1" w:type="dxa"/>
            </w:tcMar>
            <w:vAlign w:val="center"/>
          </w:tcPr>
          <w:p w14:paraId="2F117840">
            <w:pPr>
              <w:snapToGrid w:val="0"/>
              <w:jc w:val="left"/>
              <w:rPr>
                <w:rFonts w:ascii="宋体"/>
                <w:sz w:val="24"/>
                <w:szCs w:val="40"/>
              </w:rPr>
            </w:pPr>
            <w:r>
              <w:rPr>
                <w:rFonts w:ascii="宋体" w:hAnsi="宋体"/>
                <w:sz w:val="24"/>
                <w:szCs w:val="40"/>
              </w:rPr>
              <w:t>验证重复 nonce、重复载荷或并发占满守卫</w:t>
            </w:r>
          </w:p>
        </w:tc>
      </w:tr>
      <w:tr w14:paraId="5AAB17E0">
        <w:tblPrEx>
          <w:tblCellMar>
            <w:top w:w="0" w:type="dxa"/>
            <w:left w:w="108" w:type="dxa"/>
            <w:bottom w:w="0" w:type="dxa"/>
            <w:right w:w="108" w:type="dxa"/>
          </w:tblCellMar>
        </w:tblPrEx>
        <w:trPr>
          <w:jc w:val="center"/>
        </w:trPr>
        <w:tc>
          <w:tcPr>
            <w:tcW w:w="1605" w:type="dxa"/>
            <w:tcBorders>
              <w:top w:val="nil"/>
              <w:left w:val="nil"/>
              <w:bottom w:val="single" w:color="auto" w:sz="12" w:space="0"/>
              <w:right w:val="nil"/>
            </w:tcBorders>
            <w:tcMar>
              <w:top w:w="-1" w:type="dxa"/>
              <w:left w:w="-1" w:type="dxa"/>
              <w:bottom w:w="-1" w:type="dxa"/>
              <w:right w:w="-1" w:type="dxa"/>
            </w:tcMar>
            <w:vAlign w:val="center"/>
          </w:tcPr>
          <w:p w14:paraId="2863B381">
            <w:pPr>
              <w:snapToGrid w:val="0"/>
              <w:jc w:val="center"/>
              <w:rPr>
                <w:rFonts w:ascii="宋体"/>
                <w:sz w:val="24"/>
                <w:szCs w:val="40"/>
              </w:rPr>
            </w:pPr>
            <w:r>
              <w:rPr>
                <w:rFonts w:ascii="宋体" w:hAnsi="宋体"/>
                <w:sz w:val="24"/>
                <w:szCs w:val="40"/>
              </w:rPr>
              <w:t>可选：更换样本重复复核</w:t>
            </w:r>
          </w:p>
        </w:tc>
        <w:tc>
          <w:tcPr>
            <w:tcW w:w="1411" w:type="dxa"/>
            <w:tcBorders>
              <w:top w:val="nil"/>
              <w:left w:val="nil"/>
              <w:bottom w:val="single" w:color="auto" w:sz="12" w:space="0"/>
              <w:right w:val="nil"/>
            </w:tcBorders>
            <w:tcMar>
              <w:top w:w="-1" w:type="dxa"/>
              <w:left w:w="-1" w:type="dxa"/>
              <w:bottom w:w="-1" w:type="dxa"/>
              <w:right w:w="-1" w:type="dxa"/>
            </w:tcMar>
            <w:vAlign w:val="center"/>
          </w:tcPr>
          <w:p w14:paraId="13EA29CB">
            <w:pPr>
              <w:snapToGrid w:val="0"/>
              <w:jc w:val="left"/>
              <w:rPr>
                <w:rFonts w:ascii="宋体"/>
                <w:sz w:val="24"/>
                <w:szCs w:val="40"/>
              </w:rPr>
            </w:pPr>
            <w:r>
              <w:rPr>
                <w:rFonts w:ascii="宋体" w:hAnsi="宋体"/>
                <w:sz w:val="24"/>
                <w:szCs w:val="40"/>
              </w:rPr>
              <w:t>2–5 分钟</w:t>
            </w:r>
          </w:p>
        </w:tc>
        <w:tc>
          <w:tcPr>
            <w:tcW w:w="2917" w:type="dxa"/>
            <w:tcBorders>
              <w:top w:val="nil"/>
              <w:left w:val="nil"/>
              <w:bottom w:val="single" w:color="auto" w:sz="12" w:space="0"/>
              <w:right w:val="nil"/>
            </w:tcBorders>
            <w:tcMar>
              <w:top w:w="-1" w:type="dxa"/>
              <w:left w:w="-1" w:type="dxa"/>
              <w:bottom w:w="-1" w:type="dxa"/>
              <w:right w:w="-1" w:type="dxa"/>
            </w:tcMar>
            <w:vAlign w:val="center"/>
          </w:tcPr>
          <w:p w14:paraId="195200A1">
            <w:r>
              <w:t>浏览器重新加载另一张本地样本；或再次运行 python3 tools/showcase_guard_stress.py --base-url http://127.0.0.1:7860 --checks duplicate_nonce</w:t>
            </w:r>
          </w:p>
        </w:tc>
        <w:tc>
          <w:tcPr>
            <w:tcW w:w="2906" w:type="dxa"/>
            <w:tcBorders>
              <w:top w:val="nil"/>
              <w:left w:val="nil"/>
              <w:bottom w:val="single" w:color="auto" w:sz="12" w:space="0"/>
              <w:right w:val="nil"/>
            </w:tcBorders>
            <w:tcMar>
              <w:top w:w="-1" w:type="dxa"/>
              <w:left w:w="-1" w:type="dxa"/>
              <w:bottom w:w="-1" w:type="dxa"/>
              <w:right w:w="-1" w:type="dxa"/>
            </w:tcMar>
            <w:vAlign w:val="center"/>
          </w:tcPr>
          <w:p w14:paraId="79EED695">
            <w:pPr>
              <w:snapToGrid w:val="0"/>
              <w:jc w:val="left"/>
              <w:rPr>
                <w:rFonts w:ascii="宋体"/>
                <w:sz w:val="24"/>
                <w:szCs w:val="40"/>
              </w:rPr>
            </w:pPr>
            <w:r>
              <w:rPr>
                <w:rFonts w:ascii="宋体" w:hAnsi="宋体"/>
                <w:sz w:val="24"/>
                <w:szCs w:val="40"/>
              </w:rPr>
              <w:t>验证完整计算链路可重复执行，且审计摘要与控制面统计持续生成</w:t>
            </w:r>
          </w:p>
        </w:tc>
      </w:tr>
    </w:tbl>
    <w:p w14:paraId="70BFCF0E">
      <w:pPr>
        <w:spacing w:line="360" w:lineRule="auto"/>
        <w:outlineLvl w:val="1"/>
        <w:rPr>
          <w:rFonts w:hint="eastAsia" w:ascii="黑体" w:hAnsi="黑体" w:eastAsia="黑体"/>
          <w:b/>
          <w:sz w:val="24"/>
        </w:rPr>
      </w:pPr>
      <w:bookmarkStart w:id="70" w:name="Transshield_TOC_section_6_2"/>
      <w:bookmarkStart w:id="71" w:name="_Toc230691175"/>
      <w:r>
        <w:rPr>
          <w:rFonts w:hint="eastAsia" w:ascii="黑体" w:hAnsi="黑体" w:eastAsia="黑体"/>
          <w:b/>
          <w:sz w:val="24"/>
        </w:rPr>
        <w:t>6.2 数据、模型与权重合规声明</w:t>
      </w:r>
      <w:bookmarkEnd w:id="70"/>
      <w:bookmarkEnd w:id="71"/>
    </w:p>
    <w:p w14:paraId="09772E65">
      <w:pPr>
        <w:spacing w:line="360" w:lineRule="auto"/>
        <w:ind w:firstLine="480"/>
        <w:rPr>
          <w:rFonts w:hint="eastAsia" w:ascii="宋体" w:hAnsi="宋体"/>
          <w:sz w:val="24"/>
        </w:rPr>
      </w:pPr>
      <w:r>
        <w:rPr>
          <w:rFonts w:ascii="宋体" w:hAnsi="宋体" w:cs="宋体"/>
          <w:sz w:val="24"/>
        </w:rPr>
        <w:t xml:space="preserve">本作品对数据、模型结构与权重文件的分层合规声明与边界说明如表 </w:t>
      </w:r>
      <w:r>
        <w:rPr>
          <w:rFonts w:hint="eastAsia" w:ascii="宋体" w:hAnsi="宋体" w:cs="宋体"/>
          <w:sz w:val="24"/>
        </w:rPr>
        <w:t>1</w:t>
      </w:r>
      <w:r>
        <w:rPr>
          <w:rFonts w:hint="eastAsia" w:ascii="宋体" w:hAnsi="宋体" w:cs="宋体"/>
          <w:sz w:val="24"/>
          <w:lang w:val="en-US" w:eastAsia="zh-CN"/>
        </w:rPr>
        <w:t>6</w:t>
      </w:r>
      <w:r>
        <w:rPr>
          <w:rFonts w:ascii="宋体" w:hAnsi="宋体" w:cs="宋体"/>
          <w:sz w:val="24"/>
        </w:rPr>
        <w:t>所示。</w:t>
      </w:r>
      <w:r>
        <w:rPr>
          <w:rFonts w:ascii="宋体" w:hAnsi="宋体"/>
          <w:sz w:val="24"/>
        </w:rPr>
        <w:t>作品对数据、模型结构与权重文件分别采用分层合规声明。数据层面，报告与演示不包含真实、未经授权的患者隐私信息；医疗结果仅用于研究验证与竞赛展示，不作为临床诊断依据；金融压力样本仅承担方法边界验证职责。模型层面，公开仓库保留模型结构、运行脚本、图件与报告生成链；权重层面，仓库当前不默认随 Git 分发全部完整权重文件，仅保留必要的 bundle 元数据与加载入口，完整权重需在授权范围内单独提供。</w:t>
      </w:r>
    </w:p>
    <w:p w14:paraId="3C3B9828">
      <w:pPr>
        <w:spacing w:line="360" w:lineRule="auto"/>
        <w:ind w:firstLine="480"/>
        <w:jc w:val="center"/>
        <w:rPr>
          <w:rFonts w:hint="eastAsia" w:ascii="宋体" w:hAnsi="宋体"/>
          <w:sz w:val="24"/>
        </w:rPr>
      </w:pPr>
      <w:r>
        <w:rPr>
          <w:rFonts w:ascii="宋体" w:hAnsi="宋体" w:cs="宋体"/>
          <w:sz w:val="24"/>
        </w:rPr>
        <w:t xml:space="preserve">表 </w:t>
      </w:r>
      <w:r>
        <w:rPr>
          <w:rFonts w:hint="eastAsia" w:ascii="宋体" w:hAnsi="宋体" w:cs="宋体"/>
          <w:sz w:val="24"/>
        </w:rPr>
        <w:t>1</w:t>
      </w:r>
      <w:r>
        <w:rPr>
          <w:rFonts w:hint="eastAsia" w:ascii="宋体" w:hAnsi="宋体" w:cs="宋体"/>
          <w:sz w:val="24"/>
          <w:lang w:val="en-US" w:eastAsia="zh-CN"/>
        </w:rPr>
        <w:t>6</w:t>
      </w:r>
      <w:r>
        <w:rPr>
          <w:rFonts w:ascii="宋体" w:hAnsi="宋体" w:cs="宋体"/>
          <w:sz w:val="24"/>
        </w:rPr>
        <w:t xml:space="preserve"> 数据、模型与权重合规边界说明</w:t>
      </w:r>
    </w:p>
    <w:tbl>
      <w:tblPr>
        <w:tblStyle w:val="7"/>
        <w:tblW w:w="8820" w:type="dxa"/>
        <w:jc w:val="center"/>
        <w:tblLayout w:type="autofit"/>
        <w:tblCellMar>
          <w:top w:w="0" w:type="dxa"/>
          <w:left w:w="108" w:type="dxa"/>
          <w:bottom w:w="0" w:type="dxa"/>
          <w:right w:w="108" w:type="dxa"/>
        </w:tblCellMar>
      </w:tblPr>
      <w:tblGrid>
        <w:gridCol w:w="1818"/>
        <w:gridCol w:w="4266"/>
        <w:gridCol w:w="2736"/>
      </w:tblGrid>
      <w:tr w14:paraId="09BDA5D9">
        <w:tblPrEx>
          <w:tblCellMar>
            <w:top w:w="0" w:type="dxa"/>
            <w:left w:w="108" w:type="dxa"/>
            <w:bottom w:w="0" w:type="dxa"/>
            <w:right w:w="108" w:type="dxa"/>
          </w:tblCellMar>
        </w:tblPrEx>
        <w:trPr>
          <w:tblHeader/>
          <w:jc w:val="center"/>
        </w:trPr>
        <w:tc>
          <w:tcPr>
            <w:tcW w:w="1818" w:type="dxa"/>
            <w:tcBorders>
              <w:top w:val="single" w:color="auto" w:sz="12" w:space="0"/>
              <w:left w:val="nil"/>
              <w:bottom w:val="nil"/>
              <w:right w:val="nil"/>
            </w:tcBorders>
            <w:tcMar>
              <w:top w:w="-1" w:type="dxa"/>
              <w:left w:w="-1" w:type="dxa"/>
              <w:bottom w:w="-1" w:type="dxa"/>
              <w:right w:w="-1" w:type="dxa"/>
            </w:tcMar>
            <w:vAlign w:val="center"/>
          </w:tcPr>
          <w:p w14:paraId="55490A9A">
            <w:pPr>
              <w:snapToGrid w:val="0"/>
              <w:jc w:val="center"/>
              <w:rPr>
                <w:rFonts w:ascii="宋体"/>
                <w:b/>
                <w:sz w:val="24"/>
              </w:rPr>
            </w:pPr>
            <w:r>
              <w:rPr>
                <w:rFonts w:ascii="宋体" w:hAnsi="宋体"/>
                <w:b/>
                <w:sz w:val="24"/>
              </w:rPr>
              <w:t>对象</w:t>
            </w:r>
          </w:p>
        </w:tc>
        <w:tc>
          <w:tcPr>
            <w:tcW w:w="4266" w:type="dxa"/>
            <w:tcBorders>
              <w:top w:val="single" w:color="auto" w:sz="12" w:space="0"/>
              <w:left w:val="nil"/>
              <w:bottom w:val="nil"/>
              <w:right w:val="nil"/>
            </w:tcBorders>
            <w:tcMar>
              <w:top w:w="-1" w:type="dxa"/>
              <w:left w:w="-1" w:type="dxa"/>
              <w:bottom w:w="-1" w:type="dxa"/>
              <w:right w:w="-1" w:type="dxa"/>
            </w:tcMar>
            <w:vAlign w:val="center"/>
          </w:tcPr>
          <w:p w14:paraId="6E288824">
            <w:pPr>
              <w:snapToGrid w:val="0"/>
              <w:jc w:val="center"/>
              <w:rPr>
                <w:rFonts w:ascii="宋体"/>
                <w:b/>
                <w:sz w:val="24"/>
              </w:rPr>
            </w:pPr>
            <w:r>
              <w:rPr>
                <w:rFonts w:ascii="宋体" w:hAnsi="宋体"/>
                <w:b/>
                <w:sz w:val="24"/>
              </w:rPr>
              <w:t>当前做法</w:t>
            </w:r>
          </w:p>
        </w:tc>
        <w:tc>
          <w:tcPr>
            <w:tcW w:w="2736" w:type="dxa"/>
            <w:tcBorders>
              <w:top w:val="single" w:color="auto" w:sz="12" w:space="0"/>
              <w:left w:val="nil"/>
              <w:bottom w:val="nil"/>
              <w:right w:val="nil"/>
            </w:tcBorders>
            <w:tcMar>
              <w:top w:w="-1" w:type="dxa"/>
              <w:left w:w="-1" w:type="dxa"/>
              <w:bottom w:w="-1" w:type="dxa"/>
              <w:right w:w="-1" w:type="dxa"/>
            </w:tcMar>
            <w:vAlign w:val="center"/>
          </w:tcPr>
          <w:p w14:paraId="23FBB0E2">
            <w:pPr>
              <w:snapToGrid w:val="0"/>
              <w:jc w:val="center"/>
              <w:rPr>
                <w:rFonts w:ascii="宋体"/>
                <w:b/>
                <w:sz w:val="24"/>
              </w:rPr>
            </w:pPr>
            <w:r>
              <w:rPr>
                <w:rFonts w:ascii="宋体" w:hAnsi="宋体"/>
                <w:b/>
                <w:sz w:val="24"/>
              </w:rPr>
              <w:t>合规边界</w:t>
            </w:r>
          </w:p>
        </w:tc>
      </w:tr>
      <w:tr w14:paraId="37C4D31F">
        <w:tblPrEx>
          <w:tblCellMar>
            <w:top w:w="0" w:type="dxa"/>
            <w:left w:w="108" w:type="dxa"/>
            <w:bottom w:w="0" w:type="dxa"/>
            <w:right w:w="108" w:type="dxa"/>
          </w:tblCellMar>
        </w:tblPrEx>
        <w:trPr>
          <w:jc w:val="center"/>
        </w:trPr>
        <w:tc>
          <w:tcPr>
            <w:tcW w:w="1818" w:type="dxa"/>
            <w:tcBorders>
              <w:top w:val="single" w:color="auto" w:sz="4" w:space="0"/>
              <w:left w:val="nil"/>
              <w:bottom w:val="nil"/>
              <w:right w:val="nil"/>
            </w:tcBorders>
            <w:tcMar>
              <w:top w:w="-1" w:type="dxa"/>
              <w:left w:w="-1" w:type="dxa"/>
              <w:bottom w:w="-1" w:type="dxa"/>
              <w:right w:w="-1" w:type="dxa"/>
            </w:tcMar>
            <w:vAlign w:val="center"/>
          </w:tcPr>
          <w:p w14:paraId="4B901DD8">
            <w:pPr>
              <w:snapToGrid w:val="0"/>
              <w:jc w:val="center"/>
              <w:rPr>
                <w:rFonts w:ascii="宋体"/>
                <w:sz w:val="24"/>
              </w:rPr>
            </w:pPr>
            <w:r>
              <w:rPr>
                <w:rFonts w:ascii="宋体" w:hAnsi="宋体"/>
                <w:sz w:val="24"/>
              </w:rPr>
              <w:t>测试数据</w:t>
            </w:r>
          </w:p>
        </w:tc>
        <w:tc>
          <w:tcPr>
            <w:tcW w:w="4266" w:type="dxa"/>
            <w:tcBorders>
              <w:top w:val="single" w:color="auto" w:sz="4" w:space="0"/>
              <w:left w:val="nil"/>
              <w:bottom w:val="nil"/>
              <w:right w:val="nil"/>
            </w:tcBorders>
            <w:tcMar>
              <w:top w:w="-1" w:type="dxa"/>
              <w:left w:w="-1" w:type="dxa"/>
              <w:bottom w:w="-1" w:type="dxa"/>
              <w:right w:w="-1" w:type="dxa"/>
            </w:tcMar>
            <w:vAlign w:val="center"/>
          </w:tcPr>
          <w:p w14:paraId="72D5C128">
            <w:pPr>
              <w:snapToGrid w:val="0"/>
              <w:jc w:val="left"/>
              <w:rPr>
                <w:rFonts w:ascii="宋体"/>
                <w:sz w:val="24"/>
              </w:rPr>
            </w:pPr>
            <w:r>
              <w:rPr>
                <w:rFonts w:ascii="宋体" w:hAnsi="宋体"/>
                <w:sz w:val="24"/>
              </w:rPr>
              <w:t>仅使用仓内声明范围内的验证数据与压力样本</w:t>
            </w:r>
          </w:p>
        </w:tc>
        <w:tc>
          <w:tcPr>
            <w:tcW w:w="2736" w:type="dxa"/>
            <w:tcBorders>
              <w:top w:val="single" w:color="auto" w:sz="4" w:space="0"/>
              <w:left w:val="nil"/>
              <w:bottom w:val="nil"/>
              <w:right w:val="nil"/>
            </w:tcBorders>
            <w:tcMar>
              <w:top w:w="-1" w:type="dxa"/>
              <w:left w:w="-1" w:type="dxa"/>
              <w:bottom w:w="-1" w:type="dxa"/>
              <w:right w:w="-1" w:type="dxa"/>
            </w:tcMar>
            <w:vAlign w:val="center"/>
          </w:tcPr>
          <w:p w14:paraId="0D6005A2">
            <w:pPr>
              <w:snapToGrid w:val="0"/>
              <w:jc w:val="left"/>
              <w:rPr>
                <w:rFonts w:ascii="宋体"/>
                <w:sz w:val="24"/>
              </w:rPr>
            </w:pPr>
            <w:r>
              <w:rPr>
                <w:rFonts w:ascii="宋体" w:hAnsi="宋体"/>
                <w:sz w:val="24"/>
              </w:rPr>
              <w:t>不对外分发未经授权的原始敏感数据</w:t>
            </w:r>
          </w:p>
        </w:tc>
      </w:tr>
      <w:tr w14:paraId="7BA498A6">
        <w:tblPrEx>
          <w:tblCellMar>
            <w:top w:w="0" w:type="dxa"/>
            <w:left w:w="108" w:type="dxa"/>
            <w:bottom w:w="0" w:type="dxa"/>
            <w:right w:w="108" w:type="dxa"/>
          </w:tblCellMar>
        </w:tblPrEx>
        <w:trPr>
          <w:jc w:val="center"/>
        </w:trPr>
        <w:tc>
          <w:tcPr>
            <w:tcW w:w="1818" w:type="dxa"/>
            <w:tcBorders>
              <w:top w:val="nil"/>
              <w:left w:val="nil"/>
              <w:bottom w:val="nil"/>
              <w:right w:val="nil"/>
            </w:tcBorders>
            <w:tcMar>
              <w:top w:w="-1" w:type="dxa"/>
              <w:left w:w="-1" w:type="dxa"/>
              <w:bottom w:w="-1" w:type="dxa"/>
              <w:right w:w="-1" w:type="dxa"/>
            </w:tcMar>
            <w:vAlign w:val="center"/>
          </w:tcPr>
          <w:p w14:paraId="14E419BE">
            <w:pPr>
              <w:snapToGrid w:val="0"/>
              <w:jc w:val="center"/>
              <w:rPr>
                <w:rFonts w:ascii="宋体"/>
                <w:sz w:val="24"/>
              </w:rPr>
            </w:pPr>
            <w:r>
              <w:rPr>
                <w:rFonts w:ascii="宋体" w:hAnsi="宋体"/>
                <w:sz w:val="24"/>
              </w:rPr>
              <w:t>模型结构代码</w:t>
            </w:r>
          </w:p>
        </w:tc>
        <w:tc>
          <w:tcPr>
            <w:tcW w:w="4266" w:type="dxa"/>
            <w:tcBorders>
              <w:top w:val="nil"/>
              <w:left w:val="nil"/>
              <w:bottom w:val="nil"/>
              <w:right w:val="nil"/>
            </w:tcBorders>
            <w:tcMar>
              <w:top w:w="-1" w:type="dxa"/>
              <w:left w:w="-1" w:type="dxa"/>
              <w:bottom w:w="-1" w:type="dxa"/>
              <w:right w:w="-1" w:type="dxa"/>
            </w:tcMar>
            <w:vAlign w:val="center"/>
          </w:tcPr>
          <w:p w14:paraId="0DBC3A76">
            <w:pPr>
              <w:snapToGrid w:val="0"/>
              <w:jc w:val="left"/>
              <w:rPr>
                <w:rFonts w:ascii="宋体"/>
                <w:sz w:val="24"/>
              </w:rPr>
            </w:pPr>
            <w:r>
              <w:rPr>
                <w:rFonts w:ascii="宋体" w:hAnsi="宋体"/>
                <w:sz w:val="24"/>
              </w:rPr>
              <w:t>随仓保留并可复现运行链</w:t>
            </w:r>
          </w:p>
        </w:tc>
        <w:tc>
          <w:tcPr>
            <w:tcW w:w="2736" w:type="dxa"/>
            <w:tcBorders>
              <w:top w:val="nil"/>
              <w:left w:val="nil"/>
              <w:bottom w:val="nil"/>
              <w:right w:val="nil"/>
            </w:tcBorders>
            <w:tcMar>
              <w:top w:w="-1" w:type="dxa"/>
              <w:left w:w="-1" w:type="dxa"/>
              <w:bottom w:w="-1" w:type="dxa"/>
              <w:right w:w="-1" w:type="dxa"/>
            </w:tcMar>
            <w:vAlign w:val="center"/>
          </w:tcPr>
          <w:p w14:paraId="091B6955">
            <w:pPr>
              <w:snapToGrid w:val="0"/>
              <w:jc w:val="left"/>
              <w:rPr>
                <w:rFonts w:ascii="宋体"/>
                <w:sz w:val="24"/>
              </w:rPr>
            </w:pPr>
            <w:r>
              <w:rPr>
                <w:rFonts w:ascii="宋体" w:hAnsi="宋体"/>
                <w:sz w:val="24"/>
              </w:rPr>
              <w:t>遵循仓内第三方来源与修改映射说明</w:t>
            </w:r>
          </w:p>
        </w:tc>
      </w:tr>
      <w:tr w14:paraId="2ADE92E1">
        <w:tblPrEx>
          <w:tblCellMar>
            <w:top w:w="0" w:type="dxa"/>
            <w:left w:w="108" w:type="dxa"/>
            <w:bottom w:w="0" w:type="dxa"/>
            <w:right w:w="108" w:type="dxa"/>
          </w:tblCellMar>
        </w:tblPrEx>
        <w:trPr>
          <w:jc w:val="center"/>
        </w:trPr>
        <w:tc>
          <w:tcPr>
            <w:tcW w:w="1818" w:type="dxa"/>
            <w:tcBorders>
              <w:top w:val="nil"/>
              <w:left w:val="nil"/>
              <w:bottom w:val="nil"/>
              <w:right w:val="nil"/>
            </w:tcBorders>
            <w:tcMar>
              <w:top w:w="-1" w:type="dxa"/>
              <w:left w:w="-1" w:type="dxa"/>
              <w:bottom w:w="-1" w:type="dxa"/>
              <w:right w:w="-1" w:type="dxa"/>
            </w:tcMar>
            <w:vAlign w:val="center"/>
          </w:tcPr>
          <w:p w14:paraId="7481100A">
            <w:pPr>
              <w:snapToGrid w:val="0"/>
              <w:jc w:val="center"/>
              <w:rPr>
                <w:rFonts w:ascii="宋体"/>
                <w:sz w:val="24"/>
              </w:rPr>
            </w:pPr>
            <w:r>
              <w:rPr>
                <w:rFonts w:ascii="宋体" w:hAnsi="宋体"/>
                <w:sz w:val="24"/>
              </w:rPr>
              <w:t>模型权重</w:t>
            </w:r>
          </w:p>
        </w:tc>
        <w:tc>
          <w:tcPr>
            <w:tcW w:w="4266" w:type="dxa"/>
            <w:tcBorders>
              <w:top w:val="nil"/>
              <w:left w:val="nil"/>
              <w:bottom w:val="nil"/>
              <w:right w:val="nil"/>
            </w:tcBorders>
            <w:tcMar>
              <w:top w:w="-1" w:type="dxa"/>
              <w:left w:w="-1" w:type="dxa"/>
              <w:bottom w:w="-1" w:type="dxa"/>
              <w:right w:w="-1" w:type="dxa"/>
            </w:tcMar>
            <w:vAlign w:val="center"/>
          </w:tcPr>
          <w:p w14:paraId="165133AA">
            <w:pPr>
              <w:snapToGrid w:val="0"/>
              <w:jc w:val="left"/>
              <w:rPr>
                <w:rFonts w:ascii="宋体"/>
                <w:sz w:val="24"/>
              </w:rPr>
            </w:pPr>
            <w:r>
              <w:rPr>
                <w:rFonts w:ascii="宋体" w:hAnsi="宋体"/>
                <w:sz w:val="24"/>
              </w:rPr>
              <w:t>默认不随 Git 完整分发，仅保留 bundle 元数据与加载入口</w:t>
            </w:r>
          </w:p>
        </w:tc>
        <w:tc>
          <w:tcPr>
            <w:tcW w:w="2736" w:type="dxa"/>
            <w:tcBorders>
              <w:top w:val="nil"/>
              <w:left w:val="nil"/>
              <w:bottom w:val="nil"/>
              <w:right w:val="nil"/>
            </w:tcBorders>
            <w:tcMar>
              <w:top w:w="-1" w:type="dxa"/>
              <w:left w:w="-1" w:type="dxa"/>
              <w:bottom w:w="-1" w:type="dxa"/>
              <w:right w:w="-1" w:type="dxa"/>
            </w:tcMar>
            <w:vAlign w:val="center"/>
          </w:tcPr>
          <w:p w14:paraId="4437C71E">
            <w:pPr>
              <w:snapToGrid w:val="0"/>
              <w:jc w:val="left"/>
              <w:rPr>
                <w:rFonts w:ascii="宋体"/>
                <w:sz w:val="24"/>
              </w:rPr>
            </w:pPr>
            <w:r>
              <w:rPr>
                <w:rFonts w:ascii="宋体" w:hAnsi="宋体"/>
                <w:sz w:val="24"/>
              </w:rPr>
              <w:t>需由维护方按授权边界单独提供</w:t>
            </w:r>
          </w:p>
        </w:tc>
      </w:tr>
      <w:tr w14:paraId="6EBBBCF9">
        <w:tblPrEx>
          <w:tblCellMar>
            <w:top w:w="0" w:type="dxa"/>
            <w:left w:w="108" w:type="dxa"/>
            <w:bottom w:w="0" w:type="dxa"/>
            <w:right w:w="108" w:type="dxa"/>
          </w:tblCellMar>
        </w:tblPrEx>
        <w:trPr>
          <w:jc w:val="center"/>
        </w:trPr>
        <w:tc>
          <w:tcPr>
            <w:tcW w:w="1818" w:type="dxa"/>
            <w:tcBorders>
              <w:top w:val="nil"/>
              <w:left w:val="nil"/>
              <w:bottom w:val="single" w:color="auto" w:sz="12" w:space="0"/>
              <w:right w:val="nil"/>
            </w:tcBorders>
            <w:tcMar>
              <w:top w:w="-1" w:type="dxa"/>
              <w:left w:w="-1" w:type="dxa"/>
              <w:bottom w:w="-1" w:type="dxa"/>
              <w:right w:w="-1" w:type="dxa"/>
            </w:tcMar>
            <w:vAlign w:val="center"/>
          </w:tcPr>
          <w:p w14:paraId="37B5986E">
            <w:pPr>
              <w:snapToGrid w:val="0"/>
              <w:jc w:val="center"/>
              <w:rPr>
                <w:rFonts w:ascii="宋体"/>
                <w:sz w:val="24"/>
              </w:rPr>
            </w:pPr>
            <w:r>
              <w:rPr>
                <w:rFonts w:ascii="宋体" w:hAnsi="宋体"/>
                <w:sz w:val="24"/>
              </w:rPr>
              <w:t>第三方预训练/上游组件</w:t>
            </w:r>
          </w:p>
        </w:tc>
        <w:tc>
          <w:tcPr>
            <w:tcW w:w="4266" w:type="dxa"/>
            <w:tcBorders>
              <w:top w:val="nil"/>
              <w:left w:val="nil"/>
              <w:bottom w:val="single" w:color="auto" w:sz="12" w:space="0"/>
              <w:right w:val="nil"/>
            </w:tcBorders>
            <w:tcMar>
              <w:top w:w="-1" w:type="dxa"/>
              <w:left w:w="-1" w:type="dxa"/>
              <w:bottom w:w="-1" w:type="dxa"/>
              <w:right w:w="-1" w:type="dxa"/>
            </w:tcMar>
            <w:vAlign w:val="center"/>
          </w:tcPr>
          <w:p w14:paraId="4CA593DE">
            <w:pPr>
              <w:snapToGrid w:val="0"/>
              <w:jc w:val="left"/>
              <w:rPr>
                <w:rFonts w:ascii="宋体"/>
                <w:sz w:val="24"/>
              </w:rPr>
            </w:pPr>
            <w:r>
              <w:rPr>
                <w:rFonts w:ascii="宋体" w:hAnsi="宋体"/>
                <w:sz w:val="24"/>
              </w:rPr>
              <w:t>按原许可证与来源映射保留</w:t>
            </w:r>
          </w:p>
        </w:tc>
        <w:tc>
          <w:tcPr>
            <w:tcW w:w="2736" w:type="dxa"/>
            <w:tcBorders>
              <w:top w:val="nil"/>
              <w:left w:val="nil"/>
              <w:bottom w:val="single" w:color="auto" w:sz="12" w:space="0"/>
              <w:right w:val="nil"/>
            </w:tcBorders>
            <w:tcMar>
              <w:top w:w="-1" w:type="dxa"/>
              <w:left w:w="-1" w:type="dxa"/>
              <w:bottom w:w="-1" w:type="dxa"/>
              <w:right w:w="-1" w:type="dxa"/>
            </w:tcMar>
            <w:vAlign w:val="center"/>
          </w:tcPr>
          <w:p w14:paraId="072698AC">
            <w:pPr>
              <w:snapToGrid w:val="0"/>
              <w:jc w:val="left"/>
              <w:rPr>
                <w:rFonts w:ascii="宋体"/>
                <w:sz w:val="24"/>
              </w:rPr>
            </w:pPr>
            <w:r>
              <w:rPr>
                <w:rFonts w:ascii="宋体" w:hAnsi="宋体"/>
                <w:sz w:val="24"/>
              </w:rPr>
              <w:t>不对上游本体主张排他性知识产权</w:t>
            </w:r>
          </w:p>
        </w:tc>
      </w:tr>
    </w:tbl>
    <w:p w14:paraId="334D8907">
      <w:pPr>
        <w:spacing w:line="360" w:lineRule="auto"/>
        <w:rPr>
          <w:rFonts w:hint="eastAsia" w:ascii="黑体" w:hAnsi="黑体"/>
          <w:b/>
          <w:sz w:val="24"/>
        </w:rPr>
      </w:pPr>
      <w:r>
        <w:rPr>
          <w:rFonts w:ascii="宋体" w:hAnsi="宋体" w:cs="宋体"/>
          <w:sz w:val="24"/>
        </w:rPr>
        <w:t>注：本声明仅适用于本次竞赛提交的原型系统；任何商业使用需单独获得相关数据与模型的授权许可</w:t>
      </w:r>
      <w:r>
        <w:rPr>
          <w:rFonts w:hint="eastAsia" w:ascii="宋体" w:hAnsi="宋体" w:cs="宋体"/>
          <w:sz w:val="24"/>
        </w:rPr>
        <w:t>。</w:t>
      </w:r>
    </w:p>
    <w:p w14:paraId="408EB306">
      <w:pPr>
        <w:spacing w:line="360" w:lineRule="auto"/>
        <w:outlineLvl w:val="1"/>
        <w:rPr>
          <w:rFonts w:hint="eastAsia" w:ascii="黑体" w:hAnsi="黑体" w:eastAsia="黑体"/>
          <w:b/>
          <w:sz w:val="24"/>
        </w:rPr>
      </w:pPr>
      <w:bookmarkStart w:id="72" w:name="Transshield_TOC_section_6_3"/>
      <w:bookmarkStart w:id="73" w:name="_Toc230691176"/>
      <w:r>
        <w:rPr>
          <w:rFonts w:hint="eastAsia" w:ascii="黑体" w:hAnsi="黑体" w:eastAsia="黑体"/>
          <w:b/>
          <w:sz w:val="24"/>
        </w:rPr>
        <w:t>6.3 第三方许可、原创边界与技术公开范围</w:t>
      </w:r>
      <w:bookmarkEnd w:id="72"/>
      <w:bookmarkEnd w:id="73"/>
    </w:p>
    <w:p w14:paraId="3D76D315">
      <w:pPr>
        <w:spacing w:line="360" w:lineRule="auto"/>
        <w:ind w:firstLine="480"/>
        <w:rPr>
          <w:rFonts w:hint="eastAsia" w:ascii="宋体" w:hAnsi="宋体" w:cs="宋体"/>
          <w:sz w:val="24"/>
        </w:rPr>
      </w:pPr>
      <w:r>
        <w:rPr>
          <w:rFonts w:ascii="宋体" w:hAnsi="宋体"/>
          <w:sz w:val="24"/>
        </w:rPr>
        <w:t>本作品的知识产权声明按“上游底座、基于 Apache 2.0 的本地适配、团队原创部分”三层边界撰写。报告只描述仓内已实际完成的物理映射，不对未存在的许可证分发项或未落地的文件头声明作超前表述。</w:t>
      </w:r>
      <w:r>
        <w:rPr>
          <w:rFonts w:ascii="宋体" w:hAnsi="宋体" w:cs="宋体"/>
          <w:sz w:val="24"/>
        </w:rPr>
        <w:t xml:space="preserve">第三方组件许可与原创边界的物理映射关系如表 </w:t>
      </w:r>
      <w:r>
        <w:rPr>
          <w:rFonts w:hint="eastAsia" w:ascii="宋体" w:hAnsi="宋体" w:cs="宋体"/>
          <w:sz w:val="24"/>
          <w:lang w:val="en-US" w:eastAsia="zh-CN"/>
        </w:rPr>
        <w:t>17</w:t>
      </w:r>
      <w:bookmarkStart w:id="86" w:name="_GoBack"/>
      <w:bookmarkEnd w:id="86"/>
      <w:r>
        <w:rPr>
          <w:rFonts w:ascii="宋体" w:hAnsi="宋体" w:cs="宋体"/>
          <w:sz w:val="24"/>
        </w:rPr>
        <w:t xml:space="preserve"> 所示</w:t>
      </w:r>
      <w:r>
        <w:rPr>
          <w:rFonts w:hint="eastAsia" w:ascii="宋体" w:hAnsi="宋体" w:cs="宋体"/>
          <w:sz w:val="24"/>
        </w:rPr>
        <w:t>。</w:t>
      </w:r>
    </w:p>
    <w:p w14:paraId="128CA7AB">
      <w:pPr>
        <w:spacing w:line="360" w:lineRule="auto"/>
        <w:ind w:firstLine="480"/>
        <w:jc w:val="center"/>
        <w:rPr>
          <w:rFonts w:hint="eastAsia" w:ascii="宋体" w:hAnsi="宋体" w:cs="宋体"/>
          <w:sz w:val="24"/>
        </w:rPr>
      </w:pPr>
      <w:r>
        <w:rPr>
          <w:rFonts w:ascii="宋体" w:hAnsi="宋体" w:cs="宋体"/>
          <w:sz w:val="24"/>
        </w:rPr>
        <w:t xml:space="preserve">表 </w:t>
      </w:r>
      <w:r>
        <w:rPr>
          <w:rFonts w:hint="eastAsia" w:ascii="宋体" w:hAnsi="宋体" w:cs="宋体"/>
          <w:sz w:val="24"/>
          <w:lang w:val="en-US" w:eastAsia="zh-CN"/>
        </w:rPr>
        <w:t>17</w:t>
      </w:r>
      <w:r>
        <w:rPr>
          <w:rFonts w:ascii="宋体" w:hAnsi="宋体" w:cs="宋体"/>
          <w:sz w:val="24"/>
        </w:rPr>
        <w:t xml:space="preserve"> 第三方组件许可与原创边界物理映射</w:t>
      </w:r>
    </w:p>
    <w:tbl>
      <w:tblPr>
        <w:tblStyle w:val="7"/>
        <w:tblW w:w="8820" w:type="dxa"/>
        <w:jc w:val="center"/>
        <w:tblLayout w:type="fixed"/>
        <w:tblCellMar>
          <w:top w:w="0" w:type="dxa"/>
          <w:left w:w="108" w:type="dxa"/>
          <w:bottom w:w="0" w:type="dxa"/>
          <w:right w:w="108" w:type="dxa"/>
        </w:tblCellMar>
      </w:tblPr>
      <w:tblGrid>
        <w:gridCol w:w="1221"/>
        <w:gridCol w:w="4757"/>
        <w:gridCol w:w="2842"/>
      </w:tblGrid>
      <w:tr w14:paraId="112FF493">
        <w:tblPrEx>
          <w:tblCellMar>
            <w:top w:w="0" w:type="dxa"/>
            <w:left w:w="108" w:type="dxa"/>
            <w:bottom w:w="0" w:type="dxa"/>
            <w:right w:w="108" w:type="dxa"/>
          </w:tblCellMar>
        </w:tblPrEx>
        <w:trPr>
          <w:tblHeader/>
          <w:jc w:val="center"/>
        </w:trPr>
        <w:tc>
          <w:tcPr>
            <w:tcW w:w="1186" w:type="dxa"/>
            <w:tcBorders>
              <w:top w:val="single" w:color="auto" w:sz="12" w:space="0"/>
              <w:left w:val="nil"/>
              <w:bottom w:val="nil"/>
              <w:right w:val="nil"/>
            </w:tcBorders>
            <w:tcMar>
              <w:top w:w="-1" w:type="dxa"/>
              <w:left w:w="-1" w:type="dxa"/>
              <w:bottom w:w="-1" w:type="dxa"/>
              <w:right w:w="-1" w:type="dxa"/>
            </w:tcMar>
            <w:vAlign w:val="center"/>
          </w:tcPr>
          <w:p w14:paraId="39091932">
            <w:pPr>
              <w:snapToGrid w:val="0"/>
              <w:jc w:val="center"/>
              <w:rPr>
                <w:rFonts w:ascii="宋体"/>
                <w:b/>
                <w:sz w:val="24"/>
                <w:szCs w:val="40"/>
              </w:rPr>
            </w:pPr>
            <w:r>
              <w:rPr>
                <w:rFonts w:ascii="宋体" w:hAnsi="宋体"/>
                <w:b/>
                <w:sz w:val="24"/>
                <w:szCs w:val="40"/>
              </w:rPr>
              <w:t>物理映射项</w:t>
            </w:r>
          </w:p>
        </w:tc>
        <w:tc>
          <w:tcPr>
            <w:tcW w:w="4757" w:type="dxa"/>
            <w:tcBorders>
              <w:top w:val="single" w:color="auto" w:sz="12" w:space="0"/>
              <w:left w:val="nil"/>
              <w:bottom w:val="nil"/>
              <w:right w:val="nil"/>
            </w:tcBorders>
            <w:tcMar>
              <w:top w:w="-1" w:type="dxa"/>
              <w:left w:w="-1" w:type="dxa"/>
              <w:bottom w:w="-1" w:type="dxa"/>
              <w:right w:w="-1" w:type="dxa"/>
            </w:tcMar>
            <w:vAlign w:val="center"/>
          </w:tcPr>
          <w:p w14:paraId="2D187758">
            <w:pPr>
              <w:snapToGrid w:val="0"/>
              <w:jc w:val="center"/>
              <w:rPr>
                <w:rFonts w:ascii="宋体"/>
                <w:b/>
                <w:sz w:val="24"/>
                <w:szCs w:val="40"/>
              </w:rPr>
            </w:pPr>
            <w:r>
              <w:rPr>
                <w:rFonts w:ascii="宋体" w:hAnsi="宋体"/>
                <w:b/>
                <w:sz w:val="24"/>
                <w:szCs w:val="40"/>
              </w:rPr>
              <w:t>仓内落点</w:t>
            </w:r>
          </w:p>
        </w:tc>
        <w:tc>
          <w:tcPr>
            <w:tcW w:w="2842" w:type="dxa"/>
            <w:tcBorders>
              <w:top w:val="single" w:color="auto" w:sz="12" w:space="0"/>
              <w:left w:val="nil"/>
              <w:bottom w:val="nil"/>
              <w:right w:val="nil"/>
            </w:tcBorders>
            <w:tcMar>
              <w:top w:w="-1" w:type="dxa"/>
              <w:left w:w="-1" w:type="dxa"/>
              <w:bottom w:w="-1" w:type="dxa"/>
              <w:right w:w="-1" w:type="dxa"/>
            </w:tcMar>
            <w:vAlign w:val="center"/>
          </w:tcPr>
          <w:p w14:paraId="1EA73F31">
            <w:pPr>
              <w:snapToGrid w:val="0"/>
              <w:jc w:val="center"/>
              <w:rPr>
                <w:rFonts w:ascii="宋体"/>
                <w:b/>
                <w:sz w:val="24"/>
                <w:szCs w:val="40"/>
              </w:rPr>
            </w:pPr>
            <w:r>
              <w:rPr>
                <w:rFonts w:ascii="宋体" w:hAnsi="宋体"/>
                <w:b/>
                <w:sz w:val="24"/>
                <w:szCs w:val="40"/>
              </w:rPr>
              <w:t>当前事实</w:t>
            </w:r>
          </w:p>
        </w:tc>
      </w:tr>
      <w:tr w14:paraId="327DF288">
        <w:tblPrEx>
          <w:tblCellMar>
            <w:top w:w="0" w:type="dxa"/>
            <w:left w:w="108" w:type="dxa"/>
            <w:bottom w:w="0" w:type="dxa"/>
            <w:right w:w="108" w:type="dxa"/>
          </w:tblCellMar>
        </w:tblPrEx>
        <w:trPr>
          <w:jc w:val="center"/>
        </w:trPr>
        <w:tc>
          <w:tcPr>
            <w:tcW w:w="1186" w:type="dxa"/>
            <w:tcBorders>
              <w:top w:val="single" w:color="auto" w:sz="4" w:space="0"/>
              <w:left w:val="nil"/>
              <w:bottom w:val="nil"/>
              <w:right w:val="nil"/>
            </w:tcBorders>
            <w:tcMar>
              <w:top w:w="-1" w:type="dxa"/>
              <w:left w:w="-1" w:type="dxa"/>
              <w:bottom w:w="-1" w:type="dxa"/>
              <w:right w:w="-1" w:type="dxa"/>
            </w:tcMar>
            <w:vAlign w:val="center"/>
          </w:tcPr>
          <w:p w14:paraId="77C66099">
            <w:pPr>
              <w:snapToGrid w:val="0"/>
              <w:jc w:val="center"/>
              <w:rPr>
                <w:rFonts w:ascii="宋体"/>
                <w:sz w:val="24"/>
                <w:szCs w:val="40"/>
              </w:rPr>
            </w:pPr>
            <w:r>
              <w:rPr>
                <w:rFonts w:ascii="宋体" w:hAnsi="宋体"/>
                <w:sz w:val="24"/>
                <w:szCs w:val="40"/>
              </w:rPr>
              <w:t>上游许可证文本</w:t>
            </w:r>
          </w:p>
        </w:tc>
        <w:tc>
          <w:tcPr>
            <w:tcW w:w="4757" w:type="dxa"/>
            <w:tcBorders>
              <w:top w:val="single" w:color="auto" w:sz="4" w:space="0"/>
              <w:left w:val="nil"/>
              <w:bottom w:val="nil"/>
              <w:right w:val="nil"/>
            </w:tcBorders>
            <w:tcMar>
              <w:top w:w="-1" w:type="dxa"/>
              <w:left w:w="-1" w:type="dxa"/>
              <w:bottom w:w="-1" w:type="dxa"/>
              <w:right w:w="-1" w:type="dxa"/>
            </w:tcMar>
            <w:vAlign w:val="center"/>
          </w:tcPr>
          <w:p w14:paraId="1074CC70">
            <w:pPr>
              <w:snapToGrid w:val="0"/>
              <w:jc w:val="left"/>
              <w:rPr>
                <w:rFonts w:ascii="宋体"/>
                <w:sz w:val="24"/>
                <w:szCs w:val="40"/>
              </w:rPr>
            </w:pPr>
            <w:r>
              <w:rPr>
                <w:rFonts w:ascii="宋体" w:hAnsi="宋体"/>
                <w:sz w:val="24"/>
                <w:szCs w:val="40"/>
              </w:rPr>
              <w:t>spu_vendored/LICENSE</w:t>
            </w:r>
          </w:p>
        </w:tc>
        <w:tc>
          <w:tcPr>
            <w:tcW w:w="2842" w:type="dxa"/>
            <w:tcBorders>
              <w:top w:val="single" w:color="auto" w:sz="4" w:space="0"/>
              <w:left w:val="nil"/>
              <w:bottom w:val="nil"/>
              <w:right w:val="nil"/>
            </w:tcBorders>
            <w:tcMar>
              <w:top w:w="-1" w:type="dxa"/>
              <w:left w:w="-1" w:type="dxa"/>
              <w:bottom w:w="-1" w:type="dxa"/>
              <w:right w:w="-1" w:type="dxa"/>
            </w:tcMar>
            <w:vAlign w:val="center"/>
          </w:tcPr>
          <w:p w14:paraId="6BD3AC18">
            <w:pPr>
              <w:snapToGrid w:val="0"/>
              <w:jc w:val="left"/>
              <w:rPr>
                <w:rFonts w:ascii="宋体"/>
                <w:sz w:val="24"/>
                <w:szCs w:val="40"/>
              </w:rPr>
            </w:pPr>
            <w:r>
              <w:rPr>
                <w:rFonts w:ascii="宋体" w:hAnsi="宋体"/>
                <w:sz w:val="24"/>
                <w:szCs w:val="40"/>
              </w:rPr>
              <w:t>已保留 Apache License 2.0 文本</w:t>
            </w:r>
          </w:p>
        </w:tc>
      </w:tr>
      <w:tr w14:paraId="64CC3100">
        <w:tblPrEx>
          <w:tblCellMar>
            <w:top w:w="0" w:type="dxa"/>
            <w:left w:w="108" w:type="dxa"/>
            <w:bottom w:w="0" w:type="dxa"/>
            <w:right w:w="108" w:type="dxa"/>
          </w:tblCellMar>
        </w:tblPrEx>
        <w:trPr>
          <w:jc w:val="center"/>
        </w:trPr>
        <w:tc>
          <w:tcPr>
            <w:tcW w:w="1186" w:type="dxa"/>
            <w:tcBorders>
              <w:top w:val="nil"/>
              <w:left w:val="nil"/>
              <w:bottom w:val="nil"/>
              <w:right w:val="nil"/>
            </w:tcBorders>
            <w:tcMar>
              <w:top w:w="-1" w:type="dxa"/>
              <w:left w:w="-1" w:type="dxa"/>
              <w:bottom w:w="-1" w:type="dxa"/>
              <w:right w:w="-1" w:type="dxa"/>
            </w:tcMar>
            <w:vAlign w:val="center"/>
          </w:tcPr>
          <w:p w14:paraId="24CE0EC5">
            <w:pPr>
              <w:snapToGrid w:val="0"/>
              <w:jc w:val="center"/>
              <w:rPr>
                <w:rFonts w:ascii="宋体"/>
                <w:sz w:val="24"/>
                <w:szCs w:val="40"/>
              </w:rPr>
            </w:pPr>
            <w:r>
              <w:rPr>
                <w:rFonts w:ascii="宋体" w:hAnsi="宋体"/>
                <w:sz w:val="24"/>
                <w:szCs w:val="40"/>
              </w:rPr>
              <w:t>vendored 变更总说明</w:t>
            </w:r>
          </w:p>
        </w:tc>
        <w:tc>
          <w:tcPr>
            <w:tcW w:w="4757" w:type="dxa"/>
            <w:tcBorders>
              <w:top w:val="nil"/>
              <w:left w:val="nil"/>
              <w:bottom w:val="nil"/>
              <w:right w:val="nil"/>
            </w:tcBorders>
            <w:tcMar>
              <w:top w:w="-1" w:type="dxa"/>
              <w:left w:w="-1" w:type="dxa"/>
              <w:bottom w:w="-1" w:type="dxa"/>
              <w:right w:w="-1" w:type="dxa"/>
            </w:tcMar>
            <w:vAlign w:val="center"/>
          </w:tcPr>
          <w:p w14:paraId="10195A5C">
            <w:pPr>
              <w:snapToGrid w:val="0"/>
              <w:jc w:val="left"/>
              <w:rPr>
                <w:rFonts w:ascii="宋体"/>
                <w:sz w:val="24"/>
                <w:szCs w:val="40"/>
              </w:rPr>
            </w:pPr>
            <w:r>
              <w:rPr>
                <w:rFonts w:ascii="宋体" w:hAnsi="宋体"/>
                <w:sz w:val="24"/>
                <w:szCs w:val="40"/>
              </w:rPr>
              <w:t>spu_vendored/MODIFICATIONS.md</w:t>
            </w:r>
          </w:p>
        </w:tc>
        <w:tc>
          <w:tcPr>
            <w:tcW w:w="2842" w:type="dxa"/>
            <w:tcBorders>
              <w:top w:val="nil"/>
              <w:left w:val="nil"/>
              <w:bottom w:val="nil"/>
              <w:right w:val="nil"/>
            </w:tcBorders>
            <w:tcMar>
              <w:top w:w="-1" w:type="dxa"/>
              <w:left w:w="-1" w:type="dxa"/>
              <w:bottom w:w="-1" w:type="dxa"/>
              <w:right w:w="-1" w:type="dxa"/>
            </w:tcMar>
            <w:vAlign w:val="center"/>
          </w:tcPr>
          <w:p w14:paraId="37AC3724">
            <w:pPr>
              <w:snapToGrid w:val="0"/>
              <w:jc w:val="left"/>
              <w:rPr>
                <w:rFonts w:ascii="宋体"/>
                <w:sz w:val="24"/>
                <w:szCs w:val="40"/>
              </w:rPr>
            </w:pPr>
            <w:r>
              <w:rPr>
                <w:rFonts w:ascii="宋体" w:hAnsi="宋体"/>
                <w:sz w:val="24"/>
                <w:szCs w:val="40"/>
              </w:rPr>
              <w:t>已列出当前交付版明确引用的本地适配文件</w:t>
            </w:r>
          </w:p>
        </w:tc>
      </w:tr>
      <w:tr w14:paraId="3C7907A5">
        <w:tblPrEx>
          <w:tblCellMar>
            <w:top w:w="0" w:type="dxa"/>
            <w:left w:w="108" w:type="dxa"/>
            <w:bottom w:w="0" w:type="dxa"/>
            <w:right w:w="108" w:type="dxa"/>
          </w:tblCellMar>
        </w:tblPrEx>
        <w:trPr>
          <w:jc w:val="center"/>
        </w:trPr>
        <w:tc>
          <w:tcPr>
            <w:tcW w:w="1186" w:type="dxa"/>
            <w:tcBorders>
              <w:top w:val="nil"/>
              <w:left w:val="nil"/>
              <w:bottom w:val="nil"/>
              <w:right w:val="nil"/>
            </w:tcBorders>
            <w:tcMar>
              <w:top w:w="-1" w:type="dxa"/>
              <w:left w:w="-1" w:type="dxa"/>
              <w:bottom w:w="-1" w:type="dxa"/>
              <w:right w:w="-1" w:type="dxa"/>
            </w:tcMar>
            <w:vAlign w:val="center"/>
          </w:tcPr>
          <w:p w14:paraId="0880AD70">
            <w:pPr>
              <w:snapToGrid w:val="0"/>
              <w:jc w:val="center"/>
              <w:rPr>
                <w:rFonts w:ascii="宋体"/>
                <w:sz w:val="24"/>
                <w:szCs w:val="40"/>
              </w:rPr>
            </w:pPr>
            <w:r>
              <w:rPr>
                <w:rFonts w:ascii="宋体" w:hAnsi="宋体"/>
                <w:sz w:val="24"/>
                <w:szCs w:val="40"/>
              </w:rPr>
              <w:t>修改文件头声明 1</w:t>
            </w:r>
          </w:p>
        </w:tc>
        <w:tc>
          <w:tcPr>
            <w:tcW w:w="4757" w:type="dxa"/>
            <w:tcBorders>
              <w:top w:val="nil"/>
              <w:left w:val="nil"/>
              <w:bottom w:val="nil"/>
              <w:right w:val="nil"/>
            </w:tcBorders>
            <w:tcMar>
              <w:top w:w="-1" w:type="dxa"/>
              <w:left w:w="-1" w:type="dxa"/>
              <w:bottom w:w="-1" w:type="dxa"/>
              <w:right w:w="-1" w:type="dxa"/>
            </w:tcMar>
            <w:vAlign w:val="center"/>
          </w:tcPr>
          <w:p w14:paraId="4B8A4C65">
            <w:pPr>
              <w:snapToGrid w:val="0"/>
              <w:jc w:val="left"/>
              <w:rPr>
                <w:rFonts w:ascii="宋体"/>
                <w:sz w:val="24"/>
                <w:szCs w:val="40"/>
              </w:rPr>
            </w:pPr>
            <w:r>
              <w:rPr>
                <w:rFonts w:ascii="宋体" w:hAnsi="宋体"/>
                <w:sz w:val="24"/>
                <w:szCs w:val="40"/>
              </w:rPr>
              <w:t>spu_vendored/libspu/spu.proto</w:t>
            </w:r>
          </w:p>
        </w:tc>
        <w:tc>
          <w:tcPr>
            <w:tcW w:w="2842" w:type="dxa"/>
            <w:tcBorders>
              <w:top w:val="nil"/>
              <w:left w:val="nil"/>
              <w:bottom w:val="nil"/>
              <w:right w:val="nil"/>
            </w:tcBorders>
            <w:tcMar>
              <w:top w:w="-1" w:type="dxa"/>
              <w:left w:w="-1" w:type="dxa"/>
              <w:bottom w:w="-1" w:type="dxa"/>
              <w:right w:w="-1" w:type="dxa"/>
            </w:tcMar>
            <w:vAlign w:val="center"/>
          </w:tcPr>
          <w:p w14:paraId="13A1AD10">
            <w:pPr>
              <w:snapToGrid w:val="0"/>
              <w:jc w:val="left"/>
              <w:rPr>
                <w:rFonts w:ascii="宋体"/>
                <w:sz w:val="24"/>
                <w:szCs w:val="40"/>
              </w:rPr>
            </w:pPr>
            <w:r>
              <w:rPr>
                <w:rFonts w:ascii="宋体" w:hAnsi="宋体"/>
                <w:sz w:val="24"/>
                <w:szCs w:val="40"/>
              </w:rPr>
              <w:t>文件头含密捷项目本地修改声明</w:t>
            </w:r>
          </w:p>
        </w:tc>
      </w:tr>
      <w:tr w14:paraId="67DDA746">
        <w:tblPrEx>
          <w:tblCellMar>
            <w:top w:w="0" w:type="dxa"/>
            <w:left w:w="108" w:type="dxa"/>
            <w:bottom w:w="0" w:type="dxa"/>
            <w:right w:w="108" w:type="dxa"/>
          </w:tblCellMar>
        </w:tblPrEx>
        <w:trPr>
          <w:jc w:val="center"/>
        </w:trPr>
        <w:tc>
          <w:tcPr>
            <w:tcW w:w="1186" w:type="dxa"/>
            <w:tcBorders>
              <w:top w:val="nil"/>
              <w:left w:val="nil"/>
              <w:bottom w:val="nil"/>
              <w:right w:val="nil"/>
            </w:tcBorders>
            <w:tcMar>
              <w:top w:w="-1" w:type="dxa"/>
              <w:left w:w="-1" w:type="dxa"/>
              <w:bottom w:w="-1" w:type="dxa"/>
              <w:right w:w="-1" w:type="dxa"/>
            </w:tcMar>
            <w:vAlign w:val="center"/>
          </w:tcPr>
          <w:p w14:paraId="0A270DB3">
            <w:pPr>
              <w:snapToGrid w:val="0"/>
              <w:jc w:val="center"/>
              <w:rPr>
                <w:rFonts w:ascii="宋体"/>
                <w:sz w:val="24"/>
                <w:szCs w:val="40"/>
              </w:rPr>
            </w:pPr>
            <w:r>
              <w:rPr>
                <w:rFonts w:ascii="宋体" w:hAnsi="宋体"/>
                <w:sz w:val="24"/>
                <w:szCs w:val="40"/>
              </w:rPr>
              <w:t>修改文件头声明 2</w:t>
            </w:r>
          </w:p>
        </w:tc>
        <w:tc>
          <w:tcPr>
            <w:tcW w:w="4757" w:type="dxa"/>
            <w:tcBorders>
              <w:top w:val="nil"/>
              <w:left w:val="nil"/>
              <w:bottom w:val="nil"/>
              <w:right w:val="nil"/>
            </w:tcBorders>
            <w:tcMar>
              <w:top w:w="-1" w:type="dxa"/>
              <w:left w:w="-1" w:type="dxa"/>
              <w:bottom w:w="-1" w:type="dxa"/>
              <w:right w:w="-1" w:type="dxa"/>
            </w:tcMar>
            <w:vAlign w:val="center"/>
          </w:tcPr>
          <w:p w14:paraId="17454DD1">
            <w:pPr>
              <w:snapToGrid w:val="0"/>
              <w:jc w:val="left"/>
              <w:rPr>
                <w:rFonts w:ascii="宋体"/>
                <w:sz w:val="24"/>
                <w:szCs w:val="40"/>
              </w:rPr>
            </w:pPr>
            <w:r>
              <w:rPr>
                <w:rFonts w:ascii="宋体" w:hAnsi="宋体"/>
                <w:sz w:val="24"/>
                <w:szCs w:val="40"/>
              </w:rPr>
              <w:t>spu_vendored/libspu/mpc/cheetah/arithmetic.h</w:t>
            </w:r>
          </w:p>
        </w:tc>
        <w:tc>
          <w:tcPr>
            <w:tcW w:w="2842" w:type="dxa"/>
            <w:tcBorders>
              <w:top w:val="nil"/>
              <w:left w:val="nil"/>
              <w:bottom w:val="nil"/>
              <w:right w:val="nil"/>
            </w:tcBorders>
            <w:tcMar>
              <w:top w:w="-1" w:type="dxa"/>
              <w:left w:w="-1" w:type="dxa"/>
              <w:bottom w:w="-1" w:type="dxa"/>
              <w:right w:w="-1" w:type="dxa"/>
            </w:tcMar>
            <w:vAlign w:val="center"/>
          </w:tcPr>
          <w:p w14:paraId="58C710D5">
            <w:pPr>
              <w:snapToGrid w:val="0"/>
              <w:jc w:val="left"/>
              <w:rPr>
                <w:rFonts w:ascii="宋体"/>
                <w:sz w:val="24"/>
                <w:szCs w:val="40"/>
              </w:rPr>
            </w:pPr>
            <w:r>
              <w:rPr>
                <w:rFonts w:ascii="宋体" w:hAnsi="宋体"/>
                <w:sz w:val="24"/>
                <w:szCs w:val="40"/>
              </w:rPr>
              <w:t>文件头含密捷项目本地供应链适配声明</w:t>
            </w:r>
          </w:p>
        </w:tc>
      </w:tr>
      <w:tr w14:paraId="53AF6958">
        <w:tblPrEx>
          <w:tblCellMar>
            <w:top w:w="0" w:type="dxa"/>
            <w:left w:w="108" w:type="dxa"/>
            <w:bottom w:w="0" w:type="dxa"/>
            <w:right w:w="108" w:type="dxa"/>
          </w:tblCellMar>
        </w:tblPrEx>
        <w:trPr>
          <w:jc w:val="center"/>
        </w:trPr>
        <w:tc>
          <w:tcPr>
            <w:tcW w:w="1186" w:type="dxa"/>
            <w:tcBorders>
              <w:top w:val="nil"/>
              <w:left w:val="nil"/>
              <w:bottom w:val="nil"/>
              <w:right w:val="nil"/>
            </w:tcBorders>
            <w:tcMar>
              <w:top w:w="-1" w:type="dxa"/>
              <w:left w:w="-1" w:type="dxa"/>
              <w:bottom w:w="-1" w:type="dxa"/>
              <w:right w:w="-1" w:type="dxa"/>
            </w:tcMar>
            <w:vAlign w:val="center"/>
          </w:tcPr>
          <w:p w14:paraId="3D6717D9">
            <w:pPr>
              <w:snapToGrid w:val="0"/>
              <w:jc w:val="center"/>
              <w:rPr>
                <w:rFonts w:ascii="宋体"/>
                <w:sz w:val="24"/>
                <w:szCs w:val="40"/>
              </w:rPr>
            </w:pPr>
            <w:r>
              <w:rPr>
                <w:rFonts w:ascii="宋体" w:hAnsi="宋体"/>
                <w:sz w:val="24"/>
                <w:szCs w:val="40"/>
              </w:rPr>
              <w:t>修改文件头声明 3</w:t>
            </w:r>
          </w:p>
        </w:tc>
        <w:tc>
          <w:tcPr>
            <w:tcW w:w="4757" w:type="dxa"/>
            <w:tcBorders>
              <w:top w:val="nil"/>
              <w:left w:val="nil"/>
              <w:bottom w:val="nil"/>
              <w:right w:val="nil"/>
            </w:tcBorders>
            <w:tcMar>
              <w:top w:w="-1" w:type="dxa"/>
              <w:left w:w="-1" w:type="dxa"/>
              <w:bottom w:w="-1" w:type="dxa"/>
              <w:right w:w="-1" w:type="dxa"/>
            </w:tcMar>
            <w:vAlign w:val="center"/>
          </w:tcPr>
          <w:p w14:paraId="370ABD7E">
            <w:pPr>
              <w:snapToGrid w:val="0"/>
              <w:jc w:val="left"/>
              <w:rPr>
                <w:rFonts w:ascii="宋体"/>
                <w:sz w:val="24"/>
                <w:szCs w:val="40"/>
              </w:rPr>
            </w:pPr>
            <w:r>
              <w:rPr>
                <w:rFonts w:ascii="宋体" w:hAnsi="宋体"/>
                <w:sz w:val="24"/>
                <w:szCs w:val="40"/>
              </w:rPr>
              <w:t>spu_vendored/libspu/mpc/cheetah/arithmetic.cc</w:t>
            </w:r>
          </w:p>
        </w:tc>
        <w:tc>
          <w:tcPr>
            <w:tcW w:w="2842" w:type="dxa"/>
            <w:tcBorders>
              <w:top w:val="nil"/>
              <w:left w:val="nil"/>
              <w:bottom w:val="nil"/>
              <w:right w:val="nil"/>
            </w:tcBorders>
            <w:tcMar>
              <w:top w:w="-1" w:type="dxa"/>
              <w:left w:w="-1" w:type="dxa"/>
              <w:bottom w:w="-1" w:type="dxa"/>
              <w:right w:w="-1" w:type="dxa"/>
            </w:tcMar>
            <w:vAlign w:val="center"/>
          </w:tcPr>
          <w:p w14:paraId="32146690">
            <w:pPr>
              <w:snapToGrid w:val="0"/>
              <w:jc w:val="left"/>
              <w:rPr>
                <w:rFonts w:ascii="宋体"/>
                <w:sz w:val="24"/>
                <w:szCs w:val="40"/>
              </w:rPr>
            </w:pPr>
            <w:r>
              <w:rPr>
                <w:rFonts w:ascii="宋体" w:hAnsi="宋体"/>
                <w:sz w:val="24"/>
                <w:szCs w:val="40"/>
              </w:rPr>
              <w:t>文件头含密捷项目本地供应链适配声明</w:t>
            </w:r>
          </w:p>
        </w:tc>
      </w:tr>
      <w:tr w14:paraId="4E3931EB">
        <w:tblPrEx>
          <w:tblCellMar>
            <w:top w:w="0" w:type="dxa"/>
            <w:left w:w="108" w:type="dxa"/>
            <w:bottom w:w="0" w:type="dxa"/>
            <w:right w:w="108" w:type="dxa"/>
          </w:tblCellMar>
        </w:tblPrEx>
        <w:trPr>
          <w:jc w:val="center"/>
        </w:trPr>
        <w:tc>
          <w:tcPr>
            <w:tcW w:w="1186" w:type="dxa"/>
            <w:tcBorders>
              <w:top w:val="nil"/>
              <w:left w:val="nil"/>
              <w:bottom w:val="nil"/>
              <w:right w:val="nil"/>
            </w:tcBorders>
            <w:tcMar>
              <w:top w:w="-1" w:type="dxa"/>
              <w:left w:w="-1" w:type="dxa"/>
              <w:bottom w:w="-1" w:type="dxa"/>
              <w:right w:w="-1" w:type="dxa"/>
            </w:tcMar>
            <w:vAlign w:val="center"/>
          </w:tcPr>
          <w:p w14:paraId="0B69364E">
            <w:pPr>
              <w:snapToGrid w:val="0"/>
              <w:jc w:val="center"/>
              <w:rPr>
                <w:rFonts w:ascii="宋体"/>
                <w:sz w:val="24"/>
                <w:szCs w:val="40"/>
              </w:rPr>
            </w:pPr>
            <w:r>
              <w:rPr>
                <w:rFonts w:ascii="宋体" w:hAnsi="宋体"/>
                <w:sz w:val="24"/>
                <w:szCs w:val="40"/>
              </w:rPr>
              <w:t>修改文件头声明 4</w:t>
            </w:r>
          </w:p>
        </w:tc>
        <w:tc>
          <w:tcPr>
            <w:tcW w:w="4757" w:type="dxa"/>
            <w:tcBorders>
              <w:top w:val="nil"/>
              <w:left w:val="nil"/>
              <w:bottom w:val="nil"/>
              <w:right w:val="nil"/>
            </w:tcBorders>
            <w:tcMar>
              <w:top w:w="-1" w:type="dxa"/>
              <w:left w:w="-1" w:type="dxa"/>
              <w:bottom w:w="-1" w:type="dxa"/>
              <w:right w:w="-1" w:type="dxa"/>
            </w:tcMar>
            <w:vAlign w:val="center"/>
          </w:tcPr>
          <w:p w14:paraId="5E54FFF0">
            <w:pPr>
              <w:snapToGrid w:val="0"/>
              <w:jc w:val="left"/>
              <w:rPr>
                <w:rFonts w:ascii="宋体"/>
                <w:sz w:val="24"/>
                <w:szCs w:val="40"/>
              </w:rPr>
            </w:pPr>
            <w:r>
              <w:rPr>
                <w:rFonts w:ascii="宋体" w:hAnsi="宋体"/>
                <w:sz w:val="24"/>
                <w:szCs w:val="40"/>
              </w:rPr>
              <w:t>spu_vendored/libspu/mpc/cheetah/protocol.cc</w:t>
            </w:r>
          </w:p>
        </w:tc>
        <w:tc>
          <w:tcPr>
            <w:tcW w:w="2842" w:type="dxa"/>
            <w:tcBorders>
              <w:top w:val="nil"/>
              <w:left w:val="nil"/>
              <w:bottom w:val="nil"/>
              <w:right w:val="nil"/>
            </w:tcBorders>
            <w:tcMar>
              <w:top w:w="-1" w:type="dxa"/>
              <w:left w:w="-1" w:type="dxa"/>
              <w:bottom w:w="-1" w:type="dxa"/>
              <w:right w:w="-1" w:type="dxa"/>
            </w:tcMar>
            <w:vAlign w:val="center"/>
          </w:tcPr>
          <w:p w14:paraId="7DEB7D77">
            <w:pPr>
              <w:snapToGrid w:val="0"/>
              <w:jc w:val="left"/>
              <w:rPr>
                <w:rFonts w:ascii="宋体"/>
                <w:sz w:val="24"/>
                <w:szCs w:val="40"/>
              </w:rPr>
            </w:pPr>
            <w:r>
              <w:rPr>
                <w:rFonts w:ascii="宋体" w:hAnsi="宋体"/>
                <w:sz w:val="24"/>
                <w:szCs w:val="40"/>
              </w:rPr>
              <w:t>文件头含密捷项目本地供应链适配声明</w:t>
            </w:r>
          </w:p>
        </w:tc>
      </w:tr>
      <w:tr w14:paraId="1FA288B4">
        <w:tblPrEx>
          <w:tblCellMar>
            <w:top w:w="0" w:type="dxa"/>
            <w:left w:w="108" w:type="dxa"/>
            <w:bottom w:w="0" w:type="dxa"/>
            <w:right w:w="108" w:type="dxa"/>
          </w:tblCellMar>
        </w:tblPrEx>
        <w:trPr>
          <w:jc w:val="center"/>
        </w:trPr>
        <w:tc>
          <w:tcPr>
            <w:tcW w:w="1221" w:type="dxa"/>
            <w:tcBorders>
              <w:top w:val="nil"/>
              <w:left w:val="nil"/>
              <w:bottom w:val="single" w:color="auto" w:sz="12" w:space="0"/>
              <w:right w:val="nil"/>
            </w:tcBorders>
            <w:tcMar>
              <w:top w:w="-1" w:type="dxa"/>
              <w:left w:w="-1" w:type="dxa"/>
              <w:bottom w:w="-1" w:type="dxa"/>
              <w:right w:w="-1" w:type="dxa"/>
            </w:tcMar>
            <w:vAlign w:val="center"/>
          </w:tcPr>
          <w:p w14:paraId="033CEF99">
            <w:pPr>
              <w:snapToGrid w:val="0"/>
              <w:jc w:val="center"/>
              <w:rPr>
                <w:rFonts w:ascii="宋体"/>
                <w:sz w:val="24"/>
                <w:szCs w:val="40"/>
              </w:rPr>
            </w:pPr>
            <w:r>
              <w:rPr>
                <w:rFonts w:ascii="宋体" w:hAnsi="宋体"/>
                <w:sz w:val="24"/>
                <w:szCs w:val="40"/>
              </w:rPr>
              <w:t>第三方来源总表</w:t>
            </w:r>
          </w:p>
        </w:tc>
        <w:tc>
          <w:tcPr>
            <w:tcW w:w="4757" w:type="dxa"/>
            <w:tcBorders>
              <w:top w:val="nil"/>
              <w:left w:val="nil"/>
              <w:bottom w:val="single" w:color="auto" w:sz="12" w:space="0"/>
              <w:right w:val="nil"/>
            </w:tcBorders>
            <w:tcMar>
              <w:top w:w="-1" w:type="dxa"/>
              <w:left w:w="-1" w:type="dxa"/>
              <w:bottom w:w="-1" w:type="dxa"/>
              <w:right w:w="-1" w:type="dxa"/>
            </w:tcMar>
            <w:vAlign w:val="center"/>
          </w:tcPr>
          <w:p w14:paraId="53C07149">
            <w:pPr>
              <w:snapToGrid w:val="0"/>
              <w:jc w:val="left"/>
              <w:rPr>
                <w:rFonts w:ascii="宋体"/>
                <w:sz w:val="24"/>
                <w:szCs w:val="40"/>
              </w:rPr>
            </w:pPr>
            <w:r>
              <w:rPr>
                <w:rFonts w:ascii="宋体" w:hAnsi="宋体"/>
                <w:sz w:val="24"/>
                <w:szCs w:val="40"/>
              </w:rPr>
              <w:t>THIRD_PARTY.md</w:t>
            </w:r>
          </w:p>
        </w:tc>
        <w:tc>
          <w:tcPr>
            <w:tcW w:w="2842" w:type="dxa"/>
            <w:tcBorders>
              <w:top w:val="nil"/>
              <w:left w:val="nil"/>
              <w:bottom w:val="single" w:color="auto" w:sz="12" w:space="0"/>
              <w:right w:val="nil"/>
            </w:tcBorders>
            <w:tcMar>
              <w:top w:w="-1" w:type="dxa"/>
              <w:left w:w="-1" w:type="dxa"/>
              <w:bottom w:w="-1" w:type="dxa"/>
              <w:right w:w="-1" w:type="dxa"/>
            </w:tcMar>
            <w:vAlign w:val="center"/>
          </w:tcPr>
          <w:p w14:paraId="18C6D9E9">
            <w:pPr>
              <w:snapToGrid w:val="0"/>
              <w:jc w:val="left"/>
              <w:rPr>
                <w:rFonts w:ascii="宋体"/>
                <w:sz w:val="24"/>
                <w:szCs w:val="40"/>
              </w:rPr>
            </w:pPr>
            <w:r>
              <w:rPr>
                <w:rFonts w:ascii="宋体" w:hAnsi="宋体"/>
                <w:sz w:val="24"/>
                <w:szCs w:val="40"/>
              </w:rPr>
              <w:t>已保留 DynamicViT / OpenBumbleBee 来源与许可证映射</w:t>
            </w:r>
          </w:p>
        </w:tc>
      </w:tr>
    </w:tbl>
    <w:p w14:paraId="396318B0">
      <w:pPr>
        <w:spacing w:line="360" w:lineRule="auto"/>
        <w:rPr>
          <w:rFonts w:hint="eastAsia" w:ascii="宋体" w:hAnsi="宋体"/>
          <w:sz w:val="24"/>
        </w:rPr>
      </w:pPr>
      <w:r>
        <w:rPr>
          <w:rFonts w:ascii="宋体" w:hAnsi="宋体" w:cs="宋体"/>
          <w:sz w:val="24"/>
        </w:rPr>
        <w:t>注：所有修改文件均已在文件头添加本地修改声明；本作品不对上游开源组件主张任何排他性知识产权。</w:t>
      </w:r>
    </w:p>
    <w:p w14:paraId="29B6F3BA">
      <w:pPr>
        <w:spacing w:line="360" w:lineRule="auto"/>
        <w:ind w:firstLine="480"/>
      </w:pPr>
      <w:r>
        <w:rPr>
          <w:rFonts w:ascii="宋体" w:hAnsi="宋体"/>
          <w:sz w:val="24"/>
        </w:rPr>
        <w:t>本作品的安全计算底座基于 SecretFlow SPU，当前已核对上游分发许可为 Apache License 2.0。当前核对到的上游分发物保留了许可证文件（LICENSE），未发现独立的 NOTICE 分发文件，因此交付物按事实保留许可证文本和本地修改说明，不虚构并不存在的附加分发项。本作品不对上游 SPU、OpenBumbleBee 与相关协议实现本体主张排他性知识产权。</w:t>
      </w:r>
    </w:p>
    <w:p w14:paraId="6AB0ED9A">
      <w:pPr>
        <w:spacing w:line="360" w:lineRule="auto"/>
        <w:ind w:firstLine="480"/>
      </w:pPr>
      <w:r>
        <w:rPr>
          <w:rFonts w:ascii="宋体" w:hAnsi="宋体"/>
          <w:sz w:val="24"/>
        </w:rPr>
        <w:t>本作品的原创贡献主要集中在动态控制流映射策略、浏览器工作线程控制面、服务端权威快检、前后端审计链闭环、演示程序集成以及报告与图件生成链。当前交付物公开代码、图件、报告与运行脚本；涉及完整模型权重和数据集的部分，按授权边界与来源限制单独管理，不在公开仓库中默认再分发。</w:t>
      </w:r>
    </w:p>
    <w:p w14:paraId="20980E48">
      <w:pPr>
        <w:rPr>
          <w:rFonts w:hint="eastAsia" w:ascii="黑体" w:hAnsi="黑体" w:eastAsia="黑体"/>
          <w:b/>
          <w:sz w:val="44"/>
        </w:rPr>
      </w:pPr>
      <w:r>
        <w:rPr>
          <w:rFonts w:ascii="黑体" w:hAnsi="黑体" w:eastAsia="黑体"/>
          <w:b/>
          <w:sz w:val="44"/>
        </w:rPr>
        <w:br w:type="page"/>
      </w:r>
    </w:p>
    <w:p w14:paraId="046891C3">
      <w:pPr>
        <w:pStyle w:val="2"/>
        <w:jc w:val="center"/>
      </w:pPr>
      <w:bookmarkStart w:id="74" w:name="_Toc230691177"/>
      <w:bookmarkStart w:id="75" w:name="Transshield_TOC_references"/>
      <w:r>
        <w:rPr>
          <w:rFonts w:ascii="黑体" w:hAnsi="黑体" w:eastAsia="黑体"/>
        </w:rPr>
        <w:t>参考文献</w:t>
      </w:r>
      <w:bookmarkEnd w:id="74"/>
      <w:bookmarkEnd w:id="75"/>
    </w:p>
    <w:p w14:paraId="3AACA2C2">
      <w:pPr>
        <w:spacing w:line="288" w:lineRule="auto"/>
        <w:ind w:left="360" w:hanging="360"/>
        <w:rPr>
          <w:sz w:val="24"/>
        </w:rPr>
      </w:pPr>
      <w:r>
        <w:rPr>
          <w:rFonts w:ascii="宋体" w:hAnsi="宋体"/>
          <w:sz w:val="24"/>
        </w:rPr>
        <w:t>[1] Dosovitskiy A, Beyer L, Kolesnikov A, et al. An Image is Worth 16x16 Words: Transformers for Image Recognition at Scale[C]//International Conference on Learning Representations (ICLR). 2021.</w:t>
      </w:r>
    </w:p>
    <w:p w14:paraId="0BECB9CE">
      <w:pPr>
        <w:spacing w:line="288" w:lineRule="auto"/>
        <w:ind w:left="360" w:hanging="360"/>
        <w:rPr>
          <w:sz w:val="24"/>
        </w:rPr>
      </w:pPr>
      <w:r>
        <w:rPr>
          <w:rFonts w:ascii="宋体" w:hAnsi="宋体"/>
          <w:sz w:val="24"/>
        </w:rPr>
        <w:t>[2] Rao Y, et al. DynamicViT: Efficient Vision Transformers with Dynamic Token Sparsification[C]//Advances in Neural Information Processing Systems (NeurIPS). 2021.</w:t>
      </w:r>
    </w:p>
    <w:p w14:paraId="13A0D8B3">
      <w:pPr>
        <w:spacing w:line="288" w:lineRule="auto"/>
        <w:ind w:left="360" w:hanging="360"/>
        <w:rPr>
          <w:sz w:val="24"/>
        </w:rPr>
      </w:pPr>
      <w:r>
        <w:rPr>
          <w:rFonts w:ascii="宋体" w:hAnsi="宋体"/>
          <w:sz w:val="24"/>
        </w:rPr>
        <w:t>[3] Zeng W, et al. MPCViT: Searching for Accurate and Efficient MPC-Friendly Vision Transformer with Heterogeneous Attention[C]//Proceedings of the IEEE/CVF International Conference on Computer Vision (ICCV). 2023.</w:t>
      </w:r>
    </w:p>
    <w:p w14:paraId="1CA5FBBC">
      <w:pPr>
        <w:spacing w:line="288" w:lineRule="auto"/>
        <w:ind w:left="360" w:hanging="360"/>
        <w:rPr>
          <w:sz w:val="24"/>
        </w:rPr>
      </w:pPr>
      <w:r>
        <w:rPr>
          <w:rFonts w:ascii="宋体" w:hAnsi="宋体"/>
          <w:sz w:val="24"/>
        </w:rPr>
        <w:t>[4] Touvron H, Cord M, Douze M, Massa F, Sablayrolles A, Jégou H. Training data-efficient image transformers &amp; distillation through attention[C]//Proceedings of the 38th International Conference on Machine Learning (ICML). 2021.</w:t>
      </w:r>
    </w:p>
    <w:p w14:paraId="26B71152">
      <w:pPr>
        <w:spacing w:line="288" w:lineRule="auto"/>
        <w:ind w:left="360" w:hanging="360"/>
        <w:rPr>
          <w:sz w:val="24"/>
        </w:rPr>
      </w:pPr>
      <w:r>
        <w:rPr>
          <w:rFonts w:ascii="宋体" w:hAnsi="宋体"/>
          <w:sz w:val="24"/>
        </w:rPr>
        <w:t>[5] Huang G, Liu Z, van der Maaten L, Weinberger K Q. Densely Connected Convolutional Networks[C]//Proceedings of the IEEE Conference on Computer Vision and Pattern Recognition (CVPR). 2017.</w:t>
      </w:r>
    </w:p>
    <w:p w14:paraId="58204F34">
      <w:pPr>
        <w:spacing w:line="288" w:lineRule="auto"/>
        <w:ind w:left="360" w:hanging="360"/>
        <w:rPr>
          <w:sz w:val="24"/>
        </w:rPr>
      </w:pPr>
      <w:r>
        <w:rPr>
          <w:rFonts w:ascii="宋体" w:hAnsi="宋体"/>
          <w:sz w:val="24"/>
        </w:rPr>
        <w:t>[6] Ma J, et al. SecretFlow-SPU: A Performant and User-Friendly Framework for Privacy-Preserving Machine Learning[C]//USENIX Annual Technical Conference (USENIX ATC). 2023.</w:t>
      </w:r>
    </w:p>
    <w:p w14:paraId="6A8B649D">
      <w:pPr>
        <w:spacing w:line="288" w:lineRule="auto"/>
        <w:ind w:left="360" w:hanging="360"/>
        <w:rPr>
          <w:sz w:val="24"/>
        </w:rPr>
      </w:pPr>
      <w:r>
        <w:rPr>
          <w:rFonts w:ascii="宋体" w:hAnsi="宋体"/>
          <w:sz w:val="24"/>
        </w:rPr>
        <w:t>[7] Lu W, et al. BumbleBee: Secure Two-party Inference Framework for Large Transformers[C]//Network and Distributed System Security Symposium (NDSS). 2025.</w:t>
      </w:r>
    </w:p>
    <w:p w14:paraId="009FDC5E">
      <w:pPr>
        <w:spacing w:line="288" w:lineRule="auto"/>
        <w:ind w:left="360" w:hanging="360"/>
        <w:rPr>
          <w:sz w:val="24"/>
        </w:rPr>
      </w:pPr>
      <w:r>
        <w:rPr>
          <w:rFonts w:ascii="宋体" w:hAnsi="宋体"/>
          <w:sz w:val="24"/>
        </w:rPr>
        <w:t>[8] Batcher K E. Sorting Networks and Their Applications[C]//Proceedings of the AFIPS Spring Joint Computer Conference. 1968: 307-314.</w:t>
      </w:r>
    </w:p>
    <w:p w14:paraId="0FD5A2E5">
      <w:pPr>
        <w:spacing w:line="288" w:lineRule="auto"/>
        <w:ind w:left="360" w:hanging="360"/>
        <w:rPr>
          <w:sz w:val="24"/>
        </w:rPr>
      </w:pPr>
      <w:r>
        <w:rPr>
          <w:rFonts w:ascii="宋体" w:hAnsi="宋体"/>
          <w:sz w:val="24"/>
        </w:rPr>
        <w:t>[9] Yao A C. Protocols for Secure Computations[C]//23rd Annual Symposium on Foundations of Computer Science (FOCS). 1982: 160-164.</w:t>
      </w:r>
    </w:p>
    <w:p w14:paraId="11D6ED22">
      <w:pPr>
        <w:spacing w:line="288" w:lineRule="auto"/>
        <w:ind w:left="360" w:hanging="360"/>
        <w:rPr>
          <w:sz w:val="24"/>
        </w:rPr>
      </w:pPr>
      <w:r>
        <w:rPr>
          <w:rFonts w:ascii="宋体" w:hAnsi="宋体"/>
          <w:sz w:val="24"/>
        </w:rPr>
        <w:t>[10] Masinter L. Returning Values from Forms: multipart/form-data[S]. RFC 7578. IETF, 2015.</w:t>
      </w:r>
    </w:p>
    <w:p w14:paraId="7D53EA55">
      <w:pPr>
        <w:spacing w:line="288" w:lineRule="auto"/>
        <w:ind w:left="360" w:hanging="360"/>
        <w:rPr>
          <w:sz w:val="24"/>
        </w:rPr>
      </w:pPr>
      <w:r>
        <w:rPr>
          <w:rFonts w:ascii="宋体" w:hAnsi="宋体"/>
          <w:sz w:val="24"/>
        </w:rPr>
        <w:t>[11] National Institute of Standards and Technology. Secure Hash Standard (SHS)[S]. FIPS PUB 180-4. Gaithersburg, MD: NIST, 2015.</w:t>
      </w:r>
    </w:p>
    <w:p w14:paraId="1751B12F">
      <w:pPr>
        <w:spacing w:line="288" w:lineRule="auto"/>
        <w:ind w:left="360" w:hanging="360"/>
        <w:rPr>
          <w:rFonts w:hint="eastAsia" w:ascii="宋体" w:hAnsi="宋体"/>
          <w:sz w:val="24"/>
        </w:rPr>
      </w:pPr>
      <w:r>
        <w:rPr>
          <w:rFonts w:ascii="宋体" w:hAnsi="宋体"/>
          <w:sz w:val="24"/>
        </w:rPr>
        <w:t>[12] WHATWG. HTML Living Standard: Web Workers[EB/OL]. https://html.spec.whatwg.org/dev/workers.html, 2026-05-20.</w:t>
      </w:r>
    </w:p>
    <w:p w14:paraId="34072254">
      <w:pPr>
        <w:spacing w:line="288" w:lineRule="auto"/>
        <w:ind w:left="360" w:hanging="360"/>
        <w:rPr>
          <w:rFonts w:hint="eastAsia" w:ascii="宋体" w:hAnsi="宋体"/>
          <w:sz w:val="24"/>
        </w:rPr>
      </w:pPr>
      <w:r>
        <w:rPr>
          <w:rFonts w:hint="eastAsia" w:ascii="宋体" w:hAnsi="宋体"/>
          <w:sz w:val="24"/>
        </w:rPr>
        <w:t>[13] 马敏, 付钰, 黄凯, 贾潇风. 基于秘密共享的轻量级隐私保护ViT推理框架[J]. 通信学报, 2024, 45(4): 27-38. DOI:10.11959/j.issn.1000-436x.2024025.</w:t>
      </w:r>
    </w:p>
    <w:p w14:paraId="10BCCA95">
      <w:pPr>
        <w:pStyle w:val="2"/>
        <w:jc w:val="center"/>
      </w:pPr>
      <w:bookmarkStart w:id="76" w:name="Transshield_TOC_appendix_a"/>
      <w:bookmarkStart w:id="77" w:name="_Toc230691178"/>
      <w:r>
        <w:rPr>
          <w:rFonts w:ascii="黑体" w:hAnsi="黑体" w:eastAsia="黑体"/>
        </w:rPr>
        <w:t>附录A 关键代码实现</w:t>
      </w:r>
      <w:bookmarkEnd w:id="76"/>
      <w:bookmarkEnd w:id="77"/>
    </w:p>
    <w:p w14:paraId="35B47658">
      <w:pPr>
        <w:spacing w:line="360" w:lineRule="auto"/>
      </w:pPr>
      <w:r>
        <w:rPr>
          <w:rFonts w:ascii="宋体" w:hAnsi="宋体"/>
          <w:sz w:val="24"/>
        </w:rPr>
        <w:t>本附录不再罗列完整源文件，而是按“公式—机制—证据”对应关系摘录最能代表系统实现要点的局部代码，用于说明浏览器端 little-endian share 序列化、SPU 内部安全排序与 keep-mask 构造、结构化元数据长度门以及黑盒 fuzz 用例构造等核心实现。</w:t>
      </w:r>
    </w:p>
    <w:p w14:paraId="672CDAFE">
      <w:pPr>
        <w:spacing w:line="360" w:lineRule="auto"/>
        <w:outlineLvl w:val="1"/>
        <w:rPr>
          <w:rFonts w:hint="eastAsia" w:ascii="黑体" w:hAnsi="黑体" w:eastAsia="黑体"/>
          <w:b/>
          <w:sz w:val="24"/>
        </w:rPr>
      </w:pPr>
      <w:bookmarkStart w:id="78" w:name="_Toc230691179"/>
      <w:bookmarkStart w:id="79" w:name="Transshield_TOC_appendix_a_1"/>
      <w:r>
        <w:rPr>
          <w:rFonts w:hint="eastAsia" w:ascii="黑体" w:hAnsi="黑体" w:eastAsia="黑体"/>
          <w:b/>
          <w:sz w:val="24"/>
        </w:rPr>
        <w:t>A.1 浏览器 Worker 中的 little-endian share 序列化</w:t>
      </w:r>
      <w:bookmarkEnd w:id="78"/>
      <w:bookmarkEnd w:id="79"/>
    </w:p>
    <w:p w14:paraId="3EDA37FC">
      <w:pPr>
        <w:spacing w:line="360" w:lineRule="auto"/>
      </w:pPr>
      <w:r>
        <w:rPr>
          <w:rFonts w:ascii="宋体" w:hAnsi="宋体"/>
          <w:sz w:val="24"/>
        </w:rPr>
        <w:t>代码位置：showcase/src/workers/medicalControlPlaneWorker.ts:148</w:t>
      </w:r>
    </w:p>
    <w:p w14:paraId="54A2A619">
      <w:pPr>
        <w:spacing w:line="360" w:lineRule="auto"/>
        <w:ind w:firstLine="480"/>
      </w:pPr>
      <w:r>
        <w:rPr>
          <w:rFonts w:ascii="宋体" w:hAnsi="宋体"/>
          <w:sz w:val="24"/>
        </w:rPr>
        <w:t>该段代码展示了浏览器 Worker 如何显式使用 little-endian 方式写入 Float32 share，避免异构环境的字节序歧义。</w:t>
      </w:r>
    </w:p>
    <w:p w14:paraId="7ECAE7F7">
      <w:pPr>
        <w:spacing w:line="360" w:lineRule="auto"/>
      </w:pPr>
      <w:r>
        <w:rPr>
          <w:rFonts w:ascii="宋体" w:hAnsi="宋体"/>
          <w:sz w:val="24"/>
        </w:rPr>
        <w:t>以下仅保留与正文论证直接相关的关键代码节选，已省略无关分支、重复检查与通用异常处理。</w:t>
      </w:r>
    </w:p>
    <w:p w14:paraId="4931FB98">
      <w:pPr>
        <w:spacing w:before="20" w:after="80" w:line="259" w:lineRule="auto"/>
        <w:ind w:left="317"/>
      </w:pPr>
      <w:r>
        <w:rPr>
          <w:rFonts w:ascii="Consolas" w:hAnsi="Consolas" w:eastAsia="Consolas"/>
          <w:sz w:val="16"/>
        </w:rPr>
        <w:t>function packFloat32LE(values) {</w:t>
      </w:r>
      <w:r>
        <w:rPr>
          <w:rFonts w:ascii="Consolas" w:hAnsi="Consolas" w:eastAsia="Consolas"/>
          <w:sz w:val="16"/>
        </w:rPr>
        <w:br w:type="textWrapping"/>
      </w:r>
      <w:r>
        <w:rPr>
          <w:rFonts w:ascii="Consolas" w:hAnsi="Consolas" w:eastAsia="Consolas"/>
          <w:sz w:val="16"/>
        </w:rPr>
        <w:t xml:space="preserve">  const bytes = new Uint8Array(values.length * 4);</w:t>
      </w:r>
      <w:r>
        <w:rPr>
          <w:rFonts w:ascii="Consolas" w:hAnsi="Consolas" w:eastAsia="Consolas"/>
          <w:sz w:val="16"/>
        </w:rPr>
        <w:br w:type="textWrapping"/>
      </w:r>
      <w:r>
        <w:rPr>
          <w:rFonts w:ascii="Consolas" w:hAnsi="Consolas" w:eastAsia="Consolas"/>
          <w:sz w:val="16"/>
        </w:rPr>
        <w:t xml:space="preserve">  const view = new DataView(bytes.buffer);</w:t>
      </w:r>
      <w:r>
        <w:rPr>
          <w:rFonts w:ascii="Consolas" w:hAnsi="Consolas" w:eastAsia="Consolas"/>
          <w:sz w:val="16"/>
        </w:rPr>
        <w:br w:type="textWrapping"/>
      </w:r>
      <w:r>
        <w:rPr>
          <w:rFonts w:ascii="Consolas" w:hAnsi="Consolas" w:eastAsia="Consolas"/>
          <w:sz w:val="16"/>
        </w:rPr>
        <w:t xml:space="preserve">  for (let index = 0; index &lt; values.length; index += 1) {</w:t>
      </w:r>
      <w:r>
        <w:rPr>
          <w:rFonts w:ascii="Consolas" w:hAnsi="Consolas" w:eastAsia="Consolas"/>
          <w:sz w:val="16"/>
        </w:rPr>
        <w:br w:type="textWrapping"/>
      </w:r>
      <w:r>
        <w:rPr>
          <w:rFonts w:ascii="Consolas" w:hAnsi="Consolas" w:eastAsia="Consolas"/>
          <w:sz w:val="16"/>
        </w:rPr>
        <w:t xml:space="preserve">    const value = values[index];</w:t>
      </w:r>
      <w:r>
        <w:rPr>
          <w:rFonts w:ascii="Consolas" w:hAnsi="Consolas" w:eastAsia="Consolas"/>
          <w:sz w:val="16"/>
        </w:rPr>
        <w:br w:type="textWrapping"/>
      </w:r>
      <w:r>
        <w:rPr>
          <w:rFonts w:ascii="Consolas" w:hAnsi="Consolas" w:eastAsia="Consolas"/>
          <w:sz w:val="16"/>
        </w:rPr>
        <w:t xml:space="preserve">    if (!Number.isFinite(value)) throw new Error(`Non-finite float at ${index}`);</w:t>
      </w:r>
      <w:r>
        <w:rPr>
          <w:rFonts w:ascii="Consolas" w:hAnsi="Consolas" w:eastAsia="Consolas"/>
          <w:sz w:val="16"/>
        </w:rPr>
        <w:br w:type="textWrapping"/>
      </w:r>
      <w:r>
        <w:rPr>
          <w:rFonts w:ascii="Consolas" w:hAnsi="Consolas" w:eastAsia="Consolas"/>
          <w:sz w:val="16"/>
        </w:rPr>
        <w:t xml:space="preserve">    view.setFloat32(index * 4, Math.fround(value), true);</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return bytes;</w:t>
      </w:r>
      <w:r>
        <w:rPr>
          <w:rFonts w:ascii="Consolas" w:hAnsi="Consolas" w:eastAsia="Consolas"/>
          <w:sz w:val="16"/>
        </w:rPr>
        <w:br w:type="textWrapping"/>
      </w:r>
      <w:r>
        <w:rPr>
          <w:rFonts w:ascii="Consolas" w:hAnsi="Consolas" w:eastAsia="Consolas"/>
          <w:sz w:val="16"/>
        </w:rPr>
        <w:t>}</w:t>
      </w:r>
    </w:p>
    <w:p w14:paraId="1D8DE2A4">
      <w:pPr>
        <w:spacing w:line="360" w:lineRule="auto"/>
        <w:outlineLvl w:val="1"/>
        <w:rPr>
          <w:rFonts w:hint="eastAsia" w:ascii="黑体" w:hAnsi="黑体" w:eastAsia="黑体"/>
          <w:b/>
          <w:sz w:val="24"/>
        </w:rPr>
      </w:pPr>
      <w:bookmarkStart w:id="80" w:name="_Toc230691180"/>
      <w:bookmarkStart w:id="81" w:name="Transshield_TOC_appendix_a_2"/>
      <w:r>
        <w:rPr>
          <w:rFonts w:hint="eastAsia" w:ascii="黑体" w:hAnsi="黑体" w:eastAsia="黑体"/>
          <w:b/>
          <w:sz w:val="24"/>
        </w:rPr>
        <w:t>A.2 安全选择与双调排序的核心 SPU 实现</w:t>
      </w:r>
      <w:bookmarkEnd w:id="80"/>
      <w:bookmarkEnd w:id="81"/>
    </w:p>
    <w:p w14:paraId="673C810C">
      <w:pPr>
        <w:spacing w:line="360" w:lineRule="auto"/>
      </w:pPr>
      <w:r>
        <w:rPr>
          <w:rFonts w:ascii="宋体" w:hAnsi="宋体"/>
          <w:sz w:val="24"/>
        </w:rPr>
        <w:t>代码位置：integrations/transshield_runtime/e2e_secure_vit/spu_static_vit.py:639</w:t>
      </w:r>
    </w:p>
    <w:p w14:paraId="172F908A">
      <w:pPr>
        <w:spacing w:line="360" w:lineRule="auto"/>
        <w:ind w:firstLine="480"/>
      </w:pPr>
      <w:r>
        <w:rPr>
          <w:rFonts w:ascii="宋体" w:hAnsi="宋体"/>
          <w:sz w:val="24"/>
        </w:rPr>
        <w:t>该段代码展示了 JAX/SPU 路径如何通过编码键、按索引跟踪的双调排序和向量化 keep-mask 构造，稳定处理安全 Top-</w:t>
      </w:r>
      <m:oMath>
        <m:r>
          <m:rPr/>
          <w:rPr>
            <w:rFonts w:ascii="Cambria Math" w:hAnsi="Cambria Math"/>
          </w:rPr>
          <m:t>K</m:t>
        </m:r>
      </m:oMath>
      <w:r>
        <w:rPr>
          <w:rFonts w:ascii="宋体" w:hAnsi="宋体"/>
          <w:sz w:val="24"/>
        </w:rPr>
        <w:t>与并列分数决断问题。</w:t>
      </w:r>
    </w:p>
    <w:p w14:paraId="16C8B62F">
      <w:pPr>
        <w:spacing w:line="360" w:lineRule="auto"/>
      </w:pPr>
      <w:r>
        <w:rPr>
          <w:rFonts w:ascii="宋体" w:hAnsi="宋体"/>
          <w:sz w:val="24"/>
        </w:rPr>
        <w:t>以下仅保留与正文论证直接相关的关键代码节选，已省略无关分支、重复检查与通用异常处理。</w:t>
      </w:r>
    </w:p>
    <w:p w14:paraId="2D01D775">
      <w:pPr>
        <w:spacing w:before="20" w:after="80" w:line="259" w:lineRule="auto"/>
        <w:ind w:left="317"/>
      </w:pPr>
      <w:r>
        <w:rPr>
          <w:rFonts w:ascii="Consolas" w:hAnsi="Consolas" w:eastAsia="Consolas"/>
          <w:sz w:val="16"/>
        </w:rPr>
        <w:t>def _bitonic_sort_desc_with_indices(values):</w:t>
      </w:r>
      <w:r>
        <w:rPr>
          <w:rFonts w:ascii="Consolas" w:hAnsi="Consolas" w:eastAsia="Consolas"/>
          <w:sz w:val="16"/>
        </w:rPr>
        <w:br w:type="textWrapping"/>
      </w:r>
      <w:r>
        <w:rPr>
          <w:rFonts w:ascii="Consolas" w:hAnsi="Consolas" w:eastAsia="Consolas"/>
          <w:sz w:val="16"/>
        </w:rPr>
        <w:t xml:space="preserve">    indices = jnp.broadcast_to(jnp.arange(N, dtype=jnp.int32), values.shape)</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left_index = jnp.where(is_left, p_arr, p_partner)</w:t>
      </w:r>
      <w:r>
        <w:rPr>
          <w:rFonts w:ascii="Consolas" w:hAnsi="Consolas" w:eastAsia="Consolas"/>
          <w:sz w:val="16"/>
        </w:rPr>
        <w:br w:type="textWrapping"/>
      </w:r>
      <w:r>
        <w:rPr>
          <w:rFonts w:ascii="Consolas" w:hAnsi="Consolas" w:eastAsia="Consolas"/>
          <w:sz w:val="16"/>
        </w:rPr>
        <w:t xml:space="preserve">    is_desc = (left_index &amp; k) == 0</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indices = jnp.where(has_partner, new_idx, indices)</w:t>
      </w:r>
      <w:r>
        <w:rPr>
          <w:rFonts w:ascii="Consolas" w:hAnsi="Consolas" w:eastAsia="Consolas"/>
          <w:sz w:val="16"/>
        </w:rPr>
        <w:br w:type="textWrapping"/>
      </w:r>
      <w:r>
        <w:rPr>
          <w:rFonts w:ascii="Consolas" w:hAnsi="Consolas" w:eastAsia="Consolas"/>
          <w:sz w:val="16"/>
        </w:rPr>
        <w:t xml:space="preserve">    return x, indices</w:t>
      </w:r>
      <w:r>
        <w:rPr>
          <w:rFonts w:ascii="Consolas" w:hAnsi="Consolas" w:eastAsia="Consolas"/>
          <w:sz w:val="16"/>
        </w:rPr>
        <w:br w:type="textWrapping"/>
      </w:r>
      <w:r>
        <w:rPr>
          <w:rFonts w:ascii="Consolas" w:hAnsi="Consolas" w:eastAsia="Consolas"/>
          <w:sz w:val="16"/>
        </w:rPr>
        <w:br w:type="textWrapping"/>
      </w:r>
      <w:r>
        <w:rPr>
          <w:rFonts w:ascii="Consolas" w:hAnsi="Consolas" w:eastAsia="Consolas"/>
          <w:sz w:val="16"/>
        </w:rPr>
        <w:t>def _secure_build_keep_decision(score, prev_decision_2d, keep_count):</w:t>
      </w:r>
      <w:r>
        <w:rPr>
          <w:rFonts w:ascii="Consolas" w:hAnsi="Consolas" w:eastAsia="Consolas"/>
          <w:sz w:val="16"/>
        </w:rPr>
        <w:br w:type="textWrapping"/>
      </w:r>
      <w:r>
        <w:rPr>
          <w:rFonts w:ascii="Consolas" w:hAnsi="Consolas" w:eastAsia="Consolas"/>
          <w:sz w:val="16"/>
        </w:rPr>
        <w:t xml:space="preserve">    active_before = prev_decision_2d.squeeze(-1) &gt; 0</w:t>
      </w:r>
      <w:r>
        <w:rPr>
          <w:rFonts w:ascii="Consolas" w:hAnsi="Consolas" w:eastAsia="Consolas"/>
          <w:sz w:val="16"/>
        </w:rPr>
        <w:br w:type="textWrapping"/>
      </w:r>
      <w:r>
        <w:rPr>
          <w:rFonts w:ascii="Consolas" w:hAnsi="Consolas" w:eastAsia="Consolas"/>
          <w:sz w:val="16"/>
        </w:rPr>
        <w:t xml:space="preserve">    encoded_key = score - jnp.arange(N, dtype=score.dtype) * 1e-6</w:t>
      </w:r>
      <w:r>
        <w:rPr>
          <w:rFonts w:ascii="Consolas" w:hAnsi="Consolas" w:eastAsia="Consolas"/>
          <w:sz w:val="16"/>
        </w:rPr>
        <w:br w:type="textWrapping"/>
      </w:r>
      <w:r>
        <w:rPr>
          <w:rFonts w:ascii="Consolas" w:hAnsi="Consolas" w:eastAsia="Consolas"/>
          <w:sz w:val="16"/>
        </w:rPr>
        <w:t xml:space="preserve">    encoded_masked = jnp.where(active_before, encoded_key, float('-inf'))</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sorted_keys, sorted_indices = _bitonic_sort_desc_with_indices(sortable)</w:t>
      </w:r>
      <w:r>
        <w:rPr>
          <w:rFonts w:ascii="Consolas" w:hAnsi="Consolas" w:eastAsia="Consolas"/>
          <w:sz w:val="16"/>
        </w:rPr>
        <w:br w:type="textWrapping"/>
      </w:r>
      <w:r>
        <w:rPr>
          <w:rFonts w:ascii="Consolas" w:hAnsi="Consolas" w:eastAsia="Consolas"/>
          <w:sz w:val="16"/>
        </w:rPr>
        <w:t xml:space="preserve">    top_k_indices = sorted_indices[:, :keep_count]</w:t>
      </w:r>
      <w:r>
        <w:rPr>
          <w:rFonts w:ascii="Consolas" w:hAnsi="Consolas" w:eastAsia="Consolas"/>
          <w:sz w:val="16"/>
        </w:rPr>
        <w:br w:type="textWrapping"/>
      </w:r>
      <w:r>
        <w:rPr>
          <w:rFonts w:ascii="Consolas" w:hAnsi="Consolas" w:eastAsia="Consolas"/>
          <w:sz w:val="16"/>
        </w:rPr>
        <w:t xml:space="preserve">    keep_mask = jnp.any(top_k_indices[:, :, None] == pos[None, None, :], axis=1)</w:t>
      </w:r>
      <w:r>
        <w:rPr>
          <w:rFonts w:ascii="Consolas" w:hAnsi="Consolas" w:eastAsia="Consolas"/>
          <w:sz w:val="16"/>
        </w:rPr>
        <w:br w:type="textWrapping"/>
      </w:r>
      <w:r>
        <w:rPr>
          <w:rFonts w:ascii="Consolas" w:hAnsi="Consolas" w:eastAsia="Consolas"/>
          <w:sz w:val="16"/>
        </w:rPr>
        <w:t xml:space="preserve">    return (keep_mask[:, :N] &amp; active_before)[:, :, None]</w:t>
      </w:r>
    </w:p>
    <w:p w14:paraId="3AB367B0">
      <w:pPr>
        <w:spacing w:line="360" w:lineRule="auto"/>
        <w:outlineLvl w:val="1"/>
        <w:rPr>
          <w:rFonts w:hint="eastAsia" w:ascii="黑体" w:hAnsi="黑体" w:eastAsia="黑体"/>
          <w:b/>
          <w:sz w:val="24"/>
        </w:rPr>
      </w:pPr>
      <w:bookmarkStart w:id="82" w:name="Transshield_TOC_appendix_a_3"/>
      <w:bookmarkStart w:id="83" w:name="_Toc230691181"/>
      <w:r>
        <w:rPr>
          <w:rFonts w:hint="eastAsia" w:ascii="黑体" w:hAnsi="黑体" w:eastAsia="黑体"/>
          <w:b/>
          <w:sz w:val="24"/>
        </w:rPr>
        <w:t>A.3 JSON 字节长度门与 strict json.loads 钩子</w:t>
      </w:r>
      <w:bookmarkEnd w:id="82"/>
      <w:bookmarkEnd w:id="83"/>
    </w:p>
    <w:p w14:paraId="0F9DB005">
      <w:pPr>
        <w:spacing w:line="360" w:lineRule="auto"/>
      </w:pPr>
      <w:r>
        <w:rPr>
          <w:rFonts w:ascii="宋体" w:hAnsi="宋体"/>
          <w:sz w:val="24"/>
        </w:rPr>
        <w:t>代码位置：showcase_api/control_plane.py:309</w:t>
      </w:r>
    </w:p>
    <w:p w14:paraId="2F766491">
      <w:pPr>
        <w:spacing w:line="360" w:lineRule="auto"/>
        <w:ind w:firstLine="480"/>
      </w:pPr>
      <w:r>
        <w:rPr>
          <w:rFonts w:ascii="宋体" w:hAnsi="宋体"/>
          <w:sz w:val="24"/>
        </w:rPr>
        <w:t>该段代码展示了在 `json.loads` 前先执行字节长度门，并为整数、浮点和常量解析分别挂接严格钩子。</w:t>
      </w:r>
    </w:p>
    <w:p w14:paraId="6BFCE3B8">
      <w:pPr>
        <w:spacing w:line="360" w:lineRule="auto"/>
      </w:pPr>
      <w:r>
        <w:rPr>
          <w:rFonts w:ascii="宋体" w:hAnsi="宋体"/>
          <w:sz w:val="24"/>
        </w:rPr>
        <w:t>以下仅保留与正文论证直接相关的关键代码节选，已省略无关分支、重复检查与通用异常处理。</w:t>
      </w:r>
    </w:p>
    <w:p w14:paraId="5FB8E9E6">
      <w:pPr>
        <w:spacing w:before="20" w:after="80" w:line="259" w:lineRule="auto"/>
        <w:ind w:left="317"/>
      </w:pPr>
      <w:r>
        <w:rPr>
          <w:rFonts w:ascii="Consolas" w:hAnsi="Consolas" w:eastAsia="Consolas"/>
          <w:sz w:val="16"/>
        </w:rPr>
        <w:t>def _load_json_part(self, raw_body: bytes, part: RawPart):</w:t>
      </w:r>
      <w:r>
        <w:rPr>
          <w:rFonts w:ascii="Consolas" w:hAnsi="Consolas" w:eastAsia="Consolas"/>
          <w:sz w:val="16"/>
        </w:rPr>
        <w:br w:type="textWrapping"/>
      </w:r>
      <w:r>
        <w:rPr>
          <w:rFonts w:ascii="Consolas" w:hAnsi="Consolas" w:eastAsia="Consolas"/>
          <w:sz w:val="16"/>
        </w:rPr>
        <w:t xml:space="preserve">    part_view = memoryview(raw_body)[part.body_start:part.body_end]</w:t>
      </w:r>
      <w:r>
        <w:rPr>
          <w:rFonts w:ascii="Consolas" w:hAnsi="Consolas" w:eastAsia="Consolas"/>
          <w:sz w:val="16"/>
        </w:rPr>
        <w:br w:type="textWrapping"/>
      </w:r>
      <w:r>
        <w:rPr>
          <w:rFonts w:ascii="Consolas" w:hAnsi="Consolas" w:eastAsia="Consolas"/>
          <w:sz w:val="16"/>
        </w:rPr>
        <w:t xml:space="preserve">    body_len = len(part_view)</w:t>
      </w:r>
      <w:r>
        <w:rPr>
          <w:rFonts w:ascii="Consolas" w:hAnsi="Consolas" w:eastAsia="Consolas"/>
          <w:sz w:val="16"/>
        </w:rPr>
        <w:br w:type="textWrapping"/>
      </w:r>
      <w:r>
        <w:rPr>
          <w:rFonts w:ascii="Consolas" w:hAnsi="Consolas" w:eastAsia="Consolas"/>
          <w:sz w:val="16"/>
        </w:rPr>
        <w:t xml:space="preserve">    if body_len &gt; JSON_PART_MAX_BYTES:</w:t>
      </w:r>
      <w:r>
        <w:rPr>
          <w:rFonts w:ascii="Consolas" w:hAnsi="Consolas" w:eastAsia="Consolas"/>
          <w:sz w:val="16"/>
        </w:rPr>
        <w:br w:type="textWrapping"/>
      </w:r>
      <w:r>
        <w:rPr>
          <w:rFonts w:ascii="Consolas" w:hAnsi="Consolas" w:eastAsia="Consolas"/>
          <w:sz w:val="16"/>
        </w:rPr>
        <w:t xml:space="preserve">        raise ValueError('json part exceeds global size limit')</w:t>
      </w:r>
      <w:r>
        <w:rPr>
          <w:rFonts w:ascii="Consolas" w:hAnsi="Consolas" w:eastAsia="Consolas"/>
          <w:sz w:val="16"/>
        </w:rPr>
        <w:br w:type="textWrapping"/>
      </w:r>
      <w:r>
        <w:rPr>
          <w:rFonts w:ascii="Consolas" w:hAnsi="Consolas" w:eastAsia="Consolas"/>
          <w:sz w:val="16"/>
        </w:rPr>
        <w:t xml:space="preserve">    field_limit = {...}.get(part.name, JSON_PART_MAX_BYTES)</w:t>
      </w:r>
      <w:r>
        <w:rPr>
          <w:rFonts w:ascii="Consolas" w:hAnsi="Consolas" w:eastAsia="Consolas"/>
          <w:sz w:val="16"/>
        </w:rPr>
        <w:br w:type="textWrapping"/>
      </w:r>
      <w:r>
        <w:rPr>
          <w:rFonts w:ascii="Consolas" w:hAnsi="Consolas" w:eastAsia="Consolas"/>
          <w:sz w:val="16"/>
        </w:rPr>
        <w:t xml:space="preserve">    if body_len &gt; field_limit:</w:t>
      </w:r>
      <w:r>
        <w:rPr>
          <w:rFonts w:ascii="Consolas" w:hAnsi="Consolas" w:eastAsia="Consolas"/>
          <w:sz w:val="16"/>
        </w:rPr>
        <w:br w:type="textWrapping"/>
      </w:r>
      <w:r>
        <w:rPr>
          <w:rFonts w:ascii="Consolas" w:hAnsi="Consolas" w:eastAsia="Consolas"/>
          <w:sz w:val="16"/>
        </w:rPr>
        <w:t xml:space="preserve">        raise ValueError(f'{part.name} exceeds field size limit')</w:t>
      </w:r>
      <w:r>
        <w:rPr>
          <w:rFonts w:ascii="Consolas" w:hAnsi="Consolas" w:eastAsia="Consolas"/>
          <w:sz w:val="16"/>
        </w:rPr>
        <w:br w:type="textWrapping"/>
      </w:r>
      <w:r>
        <w:rPr>
          <w:rFonts w:ascii="Consolas" w:hAnsi="Consolas" w:eastAsia="Consolas"/>
          <w:sz w:val="16"/>
        </w:rPr>
        <w:t xml:space="preserve">    decoded = bytes(part_view).decode('utf-8', 'strict')</w:t>
      </w:r>
      <w:r>
        <w:rPr>
          <w:rFonts w:ascii="Consolas" w:hAnsi="Consolas" w:eastAsia="Consolas"/>
          <w:sz w:val="16"/>
        </w:rPr>
        <w:br w:type="textWrapping"/>
      </w:r>
      <w:r>
        <w:rPr>
          <w:rFonts w:ascii="Consolas" w:hAnsi="Consolas" w:eastAsia="Consolas"/>
          <w:sz w:val="16"/>
        </w:rPr>
        <w:t xml:space="preserve">    return json.loads(decoded, parse_int=strict_json_int,</w:t>
      </w:r>
      <w:r>
        <w:rPr>
          <w:rFonts w:ascii="Consolas" w:hAnsi="Consolas" w:eastAsia="Consolas"/>
          <w:sz w:val="16"/>
        </w:rPr>
        <w:br w:type="textWrapping"/>
      </w:r>
      <w:r>
        <w:rPr>
          <w:rFonts w:ascii="Consolas" w:hAnsi="Consolas" w:eastAsia="Consolas"/>
          <w:sz w:val="16"/>
        </w:rPr>
        <w:t xml:space="preserve">                      parse_float=strict_json_float,</w:t>
      </w:r>
      <w:r>
        <w:rPr>
          <w:rFonts w:ascii="Consolas" w:hAnsi="Consolas" w:eastAsia="Consolas"/>
          <w:sz w:val="16"/>
        </w:rPr>
        <w:br w:type="textWrapping"/>
      </w:r>
      <w:r>
        <w:rPr>
          <w:rFonts w:ascii="Consolas" w:hAnsi="Consolas" w:eastAsia="Consolas"/>
          <w:sz w:val="16"/>
        </w:rPr>
        <w:t xml:space="preserve">                      parse_constant=strict_json_constant)</w:t>
      </w:r>
    </w:p>
    <w:p w14:paraId="53F217A9">
      <w:pPr>
        <w:spacing w:line="360" w:lineRule="auto"/>
        <w:outlineLvl w:val="1"/>
        <w:rPr>
          <w:rFonts w:hint="eastAsia" w:ascii="黑体" w:hAnsi="黑体" w:eastAsia="黑体"/>
          <w:b/>
          <w:sz w:val="24"/>
        </w:rPr>
      </w:pPr>
      <w:bookmarkStart w:id="84" w:name="_Toc230691182"/>
      <w:bookmarkStart w:id="85" w:name="Transshield_TOC_appendix_a_4"/>
      <w:r>
        <w:rPr>
          <w:rFonts w:hint="eastAsia" w:ascii="黑体" w:hAnsi="黑体" w:eastAsia="黑体"/>
          <w:b/>
          <w:sz w:val="24"/>
        </w:rPr>
        <w:t>A.4 协议层异常输入黑盒验证样例</w:t>
      </w:r>
      <w:bookmarkEnd w:id="84"/>
      <w:bookmarkEnd w:id="85"/>
    </w:p>
    <w:p w14:paraId="098298F2">
      <w:pPr>
        <w:spacing w:line="360" w:lineRule="auto"/>
      </w:pPr>
      <w:r>
        <w:rPr>
          <w:rFonts w:ascii="宋体" w:hAnsi="宋体"/>
          <w:sz w:val="24"/>
        </w:rPr>
        <w:t>代码位置：tools/showcase_protocol_fuzz.py:158</w:t>
      </w:r>
    </w:p>
    <w:p w14:paraId="72323AA0">
      <w:pPr>
        <w:spacing w:line="360" w:lineRule="auto"/>
        <w:ind w:firstLine="480"/>
      </w:pPr>
      <w:r>
        <w:rPr>
          <w:rFonts w:ascii="宋体" w:hAnsi="宋体"/>
          <w:sz w:val="24"/>
        </w:rPr>
        <w:t>该段代码展示了针对 畸形 multipart header的黑盒测试用例，以及脚本对拦截层级和资源状态的记录方式。</w:t>
      </w:r>
    </w:p>
    <w:p w14:paraId="0C000D9B">
      <w:pPr>
        <w:spacing w:line="360" w:lineRule="auto"/>
      </w:pPr>
      <w:r>
        <w:rPr>
          <w:rFonts w:ascii="宋体" w:hAnsi="宋体"/>
          <w:sz w:val="24"/>
        </w:rPr>
        <w:t>以下仅保留与正文论证直接相关的关键代码节选，已省略无关分支、重复检查与通用异常处理。</w:t>
      </w:r>
    </w:p>
    <w:p w14:paraId="7916A1FC">
      <w:pPr>
        <w:spacing w:before="20" w:after="80" w:line="259" w:lineRule="auto"/>
        <w:ind w:left="317"/>
      </w:pPr>
      <w:r>
        <w:rPr>
          <w:rFonts w:ascii="Consolas" w:hAnsi="Consolas" w:eastAsia="Consolas"/>
          <w:sz w:val="16"/>
        </w:rPr>
        <w:t>def case_header_null_byte(base_url: str, timeout: float, server_pid: int | None):</w:t>
      </w:r>
      <w:r>
        <w:rPr>
          <w:rFonts w:ascii="Consolas" w:hAnsi="Consolas" w:eastAsia="Consolas"/>
          <w:sz w:val="16"/>
        </w:rPr>
        <w:br w:type="textWrapping"/>
      </w:r>
      <w:r>
        <w:rPr>
          <w:rFonts w:ascii="Consolas" w:hAnsi="Consolas" w:eastAsia="Consolas"/>
          <w:sz w:val="16"/>
        </w:rPr>
        <w:t xml:space="preserve">    boundary = f'nullbyte-{uuid.uuid4().hex}'</w:t>
      </w:r>
      <w:r>
        <w:rPr>
          <w:rFonts w:ascii="Consolas" w:hAnsi="Consolas" w:eastAsia="Consolas"/>
          <w:sz w:val="16"/>
        </w:rPr>
        <w:br w:type="textWrapping"/>
      </w:r>
      <w:r>
        <w:rPr>
          <w:rFonts w:ascii="Consolas" w:hAnsi="Consolas" w:eastAsia="Consolas"/>
          <w:sz w:val="16"/>
        </w:rPr>
        <w:t xml:space="preserve">    header = (</w:t>
      </w:r>
      <w:r>
        <w:rPr>
          <w:rFonts w:ascii="Consolas" w:hAnsi="Consolas" w:eastAsia="Consolas"/>
          <w:sz w:val="16"/>
        </w:rPr>
        <w:br w:type="textWrapping"/>
      </w:r>
      <w:r>
        <w:rPr>
          <w:rFonts w:ascii="Consolas" w:hAnsi="Consolas" w:eastAsia="Consolas"/>
          <w:sz w:val="16"/>
        </w:rPr>
        <w:t xml:space="preserve">        b'Content-Disposition: form-data; '</w:t>
      </w:r>
      <w:r>
        <w:rPr>
          <w:rFonts w:ascii="Consolas" w:hAnsi="Consolas" w:eastAsia="Consolas"/>
          <w:sz w:val="16"/>
        </w:rPr>
        <w:br w:type="textWrapping"/>
      </w:r>
      <w:r>
        <w:rPr>
          <w:rFonts w:ascii="Consolas" w:hAnsi="Consolas" w:eastAsia="Consolas"/>
          <w:sz w:val="16"/>
        </w:rPr>
        <w:t xml:space="preserve">        b'name="domai\x00n"'</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body = build_custom_body(boundary, header, b'medical')</w:t>
      </w:r>
      <w:r>
        <w:rPr>
          <w:rFonts w:ascii="Consolas" w:hAnsi="Consolas" w:eastAsia="Consolas"/>
          <w:sz w:val="16"/>
        </w:rPr>
        <w:br w:type="textWrapping"/>
      </w:r>
      <w:r>
        <w:rPr>
          <w:rFonts w:ascii="Consolas" w:hAnsi="Consolas" w:eastAsia="Consolas"/>
          <w:sz w:val="16"/>
        </w:rPr>
        <w:t xml:space="preserve">    raw = build_raw_multipart_request(</w:t>
      </w:r>
      <w:r>
        <w:rPr>
          <w:rFonts w:ascii="Consolas" w:hAnsi="Consolas" w:eastAsia="Consolas"/>
          <w:sz w:val="16"/>
        </w:rPr>
        <w:br w:type="textWrapping"/>
      </w:r>
      <w:r>
        <w:rPr>
          <w:rFonts w:ascii="Consolas" w:hAnsi="Consolas" w:eastAsia="Consolas"/>
          <w:sz w:val="16"/>
        </w:rPr>
        <w:t xml:space="preserve">        base_url, boundary_param=f'boundary={boundary}', body=body</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return capture_case(</w:t>
      </w:r>
      <w:r>
        <w:rPr>
          <w:rFonts w:ascii="Consolas" w:hAnsi="Consolas" w:eastAsia="Consolas"/>
          <w:sz w:val="16"/>
        </w:rPr>
        <w:br w:type="textWrapping"/>
      </w:r>
      <w:r>
        <w:rPr>
          <w:rFonts w:ascii="Consolas" w:hAnsi="Consolas" w:eastAsia="Consolas"/>
          <w:sz w:val="16"/>
        </w:rPr>
        <w:t xml:space="preserve">        name='multipart_header_null_byte_blocked',</w:t>
      </w:r>
      <w:r>
        <w:rPr>
          <w:rFonts w:ascii="Consolas" w:hAnsi="Consolas" w:eastAsia="Consolas"/>
          <w:sz w:val="16"/>
        </w:rPr>
        <w:br w:type="textWrapping"/>
      </w:r>
      <w:r>
        <w:rPr>
          <w:rFonts w:ascii="Consolas" w:hAnsi="Consolas" w:eastAsia="Consolas"/>
          <w:sz w:val="16"/>
        </w:rPr>
        <w:t xml:space="preserve">        action=lambda: send_raw_http(base_url, raw, timeout),</w:t>
      </w:r>
      <w:r>
        <w:rPr>
          <w:rFonts w:ascii="Consolas" w:hAnsi="Consolas" w:eastAsia="Consolas"/>
          <w:sz w:val="16"/>
        </w:rPr>
        <w:br w:type="textWrapping"/>
      </w:r>
      <w:r>
        <w:rPr>
          <w:rFonts w:ascii="Consolas" w:hAnsi="Consolas" w:eastAsia="Consolas"/>
          <w:sz w:val="16"/>
        </w:rPr>
        <w:t xml:space="preserve">        interception_layer='multipart_header_parser',</w:t>
      </w:r>
      <w:r>
        <w:rPr>
          <w:rFonts w:ascii="Consolas" w:hAnsi="Consolas" w:eastAsia="Consolas"/>
          <w:sz w:val="16"/>
        </w:rPr>
        <w:br w:type="textWrapping"/>
      </w:r>
      <w:r>
        <w:rPr>
          <w:rFonts w:ascii="Consolas" w:hAnsi="Consolas" w:eastAsia="Consolas"/>
          <w:sz w:val="16"/>
        </w:rPr>
        <w:t xml:space="preserve">        fallback_layer='mime_tree_validation',</w:t>
      </w:r>
      <w:r>
        <w:rPr>
          <w:rFonts w:ascii="Consolas" w:hAnsi="Consolas" w:eastAsia="Consolas"/>
          <w:sz w:val="16"/>
        </w:rPr>
        <w:br w:type="textWrapping"/>
      </w:r>
      <w:r>
        <w:rPr>
          <w:rFonts w:ascii="Consolas" w:hAnsi="Consolas" w:eastAsia="Consolas"/>
          <w:sz w:val="16"/>
        </w:rPr>
        <w:t xml:space="preserve">    )</w:t>
      </w:r>
    </w:p>
    <w:sectPr>
      <w:pgSz w:w="11906" w:h="16838"/>
      <w:pgMar w:top="1440" w:right="1466" w:bottom="1440" w:left="16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FKai-SB">
    <w:altName w:val="Microsoft JhengHei Light"/>
    <w:panose1 w:val="00000000000000000000"/>
    <w:charset w:val="88"/>
    <w:family w:val="script"/>
    <w:pitch w:val="default"/>
    <w:sig w:usb0="00000000" w:usb1="00000000" w:usb2="00000016" w:usb3="00000000" w:csb0="00100001" w:csb1="00000000"/>
  </w:font>
  <w:font w:name="Microsoft JhengHei Light">
    <w:panose1 w:val="020B0304030504040204"/>
    <w:charset w:val="88"/>
    <w:family w:val="auto"/>
    <w:pitch w:val="default"/>
    <w:sig w:usb0="8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68663D">
    <w:pPr>
      <w:pStyle w:val="3"/>
      <w:framePr w:wrap="around" w:vAnchor="text" w:hAnchor="margin" w:xAlign="center" w:y="1"/>
      <w:rPr>
        <w:rStyle w:val="10"/>
      </w:rPr>
    </w:pPr>
    <w:r>
      <w:rPr>
        <w:rStyle w:val="10"/>
      </w:rPr>
      <w:fldChar w:fldCharType="begin"/>
    </w:r>
    <w:r>
      <w:rPr>
        <w:rStyle w:val="10"/>
      </w:rPr>
      <w:instrText xml:space="preserve">PAGE  </w:instrText>
    </w:r>
    <w:r>
      <w:rPr>
        <w:rStyle w:val="10"/>
      </w:rPr>
      <w:fldChar w:fldCharType="separate"/>
    </w:r>
    <w:r>
      <w:rPr>
        <w:rStyle w:val="10"/>
      </w:rPr>
      <w:t>42</w:t>
    </w:r>
    <w:r>
      <w:rPr>
        <w:rStyle w:val="10"/>
      </w:rPr>
      <w:fldChar w:fldCharType="end"/>
    </w:r>
  </w:p>
  <w:p w14:paraId="5B271A29">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NjMDFlOGIyZTljZjIzYzRmYmM3YTdjYzkyZmRjNTgifQ=="/>
  </w:docVars>
  <w:rsids>
    <w:rsidRoot w:val="00840819"/>
    <w:rsid w:val="00073EEA"/>
    <w:rsid w:val="000B295B"/>
    <w:rsid w:val="0012253A"/>
    <w:rsid w:val="001B67F9"/>
    <w:rsid w:val="001F4517"/>
    <w:rsid w:val="00275F44"/>
    <w:rsid w:val="00283AEB"/>
    <w:rsid w:val="002D2C68"/>
    <w:rsid w:val="003E28F4"/>
    <w:rsid w:val="004017A4"/>
    <w:rsid w:val="00404C1B"/>
    <w:rsid w:val="00424691"/>
    <w:rsid w:val="004C302D"/>
    <w:rsid w:val="004C3E11"/>
    <w:rsid w:val="004E405B"/>
    <w:rsid w:val="005011AC"/>
    <w:rsid w:val="005706DD"/>
    <w:rsid w:val="00575B69"/>
    <w:rsid w:val="00594406"/>
    <w:rsid w:val="00626450"/>
    <w:rsid w:val="00676CF0"/>
    <w:rsid w:val="00685973"/>
    <w:rsid w:val="006D00F8"/>
    <w:rsid w:val="006E4B47"/>
    <w:rsid w:val="00735E04"/>
    <w:rsid w:val="007438F9"/>
    <w:rsid w:val="007A0845"/>
    <w:rsid w:val="007E7F65"/>
    <w:rsid w:val="00804CF0"/>
    <w:rsid w:val="008233AA"/>
    <w:rsid w:val="00840819"/>
    <w:rsid w:val="00847112"/>
    <w:rsid w:val="0087039D"/>
    <w:rsid w:val="00882AD1"/>
    <w:rsid w:val="009A0979"/>
    <w:rsid w:val="009C1255"/>
    <w:rsid w:val="009F377B"/>
    <w:rsid w:val="00A247AB"/>
    <w:rsid w:val="00A77804"/>
    <w:rsid w:val="00B36150"/>
    <w:rsid w:val="00B4751C"/>
    <w:rsid w:val="00B62FE5"/>
    <w:rsid w:val="00B74C5D"/>
    <w:rsid w:val="00BB4589"/>
    <w:rsid w:val="00BD34E2"/>
    <w:rsid w:val="00BE16EA"/>
    <w:rsid w:val="00C56672"/>
    <w:rsid w:val="00CE5C25"/>
    <w:rsid w:val="00D362FB"/>
    <w:rsid w:val="00D570F5"/>
    <w:rsid w:val="00D906B5"/>
    <w:rsid w:val="00DC1EF7"/>
    <w:rsid w:val="00E47070"/>
    <w:rsid w:val="00E94B67"/>
    <w:rsid w:val="00EB12B1"/>
    <w:rsid w:val="00F55BD1"/>
    <w:rsid w:val="00F72284"/>
    <w:rsid w:val="00F7709C"/>
    <w:rsid w:val="00F85321"/>
    <w:rsid w:val="00F913E8"/>
    <w:rsid w:val="011E03C3"/>
    <w:rsid w:val="02DE157B"/>
    <w:rsid w:val="054519AB"/>
    <w:rsid w:val="0AC71B45"/>
    <w:rsid w:val="0ACE309D"/>
    <w:rsid w:val="0D022DAA"/>
    <w:rsid w:val="0E465ACA"/>
    <w:rsid w:val="11F76ABC"/>
    <w:rsid w:val="19090078"/>
    <w:rsid w:val="197A1D0A"/>
    <w:rsid w:val="1B4B3664"/>
    <w:rsid w:val="1EC41121"/>
    <w:rsid w:val="238B5CFB"/>
    <w:rsid w:val="29D87370"/>
    <w:rsid w:val="343447A0"/>
    <w:rsid w:val="381A18D8"/>
    <w:rsid w:val="38DF20AC"/>
    <w:rsid w:val="3F355AC8"/>
    <w:rsid w:val="4A9A12C0"/>
    <w:rsid w:val="4F441016"/>
    <w:rsid w:val="5BF81B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4"/>
    <w:qFormat/>
    <w:uiPriority w:val="0"/>
    <w:pPr>
      <w:keepNext/>
      <w:keepLines/>
      <w:spacing w:before="340" w:after="330" w:line="578" w:lineRule="auto"/>
      <w:outlineLvl w:val="0"/>
    </w:pPr>
    <w:rPr>
      <w:b/>
      <w:bCs/>
      <w:kern w:val="44"/>
      <w:sz w:val="44"/>
      <w:szCs w:val="44"/>
      <w:lang w:val="zh-CN"/>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3"/>
    <w:qFormat/>
    <w:uiPriority w:val="0"/>
    <w:pPr>
      <w:tabs>
        <w:tab w:val="center" w:pos="4153"/>
        <w:tab w:val="right" w:pos="8306"/>
      </w:tabs>
      <w:snapToGrid w:val="0"/>
      <w:jc w:val="left"/>
    </w:pPr>
    <w:rPr>
      <w:sz w:val="18"/>
      <w:szCs w:val="18"/>
      <w:lang w:val="zh-CN"/>
    </w:rPr>
  </w:style>
  <w:style w:type="paragraph" w:styleId="4">
    <w:name w:val="header"/>
    <w:basedOn w:val="1"/>
    <w:link w:val="12"/>
    <w:qFormat/>
    <w:uiPriority w:val="0"/>
    <w:pPr>
      <w:pBdr>
        <w:bottom w:val="single" w:color="auto" w:sz="6" w:space="1"/>
      </w:pBdr>
      <w:tabs>
        <w:tab w:val="center" w:pos="4153"/>
        <w:tab w:val="right" w:pos="8306"/>
      </w:tabs>
      <w:snapToGrid w:val="0"/>
      <w:jc w:val="center"/>
    </w:pPr>
    <w:rPr>
      <w:sz w:val="18"/>
      <w:szCs w:val="18"/>
      <w:lang w:val="zh-CN"/>
    </w:rPr>
  </w:style>
  <w:style w:type="paragraph" w:styleId="5">
    <w:name w:val="toc 1"/>
    <w:basedOn w:val="1"/>
    <w:next w:val="1"/>
    <w:qFormat/>
    <w:uiPriority w:val="39"/>
    <w:rPr>
      <w:rFonts w:hint="eastAsia" w:ascii="黑体" w:hAnsi="黑体" w:eastAsia="黑体"/>
      <w:sz w:val="28"/>
      <w:color w:val="000000"/>
    </w:rPr>
  </w:style>
  <w:style w:type="paragraph" w:styleId="6">
    <w:name w:val="toc 2"/>
    <w:basedOn w:val="1"/>
    <w:next w:val="1"/>
    <w:qFormat/>
    <w:uiPriority w:val="39"/>
    <w:pPr>
      <w:ind w:left="420" w:leftChars="200"/>
    </w:pPr>
    <w:rPr>
      <w:rFonts w:hint="eastAsia" w:ascii="黑体" w:hAnsi="黑体" w:eastAsia="黑体"/>
      <w:color w:val="000000"/>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qFormat/>
    <w:uiPriority w:val="0"/>
  </w:style>
  <w:style w:type="character" w:styleId="11">
    <w:name w:val="Hyperlink"/>
    <w:qFormat/>
    <w:uiPriority w:val="99"/>
    <w:rPr>
      <w:color w:val="000000"/>
      <w:u w:val="none"/>
    </w:rPr>
  </w:style>
  <w:style w:type="character" w:customStyle="1" w:styleId="12">
    <w:name w:val="页眉 字符"/>
    <w:link w:val="4"/>
    <w:qFormat/>
    <w:uiPriority w:val="0"/>
    <w:rPr>
      <w:kern w:val="2"/>
      <w:sz w:val="18"/>
      <w:szCs w:val="18"/>
    </w:rPr>
  </w:style>
  <w:style w:type="character" w:customStyle="1" w:styleId="13">
    <w:name w:val="页脚 字符"/>
    <w:link w:val="3"/>
    <w:qFormat/>
    <w:uiPriority w:val="0"/>
    <w:rPr>
      <w:kern w:val="2"/>
      <w:sz w:val="18"/>
      <w:szCs w:val="18"/>
    </w:rPr>
  </w:style>
  <w:style w:type="character" w:customStyle="1" w:styleId="14">
    <w:name w:val="标题 1 字符"/>
    <w:link w:val="2"/>
    <w:qFormat/>
    <w:uiPriority w:val="0"/>
    <w:rPr>
      <w:b/>
      <w:bCs/>
      <w:kern w:val="44"/>
      <w:sz w:val="44"/>
      <w:szCs w:val="44"/>
    </w:rPr>
  </w:style>
  <w:style w:type="paragraph" w:customStyle="1" w:styleId="15">
    <w:name w:val="正文1"/>
    <w:basedOn w:val="1"/>
    <w:qFormat/>
    <w:uiPriority w:val="0"/>
    <w:pPr>
      <w:ind w:firstLine="420" w:firstLineChars="200"/>
    </w:pPr>
    <w:rPr>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EA83B-8138-47F9-9BC9-779B2DCA4A02}">
  <ds:schemaRefs/>
</ds:datastoreItem>
</file>

<file path=docProps/app.xml><?xml version="1.0" encoding="utf-8"?>
<Properties xmlns="http://schemas.openxmlformats.org/officeDocument/2006/extended-properties" xmlns:vt="http://schemas.openxmlformats.org/officeDocument/2006/docPropsVTypes">
  <Template>Normal.dotm</Template>
  <Pages>43</Pages>
  <Words>21332</Words>
  <Characters>30395</Characters>
  <Lines>269</Lines>
  <Paragraphs>75</Paragraphs>
  <TotalTime>53</TotalTime>
  <ScaleCrop>false</ScaleCrop>
  <LinksUpToDate>false</LinksUpToDate>
  <CharactersWithSpaces>32479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2024-04-05T12:59:00Z</dcterms:created>
  <dc:creator>lukeyoyo</dc:creator>
  <cp:lastModifiedBy>学海无涯(王艺博)</cp:lastModifiedBy>
  <dcterms:modified xsi:type="dcterms:W3CDTF">2026-05-26T09:20:09Z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33745453A69549B59CC2F159366E11F4_13</vt:lpwstr>
  </property>
  <property fmtid="{D5CDD505-2E9C-101B-9397-08002B2CF9AE}" pid="4" name="KSOTemplateDocerSaveRecord">
    <vt:lpwstr>eyJoZGlkIjoiMTFlYmZlYzAwYWVlYmYzYzVlYmUzZDQ4NzE4MjFmNDUiLCJ1c2VySWQiOiI3NzkzNDU5OTAifQ==</vt:lpwstr>
  </property>
</Properties>
</file>