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EAFD">
      <w:pPr>
        <w:rPr>
          <w:rFonts w:hint="eastAsia" w:ascii="黑体" w:hAnsi="宋体" w:eastAsia="黑体"/>
          <w:sz w:val="32"/>
          <w:szCs w:val="32"/>
        </w:rPr>
      </w:pPr>
    </w:p>
    <w:p w14:paraId="2C04EAFE">
      <w:pPr>
        <w:rPr>
          <w:rFonts w:hint="eastAsia" w:ascii="黑体" w:hAnsi="宋体" w:eastAsia="黑体"/>
          <w:sz w:val="32"/>
          <w:szCs w:val="32"/>
        </w:rPr>
      </w:pPr>
    </w:p>
    <w:p w14:paraId="2C04EAFF">
      <w:pPr>
        <w:rPr>
          <w:rFonts w:hint="eastAsia" w:ascii="黑体" w:hAnsi="宋体" w:eastAsia="黑体"/>
          <w:sz w:val="32"/>
          <w:szCs w:val="32"/>
        </w:rPr>
      </w:pPr>
    </w:p>
    <w:p w14:paraId="2C04EB00">
      <w:pPr>
        <w:jc w:val="center"/>
        <w:rPr>
          <w:rFonts w:hint="eastAsia" w:ascii="黑体" w:hAnsi="宋体" w:eastAsia="黑体"/>
          <w:b/>
          <w:sz w:val="52"/>
          <w:szCs w:val="52"/>
        </w:rPr>
      </w:pPr>
      <w:r>
        <w:rPr>
          <w:rFonts w:eastAsia="黑体"/>
          <w:b/>
          <w:sz w:val="52"/>
          <w:szCs w:val="52"/>
        </w:rPr>
        <w:t>202</w:t>
      </w:r>
      <w:r>
        <w:rPr>
          <w:rFonts w:hint="eastAsia" w:eastAsia="黑体"/>
          <w:b/>
          <w:sz w:val="52"/>
          <w:szCs w:val="52"/>
        </w:rPr>
        <w:t>5</w:t>
      </w:r>
      <w:r>
        <w:rPr>
          <w:rFonts w:hint="eastAsia" w:ascii="黑体" w:hAnsi="宋体" w:eastAsia="黑体"/>
          <w:b/>
          <w:sz w:val="52"/>
          <w:szCs w:val="52"/>
        </w:rPr>
        <w:t>年全国大学生信息安全竞赛</w:t>
      </w:r>
    </w:p>
    <w:p w14:paraId="2C04EB01">
      <w:pPr>
        <w:jc w:val="center"/>
        <w:rPr>
          <w:b/>
          <w:sz w:val="52"/>
          <w:szCs w:val="52"/>
        </w:rPr>
      </w:pPr>
      <w:r>
        <w:rPr>
          <w:rFonts w:hint="eastAsia" w:ascii="黑体" w:hAnsi="宋体" w:eastAsia="黑体"/>
          <w:b/>
          <w:sz w:val="52"/>
          <w:szCs w:val="52"/>
        </w:rPr>
        <w:t>作品报告</w:t>
      </w:r>
    </w:p>
    <w:p w14:paraId="2C04EB02">
      <w:pPr>
        <w:spacing w:line="360" w:lineRule="auto"/>
        <w:rPr>
          <w:rFonts w:hint="eastAsia" w:ascii="宋体" w:hAnsi="宋体"/>
          <w:sz w:val="24"/>
        </w:rPr>
      </w:pPr>
    </w:p>
    <w:p w14:paraId="2C04EB03">
      <w:pPr>
        <w:spacing w:line="360" w:lineRule="auto"/>
        <w:rPr>
          <w:rFonts w:hint="eastAsia" w:ascii="宋体" w:hAnsi="宋体"/>
          <w:sz w:val="24"/>
        </w:rPr>
      </w:pPr>
    </w:p>
    <w:p w14:paraId="2C04EB04">
      <w:pPr>
        <w:spacing w:line="360" w:lineRule="auto"/>
        <w:rPr>
          <w:rFonts w:hint="eastAsia" w:ascii="宋体" w:hAnsi="宋体"/>
          <w:sz w:val="24"/>
        </w:rPr>
      </w:pPr>
    </w:p>
    <w:p w14:paraId="2C04EB05">
      <w:pPr>
        <w:spacing w:line="360" w:lineRule="auto"/>
        <w:rPr>
          <w:rFonts w:hint="eastAsia" w:ascii="宋体" w:hAnsi="宋体"/>
          <w:sz w:val="24"/>
        </w:rPr>
      </w:pPr>
    </w:p>
    <w:p w14:paraId="2C04EB06">
      <w:pPr>
        <w:spacing w:line="360" w:lineRule="auto"/>
        <w:rPr>
          <w:rFonts w:hint="eastAsia" w:ascii="宋体" w:hAnsi="宋体"/>
          <w:sz w:val="24"/>
        </w:rPr>
      </w:pPr>
    </w:p>
    <w:p w14:paraId="2C04EB07">
      <w:pPr>
        <w:spacing w:line="360" w:lineRule="auto"/>
        <w:rPr>
          <w:rFonts w:hint="eastAsia" w:ascii="宋体" w:hAnsi="宋体"/>
          <w:sz w:val="24"/>
        </w:rPr>
      </w:pPr>
    </w:p>
    <w:p w14:paraId="2C04EB08">
      <w:pPr>
        <w:spacing w:line="360" w:lineRule="auto"/>
        <w:rPr>
          <w:rFonts w:hint="eastAsia" w:ascii="宋体" w:hAnsi="宋体"/>
          <w:sz w:val="24"/>
        </w:rPr>
      </w:pPr>
    </w:p>
    <w:p w14:paraId="2C04EB09">
      <w:pPr>
        <w:spacing w:line="360" w:lineRule="auto"/>
        <w:ind w:firstLine="0"/>
        <w:rPr>
          <w:rFonts w:hint="eastAsia" w:ascii="黑体" w:hAnsi="宋体" w:eastAsia="黑体"/>
          <w:b/>
          <w:sz w:val="32"/>
          <w:szCs w:val="32"/>
          <w:u w:val="single"/>
        </w:rPr>
      </w:pPr>
      <w:r>
        <w:rPr>
          <w:rFonts w:ascii="宋体" w:hAnsi="宋体" w:eastAsia="宋体"/>
          <w:b w:val="0"/>
          <w:sz w:val="24"/>
        </w:rPr>
        <w:t>作品名称：TransShield：面向动态词元剪枝的双向隐私安全推理系统</w:t>
      </w:r>
    </w:p>
    <w:p w14:paraId="2C04EB0A">
      <w:pPr>
        <w:spacing w:line="360" w:lineRule="auto"/>
        <w:ind w:firstLine="0"/>
        <w:rPr>
          <w:rFonts w:hint="eastAsia" w:ascii="黑体" w:hAnsi="宋体" w:eastAsia="黑体"/>
          <w:b/>
          <w:sz w:val="32"/>
          <w:szCs w:val="32"/>
        </w:rPr>
      </w:pPr>
      <w:r>
        <w:rPr>
          <w:rFonts w:ascii="宋体" w:hAnsi="宋体" w:eastAsia="宋体"/>
          <w:b w:val="0"/>
          <w:sz w:val="24"/>
        </w:rPr>
        <w:t>电子邮箱：待参赛团队补充</w:t>
      </w:r>
    </w:p>
    <w:p w14:paraId="2C04EB0B">
      <w:pPr>
        <w:spacing w:line="360" w:lineRule="auto"/>
        <w:ind w:firstLine="0"/>
        <w:rPr>
          <w:rFonts w:hint="eastAsia" w:ascii="宋体" w:hAnsi="宋体"/>
          <w:b/>
          <w:sz w:val="24"/>
        </w:rPr>
      </w:pPr>
      <w:r>
        <w:rPr>
          <w:rFonts w:ascii="宋体" w:hAnsi="宋体" w:eastAsia="宋体"/>
          <w:b w:val="0"/>
          <w:sz w:val="24"/>
        </w:rPr>
        <w:t>提交日期：2026年5月20日</w:t>
      </w:r>
    </w:p>
    <w:p w14:paraId="2C04EB0C">
      <w:pPr>
        <w:autoSpaceDE w:val="0"/>
        <w:autoSpaceDN w:val="0"/>
        <w:adjustRightInd w:val="0"/>
        <w:spacing w:line="360" w:lineRule="auto"/>
        <w:rPr>
          <w:rFonts w:hint="eastAsia" w:ascii="宋体" w:hAnsi="宋体" w:cs="DFKai-SB"/>
          <w:b/>
          <w:bCs/>
          <w:sz w:val="24"/>
        </w:rPr>
        <w:sectPr>
          <w:footerReference r:id="rId3" w:type="even"/>
          <w:pgSz w:w="11906" w:h="16838"/>
          <w:pgMar w:top="1440" w:right="1466" w:bottom="1440" w:left="1620" w:header="851" w:footer="992" w:gutter="0"/>
          <w:pgNumType w:fmt="decimalEnclosedCircle"/>
          <w:cols w:space="425" w:num="1"/>
          <w:docGrid w:type="lines" w:linePitch="312" w:charSpace="0"/>
        </w:sectPr>
      </w:pPr>
    </w:p>
    <w:p w14:paraId="2C04EB0D">
      <w:pPr>
        <w:adjustRightInd w:val="0"/>
        <w:snapToGrid w:val="0"/>
        <w:spacing w:line="360" w:lineRule="auto"/>
        <w:ind w:firstLine="0"/>
        <w:jc w:val="center"/>
        <w:rPr>
          <w:rFonts w:ascii="黑体" w:eastAsia="黑体"/>
          <w:bCs/>
          <w:sz w:val="32"/>
          <w:szCs w:val="32"/>
        </w:rPr>
      </w:pPr>
    </w:p>
    <w:p w14:paraId="2C04EB0E">
      <w:pPr>
        <w:autoSpaceDE w:val="0"/>
        <w:autoSpaceDN w:val="0"/>
        <w:adjustRightInd w:val="0"/>
        <w:spacing w:line="360" w:lineRule="auto"/>
        <w:ind w:firstLine="0"/>
        <w:rPr>
          <w:rFonts w:hint="eastAsia" w:ascii="宋体" w:hAnsi="宋体" w:cs="DFKai-SB"/>
          <w:bCs/>
          <w:sz w:val="24"/>
        </w:rPr>
      </w:pPr>
    </w:p>
    <w:p w14:paraId="2C04EB0F">
      <w:pPr>
        <w:autoSpaceDE w:val="0"/>
        <w:autoSpaceDN w:val="0"/>
        <w:adjustRightInd w:val="0"/>
        <w:spacing w:line="360" w:lineRule="auto"/>
        <w:ind w:firstLine="0"/>
        <w:rPr>
          <w:rFonts w:hint="eastAsia" w:ascii="宋体" w:hAnsi="宋体" w:cs="DFKai-SB"/>
          <w:bCs/>
          <w:sz w:val="24"/>
        </w:rPr>
      </w:pPr>
    </w:p>
    <w:p w14:paraId="2C04EB10">
      <w:pPr>
        <w:autoSpaceDE w:val="0"/>
        <w:autoSpaceDN w:val="0"/>
        <w:adjustRightInd w:val="0"/>
        <w:spacing w:line="360" w:lineRule="auto"/>
        <w:ind w:firstLine="0"/>
        <w:rPr>
          <w:rFonts w:hint="eastAsia" w:ascii="宋体" w:hAnsi="宋体" w:cs="DFKai-SB"/>
          <w:bCs/>
          <w:sz w:val="24"/>
        </w:rPr>
      </w:pPr>
    </w:p>
    <w:p w14:paraId="2C04EB11">
      <w:pPr>
        <w:autoSpaceDE w:val="0"/>
        <w:autoSpaceDN w:val="0"/>
        <w:adjustRightInd w:val="0"/>
        <w:spacing w:line="360" w:lineRule="auto"/>
        <w:ind w:firstLine="0"/>
        <w:rPr>
          <w:rFonts w:hint="eastAsia" w:ascii="宋体" w:hAnsi="宋体" w:cs="DFKai-SB"/>
          <w:bCs/>
          <w:sz w:val="24"/>
        </w:rPr>
      </w:pPr>
    </w:p>
    <w:p w14:paraId="2C04EB12">
      <w:pPr>
        <w:autoSpaceDE w:val="0"/>
        <w:autoSpaceDN w:val="0"/>
        <w:adjustRightInd w:val="0"/>
        <w:spacing w:line="360" w:lineRule="auto"/>
        <w:ind w:firstLine="0"/>
        <w:rPr>
          <w:rFonts w:hint="eastAsia" w:ascii="宋体" w:hAnsi="宋体" w:cs="DFKai-SB"/>
          <w:bCs/>
          <w:sz w:val="24"/>
        </w:rPr>
      </w:pPr>
    </w:p>
    <w:p w14:paraId="2C04EB13">
      <w:pPr>
        <w:autoSpaceDE w:val="0"/>
        <w:autoSpaceDN w:val="0"/>
        <w:adjustRightInd w:val="0"/>
        <w:spacing w:line="360" w:lineRule="auto"/>
        <w:rPr>
          <w:rFonts w:hint="eastAsia" w:ascii="宋体" w:hAnsi="宋体" w:cs="DFKai-SB"/>
          <w:bCs/>
          <w:sz w:val="24"/>
        </w:rPr>
      </w:pPr>
    </w:p>
    <w:p w14:paraId="2C04EB14">
      <w:pPr>
        <w:autoSpaceDE w:val="0"/>
        <w:autoSpaceDN w:val="0"/>
        <w:adjustRightInd w:val="0"/>
        <w:spacing w:line="360" w:lineRule="auto"/>
        <w:rPr>
          <w:rFonts w:hint="eastAsia" w:ascii="宋体" w:hAnsi="宋体" w:cs="DFKai-SB"/>
          <w:bCs/>
          <w:sz w:val="24"/>
        </w:rPr>
      </w:pPr>
    </w:p>
    <w:p w14:paraId="2C04EB15">
      <w:pPr>
        <w:autoSpaceDE w:val="0"/>
        <w:autoSpaceDN w:val="0"/>
        <w:adjustRightInd w:val="0"/>
        <w:spacing w:line="360" w:lineRule="auto"/>
        <w:rPr>
          <w:rFonts w:hint="eastAsia" w:ascii="宋体" w:hAnsi="宋体" w:cs="DFKai-SB"/>
          <w:bCs/>
          <w:sz w:val="24"/>
        </w:rPr>
      </w:pPr>
    </w:p>
    <w:p w14:paraId="2C04EB16">
      <w:pPr>
        <w:autoSpaceDE w:val="0"/>
        <w:autoSpaceDN w:val="0"/>
        <w:adjustRightInd w:val="0"/>
        <w:spacing w:line="360" w:lineRule="auto"/>
        <w:rPr>
          <w:rFonts w:hint="eastAsia" w:ascii="宋体" w:hAnsi="宋体" w:cs="DFKai-SB"/>
          <w:bCs/>
          <w:sz w:val="24"/>
        </w:rPr>
      </w:pPr>
    </w:p>
    <w:p w14:paraId="2C04EB17">
      <w:pPr>
        <w:autoSpaceDE w:val="0"/>
        <w:autoSpaceDN w:val="0"/>
        <w:adjustRightInd w:val="0"/>
        <w:spacing w:line="360" w:lineRule="auto"/>
        <w:rPr>
          <w:rFonts w:hint="eastAsia" w:ascii="宋体" w:hAnsi="宋体" w:cs="DFKai-SB"/>
          <w:bCs/>
          <w:sz w:val="24"/>
        </w:rPr>
        <w:sectPr>
          <w:pgSz w:w="11906" w:h="16838"/>
          <w:pgMar w:top="1440" w:right="1466" w:bottom="1440" w:left="1620" w:header="851" w:footer="992" w:gutter="0"/>
          <w:pgNumType w:fmt="decimalEnclosedCircle"/>
          <w:cols w:space="425" w:num="1"/>
          <w:docGrid w:type="lines" w:linePitch="312" w:charSpace="0"/>
        </w:sectPr>
      </w:pPr>
    </w:p>
    <w:p w14:paraId="2C04EB18">
      <w:pPr>
        <w:autoSpaceDE w:val="0"/>
        <w:autoSpaceDN w:val="0"/>
        <w:adjustRightInd w:val="0"/>
        <w:spacing w:line="360" w:lineRule="auto"/>
        <w:jc w:val="center"/>
        <w:rPr>
          <w:rFonts w:hint="eastAsia" w:ascii="黑体" w:hAnsi="宋体" w:eastAsia="黑体" w:cs="DFKai-SB"/>
          <w:b/>
          <w:bCs/>
          <w:sz w:val="32"/>
          <w:szCs w:val="32"/>
        </w:rPr>
      </w:pPr>
      <w:r>
        <w:rPr>
          <w:rFonts w:hint="eastAsia" w:ascii="黑体" w:hAnsi="宋体" w:eastAsia="黑体" w:cs="DFKai-SB"/>
          <w:b/>
          <w:bCs/>
          <w:sz w:val="32"/>
          <w:szCs w:val="32"/>
        </w:rPr>
        <w:t>目     录</w:t>
      </w:r>
    </w:p>
    <w:p>
      <w:pPr>
        <w:pStyle w:val="2"/>
        <w:ind w:firstLine="0"/>
        <w:jc w:val="center"/>
      </w:pPr>
      <w:r>
        <w:rPr>
          <w:rFonts w:ascii="黑体" w:hAnsi="黑体" w:eastAsia="黑体"/>
          <w:b/>
          <w:sz w:val="44"/>
        </w:rPr>
        <w:t>摘要</w:t>
      </w:r>
    </w:p>
    <w:p>
      <w:pPr>
        <w:spacing w:line="360" w:lineRule="auto"/>
        <w:ind w:firstLine="480"/>
      </w:pPr>
      <w:r>
        <w:rPr>
          <w:rFonts w:ascii="宋体" w:hAnsi="宋体" w:eastAsia="宋体"/>
          <w:b w:val="0"/>
          <w:sz w:val="24"/>
        </w:rPr>
        <w:t>本作品面向医院侧数据与人工智能公司侧模型参数同时敏感的协同推理场景，构建了一套可运行、可验证、可交付的双向隐私安全推理系统。针对传统单向隐私保护难以同时满足数据合规与模型知识产权保护的矛盾，本作品以动态视觉 Transformer（DynamicViT）为载体，对动态词元剪枝边界进行协议友好重写，将原始模型中的删除式决策改写为基于安全比较与安全选择的密态可执行语义，并在不引入额外可信第三方的前提下完成两方安全计算（two-party computation, 2PC）原型落地。</w:t>
      </w:r>
    </w:p>
    <w:p>
      <w:pPr>
        <w:spacing w:line="360" w:lineRule="auto"/>
        <w:ind w:firstLine="480"/>
      </w:pPr>
      <w:r>
        <w:rPr>
          <w:rFonts w:ascii="宋体" w:hAnsi="宋体" w:eastAsia="宋体"/>
          <w:b w:val="0"/>
          <w:sz w:val="24"/>
        </w:rPr>
        <w:t>区别于只验证密态推理链路可执行性的演示原型，本作品在浏览器前端与服务端之间补充了轻量控制面闭环：浏览器工作线程（Web Worker）负责本地数据质量评估、审计哈希链与小端序（little-endian）分片序列化；服务端在进入安全处理器单元（Secure Processing Unit, SPU）密态前向计算前，统一完成多部件报文预检、结构化元数据字节长度门、分片哈希校验、非有限数与次正规数阻断、服务端数据质量复核及审计落盘。该闭环使系统不再默认输入天然可信，而是将协议层、解析层、张量层与审计层组织为一条可验证的风险控制链。</w:t>
      </w:r>
    </w:p>
    <w:p>
      <w:pPr>
        <w:spacing w:line="360" w:lineRule="auto"/>
        <w:ind w:firstLine="480"/>
      </w:pPr>
      <w:r>
        <w:rPr>
          <w:rFonts w:ascii="宋体" w:hAnsi="宋体" w:eastAsia="宋体"/>
          <w:b w:val="0"/>
          <w:sz w:val="24"/>
        </w:rPr>
        <w:t>本作品的正式交付场景为医疗影像隐私推理：在 524 张全量验证集样本上取得 92.7481% 的阈值精度，较同仓固定结构静态对照线提升 0.7634 个百分点；与未经安全化边界重写的原始 DynamicViT 相比，阈值精度提升 17.3664 个百分点。端到端双向隐私原型在 32 条部署验证样本上的平均时延为 89.06 秒/样本，双向总通信量为 84.47 GiB。金融任务仅作为边界压力验证，不作为第二正式主线；当前 8 条压力样本与明文参考逐样本一致，平均时延为 106.16 秒/样本。此外，本作品围绕协议层异常输入、重放与并发探针已补充 17 类黑盒验证证据，用于支撑安全边界与可服务性说明。</w:t>
      </w:r>
    </w:p>
    <w:p>
      <w:pPr>
        <w:pStyle w:val="2"/>
        <w:ind w:firstLine="0"/>
        <w:jc w:val="center"/>
      </w:pPr>
      <w:r>
        <w:rPr>
          <w:rFonts w:ascii="黑体" w:hAnsi="黑体" w:eastAsia="黑体"/>
          <w:b/>
          <w:sz w:val="44"/>
        </w:rPr>
        <w:t>第一章 作品概述</w:t>
      </w:r>
    </w:p>
    <w:p>
      <w:pPr>
        <w:spacing w:line="360" w:lineRule="auto"/>
        <w:ind w:firstLine="0"/>
      </w:pPr>
      <w:r>
        <w:rPr>
          <w:rFonts w:ascii="黑体" w:hAnsi="黑体" w:eastAsia="黑体"/>
          <w:b/>
          <w:sz w:val="24"/>
        </w:rPr>
        <w:t>1.1 背景与目标</w:t>
      </w:r>
    </w:p>
    <w:p>
      <w:pPr>
        <w:spacing w:line="360" w:lineRule="auto"/>
        <w:ind w:firstLine="480"/>
      </w:pPr>
      <w:r>
        <w:rPr>
          <w:rFonts w:ascii="宋体" w:hAnsi="宋体" w:eastAsia="宋体"/>
          <w:b w:val="0"/>
          <w:sz w:val="24"/>
        </w:rPr>
        <w:t>在医疗、金融等高敏感场景中，数据使用方通常不愿以明文形式交出原始数据，模型提供方也不愿直接暴露明文模型参数。单向隐私保护机制难以同时满足双方诉求：只强调输入侧保护会暴露模型知识产权，只强调模型侧保护则会引发数据合规风险。进一步地，若模型采用按样本动态变化的剪枝路径，则依赖明文删除、阈值比较和变长前向结构的决策链很难直接迁入安全计算图，这也是许多安全推理系统被迫退化为固定结构模型的重要原因。</w:t>
      </w:r>
    </w:p>
    <w:p>
      <w:pPr>
        <w:spacing w:line="360" w:lineRule="auto"/>
        <w:ind w:firstLine="480"/>
      </w:pPr>
      <w:r>
        <w:rPr>
          <w:rFonts w:ascii="宋体" w:hAnsi="宋体" w:eastAsia="宋体"/>
          <w:b w:val="0"/>
          <w:sz w:val="24"/>
        </w:rPr>
        <w:t>本作品的设计目标不是单纯提升胸片分类精度，而是在双向隐私前提下保留动态剪枝能力，并将其落实到可运行的工程系统中。为此，本作品选择动态词元剪枝视觉 Transformer 方法 DynamicViT 作为主要载体，围绕词元打分、阈值比较、保留决策与安全执行语义之间的映射关系，完成从模型结构、协议路径到前后端控制面的联动设计。</w:t>
      </w:r>
    </w:p>
    <w:p>
      <w:pPr>
        <w:spacing w:line="360" w:lineRule="auto"/>
        <w:ind w:firstLine="0"/>
      </w:pPr>
      <w:r>
        <w:rPr>
          <w:rFonts w:ascii="黑体" w:hAnsi="黑体" w:eastAsia="黑体"/>
          <w:b/>
          <w:sz w:val="24"/>
        </w:rPr>
        <w:t>1.2 应用场景与交付边界</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20"/>
              </w:rPr>
              <w:t>部分</w:t>
            </w:r>
          </w:p>
        </w:tc>
        <w:tc>
          <w:tcPr>
            <w:tcW w:type="dxa" w:w="2940"/>
          </w:tcPr>
          <w:p>
            <w:pPr>
              <w:jc w:val="center"/>
            </w:pPr>
            <w:r/>
            <w:r>
              <w:rPr>
                <w:rFonts w:ascii="宋体" w:hAnsi="宋体" w:eastAsia="宋体"/>
                <w:b/>
                <w:sz w:val="20"/>
              </w:rPr>
              <w:t>当前定位</w:t>
            </w:r>
          </w:p>
        </w:tc>
        <w:tc>
          <w:tcPr>
            <w:tcW w:type="dxa" w:w="2940"/>
          </w:tcPr>
          <w:p>
            <w:pPr>
              <w:jc w:val="center"/>
            </w:pPr>
            <w:r/>
            <w:r>
              <w:rPr>
                <w:rFonts w:ascii="宋体" w:hAnsi="宋体" w:eastAsia="宋体"/>
                <w:b/>
                <w:sz w:val="20"/>
              </w:rPr>
              <w:t>报告口径</w:t>
            </w:r>
          </w:p>
        </w:tc>
      </w:tr>
      <w:tr>
        <w:tc>
          <w:tcPr>
            <w:tcW w:type="dxa" w:w="2940"/>
          </w:tcPr>
          <w:p>
            <w:r/>
            <w:r>
              <w:rPr>
                <w:rFonts w:ascii="宋体" w:hAnsi="宋体" w:eastAsia="宋体"/>
                <w:b w:val="0"/>
                <w:sz w:val="20"/>
              </w:rPr>
              <w:t>医疗影像</w:t>
            </w:r>
          </w:p>
        </w:tc>
        <w:tc>
          <w:tcPr>
            <w:tcW w:type="dxa" w:w="2940"/>
          </w:tcPr>
          <w:p>
            <w:r/>
            <w:r>
              <w:rPr>
                <w:rFonts w:ascii="宋体" w:hAnsi="宋体" w:eastAsia="宋体"/>
                <w:b w:val="0"/>
                <w:sz w:val="20"/>
              </w:rPr>
              <w:t>唯一正式交付场景</w:t>
            </w:r>
          </w:p>
        </w:tc>
        <w:tc>
          <w:tcPr>
            <w:tcW w:type="dxa" w:w="2940"/>
          </w:tcPr>
          <w:p>
            <w:r/>
            <w:r>
              <w:rPr>
                <w:rFonts w:ascii="宋体" w:hAnsi="宋体" w:eastAsia="宋体"/>
                <w:b w:val="0"/>
                <w:sz w:val="20"/>
              </w:rPr>
              <w:t>动态安全剪枝与双向隐私推理；524 张验证集阈值精度 92.7481%；32 条样本平均时延 89.06 秒/样本</w:t>
            </w:r>
          </w:p>
        </w:tc>
      </w:tr>
      <w:tr>
        <w:tc>
          <w:tcPr>
            <w:tcW w:type="dxa" w:w="2940"/>
          </w:tcPr>
          <w:p>
            <w:r/>
            <w:r>
              <w:rPr>
                <w:rFonts w:ascii="宋体" w:hAnsi="宋体" w:eastAsia="宋体"/>
                <w:b w:val="0"/>
                <w:sz w:val="20"/>
              </w:rPr>
              <w:t>金融欺诈图像化编码</w:t>
            </w:r>
          </w:p>
        </w:tc>
        <w:tc>
          <w:tcPr>
            <w:tcW w:type="dxa" w:w="2940"/>
          </w:tcPr>
          <w:p>
            <w:r/>
            <w:r>
              <w:rPr>
                <w:rFonts w:ascii="宋体" w:hAnsi="宋体" w:eastAsia="宋体"/>
                <w:b w:val="0"/>
                <w:sz w:val="20"/>
              </w:rPr>
              <w:t>边界压力验证场景</w:t>
            </w:r>
          </w:p>
        </w:tc>
        <w:tc>
          <w:tcPr>
            <w:tcW w:type="dxa" w:w="2940"/>
          </w:tcPr>
          <w:p>
            <w:r/>
            <w:r>
              <w:rPr>
                <w:rFonts w:ascii="宋体" w:hAnsi="宋体" w:eastAsia="宋体"/>
                <w:b w:val="0"/>
                <w:sz w:val="20"/>
              </w:rPr>
              <w:t>用于验证极端分布输入下的动态路由稳定性；8/8 一致；平均时延 106.16 秒/样本；参数保留 68.39%</w:t>
            </w:r>
          </w:p>
        </w:tc>
      </w:tr>
      <w:tr>
        <w:tc>
          <w:tcPr>
            <w:tcW w:type="dxa" w:w="2940"/>
          </w:tcPr>
          <w:p>
            <w:r/>
            <w:r>
              <w:rPr>
                <w:rFonts w:ascii="宋体" w:hAnsi="宋体" w:eastAsia="宋体"/>
                <w:b w:val="0"/>
                <w:sz w:val="20"/>
              </w:rPr>
              <w:t>前后端控制面</w:t>
            </w:r>
          </w:p>
        </w:tc>
        <w:tc>
          <w:tcPr>
            <w:tcW w:type="dxa" w:w="2940"/>
          </w:tcPr>
          <w:p>
            <w:r/>
            <w:r>
              <w:rPr>
                <w:rFonts w:ascii="宋体" w:hAnsi="宋体" w:eastAsia="宋体"/>
                <w:b w:val="0"/>
                <w:sz w:val="20"/>
              </w:rPr>
              <w:t>系统闭环组成</w:t>
            </w:r>
          </w:p>
        </w:tc>
        <w:tc>
          <w:tcPr>
            <w:tcW w:type="dxa" w:w="2940"/>
          </w:tcPr>
          <w:p>
            <w:r/>
            <w:r>
              <w:rPr>
                <w:rFonts w:ascii="宋体" w:hAnsi="宋体" w:eastAsia="宋体"/>
                <w:b w:val="0"/>
                <w:sz w:val="20"/>
              </w:rPr>
              <w:t>浏览器工作线程、本地数据质量评估、服务端权威快检、审计哈希链与审计落盘</w:t>
            </w:r>
          </w:p>
        </w:tc>
      </w:tr>
    </w:tbl>
    <w:p>
      <w:pPr>
        <w:spacing w:line="360" w:lineRule="auto"/>
        <w:ind w:firstLine="0"/>
      </w:pPr>
      <w:r>
        <w:rPr>
          <w:rFonts w:ascii="黑体" w:hAnsi="黑体" w:eastAsia="黑体"/>
          <w:b/>
          <w:sz w:val="24"/>
        </w:rPr>
        <w:t>1.3 核心贡献</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20"/>
              </w:rPr>
              <w:t>维度</w:t>
            </w:r>
          </w:p>
        </w:tc>
        <w:tc>
          <w:tcPr>
            <w:tcW w:type="dxa" w:w="2940"/>
          </w:tcPr>
          <w:p>
            <w:pPr>
              <w:jc w:val="center"/>
            </w:pPr>
            <w:r/>
            <w:r>
              <w:rPr>
                <w:rFonts w:ascii="宋体" w:hAnsi="宋体" w:eastAsia="宋体"/>
                <w:b/>
                <w:sz w:val="20"/>
              </w:rPr>
              <w:t>核心贡献</w:t>
            </w:r>
          </w:p>
        </w:tc>
        <w:tc>
          <w:tcPr>
            <w:tcW w:type="dxa" w:w="2940"/>
          </w:tcPr>
          <w:p>
            <w:pPr>
              <w:jc w:val="center"/>
            </w:pPr>
            <w:r/>
            <w:r>
              <w:rPr>
                <w:rFonts w:ascii="宋体" w:hAnsi="宋体" w:eastAsia="宋体"/>
                <w:b/>
                <w:sz w:val="20"/>
              </w:rPr>
              <w:t>直接作用</w:t>
            </w:r>
          </w:p>
        </w:tc>
      </w:tr>
      <w:tr>
        <w:tc>
          <w:tcPr>
            <w:tcW w:type="dxa" w:w="2940"/>
          </w:tcPr>
          <w:p>
            <w:r/>
            <w:r>
              <w:rPr>
                <w:rFonts w:ascii="宋体" w:hAnsi="宋体" w:eastAsia="宋体"/>
                <w:b w:val="0"/>
                <w:sz w:val="20"/>
              </w:rPr>
              <w:t>算法层</w:t>
            </w:r>
          </w:p>
        </w:tc>
        <w:tc>
          <w:tcPr>
            <w:tcW w:type="dxa" w:w="2940"/>
          </w:tcPr>
          <w:p>
            <w:r/>
            <w:r>
              <w:rPr>
                <w:rFonts w:ascii="宋体" w:hAnsi="宋体" w:eastAsia="宋体"/>
                <w:b w:val="0"/>
                <w:sz w:val="20"/>
              </w:rPr>
              <w:t>将 DynamicViT 的删除式词元剪枝改写为安全比较与安全选择语义</w:t>
            </w:r>
          </w:p>
        </w:tc>
        <w:tc>
          <w:tcPr>
            <w:tcW w:type="dxa" w:w="2940"/>
          </w:tcPr>
          <w:p>
            <w:r/>
            <w:r>
              <w:rPr>
                <w:rFonts w:ascii="宋体" w:hAnsi="宋体" w:eastAsia="宋体"/>
                <w:b w:val="0"/>
                <w:sz w:val="20"/>
              </w:rPr>
              <w:t>使动态剪枝不退化为固定结构安全推理</w:t>
            </w:r>
          </w:p>
        </w:tc>
      </w:tr>
      <w:tr>
        <w:tc>
          <w:tcPr>
            <w:tcW w:type="dxa" w:w="2940"/>
          </w:tcPr>
          <w:p>
            <w:r/>
            <w:r>
              <w:rPr>
                <w:rFonts w:ascii="宋体" w:hAnsi="宋体" w:eastAsia="宋体"/>
                <w:b w:val="0"/>
                <w:sz w:val="20"/>
              </w:rPr>
              <w:t>系统层</w:t>
            </w:r>
          </w:p>
        </w:tc>
        <w:tc>
          <w:tcPr>
            <w:tcW w:type="dxa" w:w="2940"/>
          </w:tcPr>
          <w:p>
            <w:r/>
            <w:r>
              <w:rPr>
                <w:rFonts w:ascii="宋体" w:hAnsi="宋体" w:eastAsia="宋体"/>
                <w:b w:val="0"/>
                <w:sz w:val="20"/>
              </w:rPr>
              <w:t>构建数据方与模型方双向隐私的 2PC 推理链路，并将动态剪枝预测器 PredictorLG 保留在安全执行域内</w:t>
            </w:r>
          </w:p>
        </w:tc>
        <w:tc>
          <w:tcPr>
            <w:tcW w:type="dxa" w:w="2940"/>
          </w:tcPr>
          <w:p>
            <w:r/>
            <w:r>
              <w:rPr>
                <w:rFonts w:ascii="宋体" w:hAnsi="宋体" w:eastAsia="宋体"/>
                <w:b w:val="0"/>
                <w:sz w:val="20"/>
              </w:rPr>
              <w:t>同时保护输入数据、模型参数与动态决策状态</w:t>
            </w:r>
          </w:p>
        </w:tc>
      </w:tr>
      <w:tr>
        <w:tc>
          <w:tcPr>
            <w:tcW w:type="dxa" w:w="2940"/>
          </w:tcPr>
          <w:p>
            <w:r/>
            <w:r>
              <w:rPr>
                <w:rFonts w:ascii="宋体" w:hAnsi="宋体" w:eastAsia="宋体"/>
                <w:b w:val="0"/>
                <w:sz w:val="20"/>
              </w:rPr>
              <w:t>工程层</w:t>
            </w:r>
          </w:p>
        </w:tc>
        <w:tc>
          <w:tcPr>
            <w:tcW w:type="dxa" w:w="2940"/>
          </w:tcPr>
          <w:p>
            <w:r/>
            <w:r>
              <w:rPr>
                <w:rFonts w:ascii="宋体" w:hAnsi="宋体" w:eastAsia="宋体"/>
                <w:b w:val="0"/>
                <w:sz w:val="20"/>
              </w:rPr>
              <w:t>补齐浏览器工作线程、服务端权威快检、审计哈希链、协议异常输入验证与复现脚本</w:t>
            </w:r>
          </w:p>
        </w:tc>
        <w:tc>
          <w:tcPr>
            <w:tcW w:type="dxa" w:w="2940"/>
          </w:tcPr>
          <w:p>
            <w:r/>
            <w:r>
              <w:rPr>
                <w:rFonts w:ascii="宋体" w:hAnsi="宋体" w:eastAsia="宋体"/>
                <w:b w:val="0"/>
                <w:sz w:val="20"/>
              </w:rPr>
              <w:t>使报告叙述与代码实现、测试证据保持一致</w:t>
            </w:r>
          </w:p>
        </w:tc>
      </w:tr>
    </w:tbl>
    <w:p>
      <w:pPr>
        <w:pStyle w:val="2"/>
        <w:ind w:firstLine="0"/>
        <w:jc w:val="center"/>
      </w:pPr>
      <w:r>
        <w:rPr>
          <w:rFonts w:ascii="黑体" w:hAnsi="黑体" w:eastAsia="黑体"/>
          <w:b/>
          <w:sz w:val="44"/>
        </w:rPr>
        <w:t>第二章 系统设计</w:t>
      </w:r>
    </w:p>
    <w:p>
      <w:pPr>
        <w:spacing w:line="360" w:lineRule="auto"/>
        <w:ind w:firstLine="0"/>
      </w:pPr>
      <w:r>
        <w:rPr>
          <w:rFonts w:ascii="黑体" w:hAnsi="黑体" w:eastAsia="黑体"/>
          <w:b/>
          <w:sz w:val="24"/>
        </w:rPr>
        <w:t>2.1 总体架构</w:t>
      </w:r>
    </w:p>
    <w:p>
      <w:pPr>
        <w:spacing w:line="360" w:lineRule="auto"/>
        <w:ind w:firstLine="480"/>
      </w:pPr>
      <w:r>
        <w:rPr>
          <w:rFonts w:ascii="宋体" w:hAnsi="宋体" w:eastAsia="宋体"/>
          <w:b w:val="0"/>
          <w:sz w:val="24"/>
        </w:rPr>
        <w:t>系统由医院终端、本地浏览器工作线程、跨域传输通道、业务侧前置网关、服务端权威快检层和两方安全执行域共同组成。明文图像仅在浏览器工作线程中完成解码、裁剪、归一化、数据质量评估与分片生成，跨越信任边界后仅传输密态分片（share）、结构化元数据和审计摘要；服务端在进入 SPU 计算前完成协议与张量合法性检查，随后由两方安全执行链路联合输出最终分类结果。</w:t>
      </w:r>
    </w:p>
    <w:p>
      <w:pPr>
        <w:spacing w:line="360" w:lineRule="auto"/>
        <w:ind w:firstLine="480"/>
      </w:pPr>
      <w:r>
        <w:rPr>
          <w:rFonts w:ascii="宋体" w:hAnsi="宋体" w:eastAsia="宋体"/>
          <w:b w:val="0"/>
          <w:sz w:val="24"/>
        </w:rPr>
        <w:t>图 2-1 采用按信任边界分区的部署拓扑：左侧为医院终端与本地明文处理域，中间为广域网与隔离缓冲区（wide area network / demilitarized zone, WAN/DMZ）传输边界，右侧为业务侧前置网关、服务端权威快检层与参与方安全执行域。图中显式标注了明文终止点和密态分片生成起点，并以差异化图例区分本地明文处理与跨边界密态通信。</w:t>
      </w:r>
    </w:p>
    <w:p>
      <w:pPr>
        <w:spacing w:line="360" w:lineRule="auto"/>
        <w:ind w:firstLine="0"/>
        <w:jc w:val="center"/>
      </w:pPr>
      <w:r>
        <w:drawing>
          <wp:inline xmlns:a="http://schemas.openxmlformats.org/drawingml/2006/main" xmlns:pic="http://schemas.openxmlformats.org/drawingml/2006/picture">
            <wp:extent cx="5852160" cy="4683398"/>
            <wp:docPr id="1" name="Picture 1"/>
            <wp:cNvGraphicFramePr>
              <a:graphicFrameLocks noChangeAspect="1"/>
            </wp:cNvGraphicFramePr>
            <a:graphic>
              <a:graphicData uri="http://schemas.openxmlformats.org/drawingml/2006/picture">
                <pic:pic>
                  <pic:nvPicPr>
                    <pic:cNvPr id="0" name="system_trust_boundary_topology.png"/>
                    <pic:cNvPicPr/>
                  </pic:nvPicPr>
                  <pic:blipFill>
                    <a:blip r:embed="rId11"/>
                    <a:stretch>
                      <a:fillRect/>
                    </a:stretch>
                  </pic:blipFill>
                  <pic:spPr>
                    <a:xfrm>
                      <a:off x="0" y="0"/>
                      <a:ext cx="5852160" cy="4683398"/>
                    </a:xfrm>
                    <a:prstGeom prst="rect"/>
                  </pic:spPr>
                </pic:pic>
              </a:graphicData>
            </a:graphic>
          </wp:inline>
        </w:drawing>
      </w:r>
    </w:p>
    <w:p>
      <w:pPr>
        <w:spacing w:line="288"/>
        <w:ind w:firstLine="0"/>
        <w:jc w:val="center"/>
      </w:pPr>
      <w:r>
        <w:rPr>
          <w:rFonts w:ascii="宋体" w:hAnsi="宋体" w:eastAsia="宋体"/>
          <w:b w:val="0"/>
          <w:sz w:val="20"/>
        </w:rPr>
        <w:t>图2-1 系统物理与逻辑部署图：绿色实线表示本地明文处理，红色虚线与锁图标表示跨越信任边界的密态分片与张量通信。</w:t>
      </w:r>
    </w:p>
    <w:p>
      <w:pPr>
        <w:spacing w:line="360" w:lineRule="auto"/>
        <w:ind w:firstLine="0"/>
      </w:pPr>
      <w:r>
        <w:rPr>
          <w:rFonts w:ascii="黑体" w:hAnsi="黑体" w:eastAsia="黑体"/>
          <w:b/>
          <w:sz w:val="24"/>
        </w:rPr>
        <w:t>2.2 威胁模型与安全边界</w:t>
      </w:r>
    </w:p>
    <w:tbl>
      <w:tblPr>
        <w:tblW w:type="auto" w:w="0"/>
        <w:tblLook w:firstColumn="1" w:firstRow="1" w:lastColumn="0" w:lastRow="0" w:noHBand="0" w:noVBand="1" w:val="04A0"/>
      </w:tblPr>
      <w:tblGrid>
        <w:gridCol w:w="4410"/>
        <w:gridCol w:w="4410"/>
      </w:tblGrid>
      <w:tr>
        <w:tc>
          <w:tcPr>
            <w:tcW w:type="dxa" w:w="4410"/>
          </w:tcPr>
          <w:p>
            <w:pPr>
              <w:jc w:val="center"/>
            </w:pPr>
            <w:r/>
            <w:r>
              <w:rPr>
                <w:rFonts w:ascii="宋体" w:hAnsi="宋体" w:eastAsia="宋体"/>
                <w:b/>
                <w:sz w:val="20"/>
              </w:rPr>
              <w:t>项目</w:t>
            </w:r>
          </w:p>
        </w:tc>
        <w:tc>
          <w:tcPr>
            <w:tcW w:type="dxa" w:w="4410"/>
          </w:tcPr>
          <w:p>
            <w:pPr>
              <w:jc w:val="center"/>
            </w:pPr>
            <w:r/>
            <w:r>
              <w:rPr>
                <w:rFonts w:ascii="宋体" w:hAnsi="宋体" w:eastAsia="宋体"/>
                <w:b/>
                <w:sz w:val="20"/>
              </w:rPr>
              <w:t>说明</w:t>
            </w:r>
          </w:p>
        </w:tc>
      </w:tr>
      <w:tr>
        <w:tc>
          <w:tcPr>
            <w:tcW w:type="dxa" w:w="4410"/>
          </w:tcPr>
          <w:p>
            <w:r/>
            <w:r>
              <w:rPr>
                <w:rFonts w:ascii="宋体" w:hAnsi="宋体" w:eastAsia="宋体"/>
                <w:b w:val="0"/>
                <w:sz w:val="20"/>
              </w:rPr>
              <w:t>保护对象</w:t>
            </w:r>
          </w:p>
        </w:tc>
        <w:tc>
          <w:tcPr>
            <w:tcW w:type="dxa" w:w="4410"/>
          </w:tcPr>
          <w:p>
            <w:r/>
            <w:r>
              <w:rPr>
                <w:rFonts w:ascii="宋体" w:hAnsi="宋体" w:eastAsia="宋体"/>
                <w:b w:val="0"/>
                <w:sz w:val="20"/>
              </w:rPr>
              <w:t>用户输入数据、模型参数、中间动态决策状态、审计与控制面证据</w:t>
            </w:r>
          </w:p>
        </w:tc>
      </w:tr>
      <w:tr>
        <w:tc>
          <w:tcPr>
            <w:tcW w:type="dxa" w:w="4410"/>
          </w:tcPr>
          <w:p>
            <w:r/>
            <w:r>
              <w:rPr>
                <w:rFonts w:ascii="宋体" w:hAnsi="宋体" w:eastAsia="宋体"/>
                <w:b w:val="0"/>
                <w:sz w:val="20"/>
              </w:rPr>
              <w:t>参与方</w:t>
            </w:r>
          </w:p>
        </w:tc>
        <w:tc>
          <w:tcPr>
            <w:tcW w:type="dxa" w:w="4410"/>
          </w:tcPr>
          <w:p>
            <w:r/>
            <w:r>
              <w:rPr>
                <w:rFonts w:ascii="宋体" w:hAnsi="宋体" w:eastAsia="宋体"/>
                <w:b w:val="0"/>
                <w:sz w:val="20"/>
              </w:rPr>
              <w:t>医院终端浏览器、浏览器工作线程、业务侧前置网关、服务端快检模块、两方 SPU 节点</w:t>
            </w:r>
          </w:p>
        </w:tc>
      </w:tr>
      <w:tr>
        <w:tc>
          <w:tcPr>
            <w:tcW w:type="dxa" w:w="4410"/>
          </w:tcPr>
          <w:p>
            <w:r/>
            <w:r>
              <w:rPr>
                <w:rFonts w:ascii="宋体" w:hAnsi="宋体" w:eastAsia="宋体"/>
                <w:b w:val="0"/>
                <w:sz w:val="20"/>
              </w:rPr>
              <w:t>攻击者能力</w:t>
            </w:r>
          </w:p>
        </w:tc>
        <w:tc>
          <w:tcPr>
            <w:tcW w:type="dxa" w:w="4410"/>
          </w:tcPr>
          <w:p>
            <w:r/>
            <w:r>
              <w:rPr>
                <w:rFonts w:ascii="宋体" w:hAnsi="宋体" w:eastAsia="宋体"/>
                <w:b w:val="0"/>
                <w:sz w:val="20"/>
              </w:rPr>
              <w:t>可监听网络、构造畸形多部件表单报文（multipart/form-data）、伪造结构化元数据、重放一次性随机标识（nonce）、提交异常密态分片、实施并发探测</w:t>
            </w:r>
          </w:p>
        </w:tc>
      </w:tr>
      <w:tr>
        <w:tc>
          <w:tcPr>
            <w:tcW w:type="dxa" w:w="4410"/>
          </w:tcPr>
          <w:p>
            <w:r/>
            <w:r>
              <w:rPr>
                <w:rFonts w:ascii="宋体" w:hAnsi="宋体" w:eastAsia="宋体"/>
                <w:b w:val="0"/>
                <w:sz w:val="20"/>
              </w:rPr>
              <w:t>安全假设</w:t>
            </w:r>
          </w:p>
        </w:tc>
        <w:tc>
          <w:tcPr>
            <w:tcW w:type="dxa" w:w="4410"/>
          </w:tcPr>
          <w:p>
            <w:r/>
            <w:r>
              <w:rPr>
                <w:rFonts w:ascii="宋体" w:hAnsi="宋体" w:eastAsia="宋体"/>
                <w:b w:val="0"/>
                <w:sz w:val="20"/>
              </w:rPr>
              <w:t>两方半诚实；不引入额外可信第三方；前端不作为可信根，关键裁决以服务端复算为准</w:t>
            </w:r>
          </w:p>
        </w:tc>
      </w:tr>
      <w:tr>
        <w:tc>
          <w:tcPr>
            <w:tcW w:type="dxa" w:w="4410"/>
          </w:tcPr>
          <w:p>
            <w:r/>
            <w:r>
              <w:rPr>
                <w:rFonts w:ascii="宋体" w:hAnsi="宋体" w:eastAsia="宋体"/>
                <w:b w:val="0"/>
                <w:sz w:val="20"/>
              </w:rPr>
              <w:t>不覆盖范围</w:t>
            </w:r>
          </w:p>
        </w:tc>
        <w:tc>
          <w:tcPr>
            <w:tcW w:type="dxa" w:w="4410"/>
          </w:tcPr>
          <w:p>
            <w:r/>
            <w:r>
              <w:rPr>
                <w:rFonts w:ascii="宋体" w:hAnsi="宋体" w:eastAsia="宋体"/>
                <w:b w:val="0"/>
                <w:sz w:val="20"/>
              </w:rPr>
              <w:t>恶意参与方串谋、浏览器被完全控制、进入长耗时 SPU 后的主动断连感知、生产级分布式 DoS、防输出反演攻击</w:t>
            </w:r>
          </w:p>
        </w:tc>
      </w:tr>
      <w:tr>
        <w:tc>
          <w:tcPr>
            <w:tcW w:type="dxa" w:w="4410"/>
          </w:tcPr>
          <w:p>
            <w:r/>
            <w:r>
              <w:rPr>
                <w:rFonts w:ascii="宋体" w:hAnsi="宋体" w:eastAsia="宋体"/>
                <w:b w:val="0"/>
                <w:sz w:val="20"/>
              </w:rPr>
              <w:t>防护证据</w:t>
            </w:r>
          </w:p>
        </w:tc>
        <w:tc>
          <w:tcPr>
            <w:tcW w:type="dxa" w:w="4410"/>
          </w:tcPr>
          <w:p>
            <w:r/>
            <w:r>
              <w:rPr>
                <w:rFonts w:ascii="宋体" w:hAnsi="宋体" w:eastAsia="宋体"/>
                <w:b w:val="0"/>
                <w:sz w:val="20"/>
              </w:rPr>
              <w:t>协议层模糊测试、重放与并发守卫测试、服务端张量快检与审计落盘证据</w:t>
            </w:r>
          </w:p>
        </w:tc>
      </w:tr>
    </w:tbl>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边界项</w:t>
            </w:r>
          </w:p>
        </w:tc>
        <w:tc>
          <w:tcPr>
            <w:tcW w:type="dxa" w:w="2940"/>
          </w:tcPr>
          <w:p>
            <w:pPr>
              <w:jc w:val="center"/>
            </w:pPr>
            <w:r/>
            <w:r>
              <w:rPr>
                <w:rFonts w:ascii="宋体" w:hAnsi="宋体" w:eastAsia="宋体"/>
                <w:b/>
                <w:sz w:val="18"/>
              </w:rPr>
              <w:t>当前覆盖</w:t>
            </w:r>
          </w:p>
        </w:tc>
        <w:tc>
          <w:tcPr>
            <w:tcW w:type="dxa" w:w="2940"/>
          </w:tcPr>
          <w:p>
            <w:pPr>
              <w:jc w:val="center"/>
            </w:pPr>
            <w:r/>
            <w:r>
              <w:rPr>
                <w:rFonts w:ascii="宋体" w:hAnsi="宋体" w:eastAsia="宋体"/>
                <w:b/>
                <w:sz w:val="18"/>
              </w:rPr>
              <w:t>当前不覆盖或限制</w:t>
            </w:r>
          </w:p>
        </w:tc>
      </w:tr>
      <w:tr>
        <w:tc>
          <w:tcPr>
            <w:tcW w:type="dxa" w:w="2940"/>
          </w:tcPr>
          <w:p>
            <w:r/>
            <w:r>
              <w:rPr>
                <w:rFonts w:ascii="宋体" w:hAnsi="宋体" w:eastAsia="宋体"/>
                <w:b w:val="0"/>
                <w:sz w:val="18"/>
              </w:rPr>
              <w:t>输入明文保护</w:t>
            </w:r>
          </w:p>
        </w:tc>
        <w:tc>
          <w:tcPr>
            <w:tcW w:type="dxa" w:w="2940"/>
          </w:tcPr>
          <w:p>
            <w:r/>
            <w:r>
              <w:rPr>
                <w:rFonts w:ascii="宋体" w:hAnsi="宋体" w:eastAsia="宋体"/>
                <w:b w:val="0"/>
                <w:sz w:val="18"/>
              </w:rPr>
              <w:t>明文图像只在浏览器工作线程内解码、裁剪与分片，服务端仅接收密态 share 与结构化元数据</w:t>
            </w:r>
          </w:p>
        </w:tc>
        <w:tc>
          <w:tcPr>
            <w:tcW w:type="dxa" w:w="2940"/>
          </w:tcPr>
          <w:p>
            <w:r/>
            <w:r>
              <w:rPr>
                <w:rFonts w:ascii="宋体" w:hAnsi="宋体" w:eastAsia="宋体"/>
                <w:b w:val="0"/>
                <w:sz w:val="18"/>
              </w:rPr>
              <w:t>不覆盖浏览器被完全控制或本地终端失陷后的明文窃取</w:t>
            </w:r>
          </w:p>
        </w:tc>
      </w:tr>
      <w:tr>
        <w:tc>
          <w:tcPr>
            <w:tcW w:type="dxa" w:w="2940"/>
          </w:tcPr>
          <w:p>
            <w:r/>
            <w:r>
              <w:rPr>
                <w:rFonts w:ascii="宋体" w:hAnsi="宋体" w:eastAsia="宋体"/>
                <w:b w:val="0"/>
                <w:sz w:val="18"/>
              </w:rPr>
              <w:t>模型参数保护</w:t>
            </w:r>
          </w:p>
        </w:tc>
        <w:tc>
          <w:tcPr>
            <w:tcW w:type="dxa" w:w="2940"/>
          </w:tcPr>
          <w:p>
            <w:r/>
            <w:r>
              <w:rPr>
                <w:rFonts w:ascii="宋体" w:hAnsi="宋体" w:eastAsia="宋体"/>
                <w:b w:val="0"/>
                <w:sz w:val="18"/>
              </w:rPr>
              <w:t>模型参数不向数据使用方以明文暴露，仅在两方安全执行域内参与计算</w:t>
            </w:r>
          </w:p>
        </w:tc>
        <w:tc>
          <w:tcPr>
            <w:tcW w:type="dxa" w:w="2940"/>
          </w:tcPr>
          <w:p>
            <w:r/>
            <w:r>
              <w:rPr>
                <w:rFonts w:ascii="宋体" w:hAnsi="宋体" w:eastAsia="宋体"/>
                <w:b w:val="0"/>
                <w:sz w:val="18"/>
              </w:rPr>
              <w:t>不覆盖恶意参与方串谋、模型抽取与生产级侧信道分析</w:t>
            </w:r>
          </w:p>
        </w:tc>
      </w:tr>
      <w:tr>
        <w:tc>
          <w:tcPr>
            <w:tcW w:type="dxa" w:w="2940"/>
          </w:tcPr>
          <w:p>
            <w:r/>
            <w:r>
              <w:rPr>
                <w:rFonts w:ascii="宋体" w:hAnsi="宋体" w:eastAsia="宋体"/>
                <w:b w:val="0"/>
                <w:sz w:val="18"/>
              </w:rPr>
              <w:t>动态决策隐私</w:t>
            </w:r>
          </w:p>
        </w:tc>
        <w:tc>
          <w:tcPr>
            <w:tcW w:type="dxa" w:w="2940"/>
          </w:tcPr>
          <w:p>
            <w:r/>
            <w:r>
              <w:rPr>
                <w:rFonts w:ascii="宋体" w:hAnsi="宋体" w:eastAsia="宋体"/>
                <w:b w:val="0"/>
                <w:sz w:val="18"/>
              </w:rPr>
              <w:t>PredictorLG、阈值判断与并列分数决断保留在安全执行域内</w:t>
            </w:r>
          </w:p>
        </w:tc>
        <w:tc>
          <w:tcPr>
            <w:tcW w:type="dxa" w:w="2940"/>
          </w:tcPr>
          <w:p>
            <w:r/>
            <w:r>
              <w:rPr>
                <w:rFonts w:ascii="宋体" w:hAnsi="宋体" w:eastAsia="宋体"/>
                <w:b w:val="0"/>
                <w:sz w:val="18"/>
              </w:rPr>
              <w:t>不覆盖进入安全图后的主动任务取消、长连接断开感知与更强攻击模型</w:t>
            </w:r>
          </w:p>
        </w:tc>
      </w:tr>
      <w:tr>
        <w:tc>
          <w:tcPr>
            <w:tcW w:type="dxa" w:w="2940"/>
          </w:tcPr>
          <w:p>
            <w:r/>
            <w:r>
              <w:rPr>
                <w:rFonts w:ascii="宋体" w:hAnsi="宋体" w:eastAsia="宋体"/>
                <w:b w:val="0"/>
                <w:sz w:val="18"/>
              </w:rPr>
              <w:t>协议与输入防护</w:t>
            </w:r>
          </w:p>
        </w:tc>
        <w:tc>
          <w:tcPr>
            <w:tcW w:type="dxa" w:w="2940"/>
          </w:tcPr>
          <w:p>
            <w:r/>
            <w:r>
              <w:rPr>
                <w:rFonts w:ascii="宋体" w:hAnsi="宋体" w:eastAsia="宋体"/>
                <w:b w:val="0"/>
                <w:sz w:val="18"/>
              </w:rPr>
              <w:t>原始多部件表单预检、JSON（JavaScript Object Notation）字节门、share 哈希与张量合法性快检、重放与并发守卫已落地</w:t>
            </w:r>
          </w:p>
        </w:tc>
        <w:tc>
          <w:tcPr>
            <w:tcW w:type="dxa" w:w="2940"/>
          </w:tcPr>
          <w:p>
            <w:r/>
            <w:r>
              <w:rPr>
                <w:rFonts w:ascii="宋体" w:hAnsi="宋体" w:eastAsia="宋体"/>
                <w:b w:val="0"/>
                <w:sz w:val="18"/>
              </w:rPr>
              <w:t>不覆盖生产级分布式 DoS、跨节点全局限流与外部 WAF/网关联动</w:t>
            </w:r>
          </w:p>
        </w:tc>
      </w:tr>
      <w:tr>
        <w:tc>
          <w:tcPr>
            <w:tcW w:type="dxa" w:w="2940"/>
          </w:tcPr>
          <w:p>
            <w:r/>
            <w:r>
              <w:rPr>
                <w:rFonts w:ascii="宋体" w:hAnsi="宋体" w:eastAsia="宋体"/>
                <w:b w:val="0"/>
                <w:sz w:val="18"/>
              </w:rPr>
              <w:t>审计与复现</w:t>
            </w:r>
          </w:p>
        </w:tc>
        <w:tc>
          <w:tcPr>
            <w:tcW w:type="dxa" w:w="2940"/>
          </w:tcPr>
          <w:p>
            <w:r/>
            <w:r>
              <w:rPr>
                <w:rFonts w:ascii="宋体" w:hAnsi="宋体" w:eastAsia="宋体"/>
                <w:b w:val="0"/>
                <w:sz w:val="18"/>
              </w:rPr>
              <w:t>nonce、请求载荷（payload）、质量摘要与审计事件落盘，报告与脚本可回溯</w:t>
            </w:r>
          </w:p>
        </w:tc>
        <w:tc>
          <w:tcPr>
            <w:tcW w:type="dxa" w:w="2940"/>
          </w:tcPr>
          <w:p>
            <w:r/>
            <w:r>
              <w:rPr>
                <w:rFonts w:ascii="宋体" w:hAnsi="宋体" w:eastAsia="宋体"/>
                <w:b w:val="0"/>
                <w:sz w:val="18"/>
              </w:rPr>
              <w:t>不覆盖长期合规归档平台、外部 SIEM 集成与跨系统追责链</w:t>
            </w:r>
          </w:p>
        </w:tc>
      </w:tr>
    </w:tbl>
    <w:p>
      <w:pPr>
        <w:spacing w:line="360" w:lineRule="auto"/>
        <w:ind w:firstLine="480"/>
      </w:pPr>
      <w:r>
        <w:rPr>
          <w:rFonts w:ascii="宋体" w:hAnsi="宋体" w:eastAsia="宋体"/>
          <w:b w:val="0"/>
          <w:sz w:val="24"/>
        </w:rPr>
        <w:t>上述边界说明用于避免将原型级控制面夸大为生产级防御体系。更完整的未覆盖范围、输出侧风险与原型部署边界，统一放在第 5.5 节“当前局限性”中说明。</w:t>
      </w:r>
    </w:p>
    <w:p>
      <w:pPr>
        <w:spacing w:line="360" w:lineRule="auto"/>
        <w:ind w:firstLine="0"/>
      </w:pPr>
      <w:r>
        <w:rPr>
          <w:rFonts w:ascii="黑体" w:hAnsi="黑体" w:eastAsia="黑体"/>
          <w:b/>
          <w:sz w:val="24"/>
        </w:rPr>
        <w:t>2.3 软件流程</w:t>
      </w:r>
    </w:p>
    <w:p>
      <w:pPr>
        <w:spacing w:line="360" w:lineRule="auto"/>
        <w:ind w:firstLine="480"/>
      </w:pPr>
      <w:r>
        <w:rPr>
          <w:rFonts w:ascii="宋体" w:hAnsi="宋体" w:eastAsia="宋体"/>
          <w:b w:val="0"/>
          <w:sz w:val="24"/>
        </w:rPr>
        <w:t>图 2-2 给出了完整的软件流转时序。主线程仅负责本地影像加载、预览和请求编排；浏览器工作线程独立完成图像解码、裁剪、数据质量评估指标提取、审计链构建与分片序列化；服务端首先执行原始报文体、边界参数、报文头与多部件结构校验，再对结构化元数据、密态分片与重构张量进行权威快检，全部通过后方可进入 SPU 密态前向计算。最终结果回传时同时包含分类结论、质量裁决、审计摘要与控制面开销，使展示链路与安全链路保持一致。</w:t>
      </w:r>
    </w:p>
    <w:p>
      <w:pPr>
        <w:spacing w:line="360" w:lineRule="auto"/>
        <w:ind w:firstLine="0"/>
        <w:jc w:val="center"/>
      </w:pPr>
      <w:r>
        <w:drawing>
          <wp:inline xmlns:a="http://schemas.openxmlformats.org/drawingml/2006/main" xmlns:pic="http://schemas.openxmlformats.org/drawingml/2006/picture">
            <wp:extent cx="5852160" cy="4683398"/>
            <wp:docPr id="2" name="Picture 2"/>
            <wp:cNvGraphicFramePr>
              <a:graphicFrameLocks noChangeAspect="1"/>
            </wp:cNvGraphicFramePr>
            <a:graphic>
              <a:graphicData uri="http://schemas.openxmlformats.org/drawingml/2006/picture">
                <pic:pic>
                  <pic:nvPicPr>
                    <pic:cNvPr id="0" name="software_flow_sequence.png"/>
                    <pic:cNvPicPr/>
                  </pic:nvPicPr>
                  <pic:blipFill>
                    <a:blip r:embed="rId12"/>
                    <a:stretch>
                      <a:fillRect/>
                    </a:stretch>
                  </pic:blipFill>
                  <pic:spPr>
                    <a:xfrm>
                      <a:off x="0" y="0"/>
                      <a:ext cx="5852160" cy="4683398"/>
                    </a:xfrm>
                    <a:prstGeom prst="rect"/>
                  </pic:spPr>
                </pic:pic>
              </a:graphicData>
            </a:graphic>
          </wp:inline>
        </w:drawing>
      </w:r>
    </w:p>
    <w:p>
      <w:pPr>
        <w:spacing w:line="288"/>
        <w:ind w:firstLine="0"/>
        <w:jc w:val="center"/>
      </w:pPr>
      <w:r>
        <w:rPr>
          <w:rFonts w:ascii="宋体" w:hAnsi="宋体" w:eastAsia="宋体"/>
          <w:b w:val="0"/>
          <w:sz w:val="20"/>
        </w:rPr>
        <w:t>图2-2 端到端软件流转时序图：明文仅停留在浏览器工作线程域内，跨域仅传输密态分片与审计摘要。</w:t>
      </w:r>
    </w:p>
    <w:p>
      <w:pPr>
        <w:spacing w:line="360" w:lineRule="auto"/>
        <w:ind w:firstLine="0"/>
      </w:pPr>
      <w:r>
        <w:rPr>
          <w:rFonts w:ascii="黑体" w:hAnsi="黑体" w:eastAsia="黑体"/>
          <w:b/>
          <w:sz w:val="24"/>
        </w:rPr>
        <w:t>2.4 DynamicViT 密态改写</w:t>
      </w:r>
    </w:p>
    <w:tbl>
      <w:tblPr>
        <w:tblW w:type="auto" w:w="0"/>
        <w:tblLook w:firstColumn="1" w:firstRow="1" w:lastColumn="0" w:lastRow="0" w:noHBand="0" w:noVBand="1" w:val="04A0"/>
      </w:tblPr>
      <w:tblGrid>
        <w:gridCol w:w="1764"/>
        <w:gridCol w:w="1764"/>
        <w:gridCol w:w="1764"/>
        <w:gridCol w:w="1764"/>
        <w:gridCol w:w="1764"/>
      </w:tblGrid>
      <w:tr>
        <w:tc>
          <w:tcPr>
            <w:tcW w:type="dxa" w:w="1764"/>
          </w:tcPr>
          <w:p>
            <w:pPr>
              <w:jc w:val="center"/>
            </w:pPr>
            <w:r/>
            <w:r>
              <w:rPr>
                <w:rFonts w:ascii="宋体" w:hAnsi="宋体" w:eastAsia="宋体"/>
                <w:b/>
                <w:sz w:val="18"/>
              </w:rPr>
              <w:t>原始 DynamicViT 操作</w:t>
            </w:r>
          </w:p>
        </w:tc>
        <w:tc>
          <w:tcPr>
            <w:tcW w:type="dxa" w:w="1764"/>
          </w:tcPr>
          <w:p>
            <w:pPr>
              <w:jc w:val="center"/>
            </w:pPr>
            <w:r/>
            <w:r>
              <w:rPr>
                <w:rFonts w:ascii="宋体" w:hAnsi="宋体" w:eastAsia="宋体"/>
                <w:b/>
                <w:sz w:val="18"/>
              </w:rPr>
              <w:t>安全计算困难</w:t>
            </w:r>
          </w:p>
        </w:tc>
        <w:tc>
          <w:tcPr>
            <w:tcW w:type="dxa" w:w="1764"/>
          </w:tcPr>
          <w:p>
            <w:pPr>
              <w:jc w:val="center"/>
            </w:pPr>
            <w:r/>
            <w:r>
              <w:rPr>
                <w:rFonts w:ascii="宋体" w:hAnsi="宋体" w:eastAsia="宋体"/>
                <w:b/>
                <w:sz w:val="18"/>
              </w:rPr>
              <w:t>本作品改写方式</w:t>
            </w:r>
          </w:p>
        </w:tc>
        <w:tc>
          <w:tcPr>
            <w:tcW w:type="dxa" w:w="1764"/>
          </w:tcPr>
          <w:p>
            <w:pPr>
              <w:jc w:val="center"/>
            </w:pPr>
            <w:r/>
            <w:r>
              <w:rPr>
                <w:rFonts w:ascii="宋体" w:hAnsi="宋体" w:eastAsia="宋体"/>
                <w:b/>
                <w:sz w:val="18"/>
              </w:rPr>
              <w:t>代价</w:t>
            </w:r>
          </w:p>
        </w:tc>
        <w:tc>
          <w:tcPr>
            <w:tcW w:type="dxa" w:w="1764"/>
          </w:tcPr>
          <w:p>
            <w:pPr>
              <w:jc w:val="center"/>
            </w:pPr>
            <w:r/>
            <w:r>
              <w:rPr>
                <w:rFonts w:ascii="宋体" w:hAnsi="宋体" w:eastAsia="宋体"/>
                <w:b/>
                <w:sz w:val="18"/>
              </w:rPr>
              <w:t>验证方式</w:t>
            </w:r>
          </w:p>
        </w:tc>
      </w:tr>
      <w:tr>
        <w:tc>
          <w:tcPr>
            <w:tcW w:type="dxa" w:w="1764"/>
          </w:tcPr>
          <w:p>
            <w:r/>
            <w:r>
              <w:rPr>
                <w:rFonts w:ascii="宋体" w:hAnsi="宋体" w:eastAsia="宋体"/>
                <w:b w:val="0"/>
                <w:sz w:val="18"/>
              </w:rPr>
              <w:t>直接删除 token</w:t>
            </w:r>
          </w:p>
        </w:tc>
        <w:tc>
          <w:tcPr>
            <w:tcW w:type="dxa" w:w="1764"/>
          </w:tcPr>
          <w:p>
            <w:r/>
            <w:r>
              <w:rPr>
                <w:rFonts w:ascii="宋体" w:hAnsi="宋体" w:eastAsia="宋体"/>
                <w:b w:val="0"/>
                <w:sz w:val="18"/>
              </w:rPr>
              <w:t>变长结构难以进入固定图安全执行，且会暴露路径</w:t>
            </w:r>
          </w:p>
        </w:tc>
        <w:tc>
          <w:tcPr>
            <w:tcW w:type="dxa" w:w="1764"/>
          </w:tcPr>
          <w:p>
            <w:r/>
            <w:r>
              <w:rPr>
                <w:rFonts w:ascii="宋体" w:hAnsi="宋体" w:eastAsia="宋体"/>
                <w:b w:val="0"/>
                <w:sz w:val="18"/>
              </w:rPr>
              <w:t>改写为保留/置零的掩码化表达（keep/zero），由安全选择完成保留决策</w:t>
            </w:r>
          </w:p>
        </w:tc>
        <w:tc>
          <w:tcPr>
            <w:tcW w:type="dxa" w:w="1764"/>
          </w:tcPr>
          <w:p>
            <w:r/>
            <w:r>
              <w:rPr>
                <w:rFonts w:ascii="宋体" w:hAnsi="宋体" w:eastAsia="宋体"/>
                <w:b w:val="0"/>
                <w:sz w:val="18"/>
              </w:rPr>
              <w:t>保留了部分冗余计算</w:t>
            </w:r>
          </w:p>
        </w:tc>
        <w:tc>
          <w:tcPr>
            <w:tcW w:type="dxa" w:w="1764"/>
          </w:tcPr>
          <w:p>
            <w:r/>
            <w:r>
              <w:rPr>
                <w:rFonts w:ascii="宋体" w:hAnsi="宋体" w:eastAsia="宋体"/>
                <w:b w:val="0"/>
                <w:sz w:val="18"/>
              </w:rPr>
              <w:t>本地明文参考路径与 secure replay 一致性对齐</w:t>
            </w:r>
          </w:p>
        </w:tc>
      </w:tr>
      <w:tr>
        <w:tc>
          <w:tcPr>
            <w:tcW w:type="dxa" w:w="1764"/>
          </w:tcPr>
          <w:p>
            <w:r/>
            <w:r>
              <w:rPr>
                <w:rFonts w:ascii="宋体" w:hAnsi="宋体" w:eastAsia="宋体"/>
                <w:b w:val="0"/>
                <w:sz w:val="18"/>
              </w:rPr>
              <w:t>明文阈值比较</w:t>
            </w:r>
          </w:p>
        </w:tc>
        <w:tc>
          <w:tcPr>
            <w:tcW w:type="dxa" w:w="1764"/>
          </w:tcPr>
          <w:p>
            <w:r/>
            <w:r>
              <w:rPr>
                <w:rFonts w:ascii="宋体" w:hAnsi="宋体" w:eastAsia="宋体"/>
                <w:b w:val="0"/>
                <w:sz w:val="18"/>
              </w:rPr>
              <w:t>数据相关分支会泄露剪枝边界</w:t>
            </w:r>
          </w:p>
        </w:tc>
        <w:tc>
          <w:tcPr>
            <w:tcW w:type="dxa" w:w="1764"/>
          </w:tcPr>
          <w:p>
            <w:r/>
            <w:r>
              <w:rPr>
                <w:rFonts w:ascii="宋体" w:hAnsi="宋体" w:eastAsia="宋体"/>
                <w:b w:val="0"/>
                <w:sz w:val="18"/>
              </w:rPr>
              <w:t>将比较逻辑改写为安全比较语义</w:t>
            </w:r>
          </w:p>
        </w:tc>
        <w:tc>
          <w:tcPr>
            <w:tcW w:type="dxa" w:w="1764"/>
          </w:tcPr>
          <w:p>
            <w:r/>
            <w:r>
              <w:rPr>
                <w:rFonts w:ascii="宋体" w:hAnsi="宋体" w:eastAsia="宋体"/>
                <w:b w:val="0"/>
                <w:sz w:val="18"/>
              </w:rPr>
              <w:t>增加比较通信与控制流复杂度</w:t>
            </w:r>
          </w:p>
        </w:tc>
        <w:tc>
          <w:tcPr>
            <w:tcW w:type="dxa" w:w="1764"/>
          </w:tcPr>
          <w:p>
            <w:r/>
            <w:r>
              <w:rPr>
                <w:rFonts w:ascii="宋体" w:hAnsi="宋体" w:eastAsia="宋体"/>
                <w:b w:val="0"/>
                <w:sz w:val="18"/>
              </w:rPr>
              <w:t>部署阈值回代与输出一致性验证</w:t>
            </w:r>
          </w:p>
        </w:tc>
      </w:tr>
      <w:tr>
        <w:tc>
          <w:tcPr>
            <w:tcW w:type="dxa" w:w="1764"/>
          </w:tcPr>
          <w:p>
            <w:r/>
            <w:r>
              <w:rPr>
                <w:rFonts w:ascii="宋体" w:hAnsi="宋体" w:eastAsia="宋体"/>
                <w:b w:val="0"/>
                <w:sz w:val="18"/>
              </w:rPr>
              <w:t>数据相关 Top-K 选择</w:t>
            </w:r>
          </w:p>
        </w:tc>
        <w:tc>
          <w:tcPr>
            <w:tcW w:type="dxa" w:w="1764"/>
          </w:tcPr>
          <w:p>
            <w:r/>
            <w:r>
              <w:rPr>
                <w:rFonts w:ascii="宋体" w:hAnsi="宋体" w:eastAsia="宋体"/>
                <w:b w:val="0"/>
                <w:sz w:val="18"/>
              </w:rPr>
              <w:t>动态索引与并列分数处理不稳定</w:t>
            </w:r>
          </w:p>
        </w:tc>
        <w:tc>
          <w:tcPr>
            <w:tcW w:type="dxa" w:w="1764"/>
          </w:tcPr>
          <w:p>
            <w:r/>
            <w:r>
              <w:rPr>
                <w:rFonts w:ascii="宋体" w:hAnsi="宋体" w:eastAsia="宋体"/>
                <w:b w:val="0"/>
                <w:sz w:val="18"/>
              </w:rPr>
              <w:t>采用编码索引跟踪与排序网络构造保留掩码（keep-mask）</w:t>
            </w:r>
          </w:p>
        </w:tc>
        <w:tc>
          <w:tcPr>
            <w:tcW w:type="dxa" w:w="1764"/>
          </w:tcPr>
          <w:p>
            <w:r/>
            <w:r>
              <w:rPr>
                <w:rFonts w:ascii="宋体" w:hAnsi="宋体" w:eastAsia="宋体"/>
                <w:b w:val="0"/>
                <w:sz w:val="18"/>
              </w:rPr>
              <w:t>排序代价上升</w:t>
            </w:r>
          </w:p>
        </w:tc>
        <w:tc>
          <w:tcPr>
            <w:tcW w:type="dxa" w:w="1764"/>
          </w:tcPr>
          <w:p>
            <w:r/>
            <w:r>
              <w:rPr>
                <w:rFonts w:ascii="宋体" w:hAnsi="宋体" w:eastAsia="宋体"/>
                <w:b w:val="0"/>
                <w:sz w:val="18"/>
              </w:rPr>
              <w:t>排序结果与后续决策链功能验证</w:t>
            </w:r>
          </w:p>
        </w:tc>
      </w:tr>
      <w:tr>
        <w:tc>
          <w:tcPr>
            <w:tcW w:type="dxa" w:w="1764"/>
          </w:tcPr>
          <w:p>
            <w:r/>
            <w:r>
              <w:rPr>
                <w:rFonts w:ascii="宋体" w:hAnsi="宋体" w:eastAsia="宋体"/>
                <w:b w:val="0"/>
                <w:sz w:val="18"/>
              </w:rPr>
              <w:t>外部明文决定 keep-mask</w:t>
            </w:r>
          </w:p>
        </w:tc>
        <w:tc>
          <w:tcPr>
            <w:tcW w:type="dxa" w:w="1764"/>
          </w:tcPr>
          <w:p>
            <w:r/>
            <w:r>
              <w:rPr>
                <w:rFonts w:ascii="宋体" w:hAnsi="宋体" w:eastAsia="宋体"/>
                <w:b w:val="0"/>
                <w:sz w:val="18"/>
              </w:rPr>
              <w:t>会退化为半隐私运行</w:t>
            </w:r>
          </w:p>
        </w:tc>
        <w:tc>
          <w:tcPr>
            <w:tcW w:type="dxa" w:w="1764"/>
          </w:tcPr>
          <w:p>
            <w:r/>
            <w:r>
              <w:rPr>
                <w:rFonts w:ascii="宋体" w:hAnsi="宋体" w:eastAsia="宋体"/>
                <w:b w:val="0"/>
                <w:sz w:val="18"/>
              </w:rPr>
              <w:t>将 PredictorLG、阈值判断和并列分数决断（tie）保留在安全执行域内</w:t>
            </w:r>
          </w:p>
        </w:tc>
        <w:tc>
          <w:tcPr>
            <w:tcW w:type="dxa" w:w="1764"/>
          </w:tcPr>
          <w:p>
            <w:r/>
            <w:r>
              <w:rPr>
                <w:rFonts w:ascii="宋体" w:hAnsi="宋体" w:eastAsia="宋体"/>
                <w:b w:val="0"/>
                <w:sz w:val="18"/>
              </w:rPr>
              <w:t>图规模扩大、执行时间增长</w:t>
            </w:r>
          </w:p>
        </w:tc>
        <w:tc>
          <w:tcPr>
            <w:tcW w:type="dxa" w:w="1764"/>
          </w:tcPr>
          <w:p>
            <w:r/>
            <w:r>
              <w:rPr>
                <w:rFonts w:ascii="宋体" w:hAnsi="宋体" w:eastAsia="宋体"/>
                <w:b w:val="0"/>
                <w:sz w:val="18"/>
              </w:rPr>
              <w:t>双向隐私运行链与前端控制面联调</w:t>
            </w:r>
          </w:p>
        </w:tc>
      </w:tr>
    </w:tbl>
    <w:p>
      <w:pPr>
        <w:spacing w:line="360" w:lineRule="auto"/>
        <w:ind w:firstLine="0"/>
      </w:pPr>
      <w:r>
        <w:rPr>
          <w:rFonts w:ascii="黑体" w:hAnsi="黑体" w:eastAsia="黑体"/>
          <w:b/>
          <w:sz w:val="24"/>
        </w:rPr>
        <w:t>2.5 硬件部署与软件基准</w:t>
      </w:r>
    </w:p>
    <w:tbl>
      <w:tblPr>
        <w:tblW w:type="auto" w:w="0"/>
        <w:tblLook w:firstColumn="1" w:firstRow="1" w:lastColumn="0" w:lastRow="0" w:noHBand="0" w:noVBand="1" w:val="04A0"/>
      </w:tblPr>
      <w:tblGrid>
        <w:gridCol w:w="4410"/>
        <w:gridCol w:w="4410"/>
      </w:tblGrid>
      <w:tr>
        <w:tc>
          <w:tcPr>
            <w:tcW w:type="dxa" w:w="4410"/>
          </w:tcPr>
          <w:p>
            <w:pPr>
              <w:jc w:val="center"/>
            </w:pPr>
            <w:r/>
            <w:r>
              <w:rPr>
                <w:rFonts w:ascii="宋体" w:hAnsi="宋体" w:eastAsia="宋体"/>
                <w:b/>
                <w:sz w:val="20"/>
              </w:rPr>
              <w:t>项目</w:t>
            </w:r>
          </w:p>
        </w:tc>
        <w:tc>
          <w:tcPr>
            <w:tcW w:type="dxa" w:w="4410"/>
          </w:tcPr>
          <w:p>
            <w:pPr>
              <w:jc w:val="center"/>
            </w:pPr>
            <w:r/>
            <w:r>
              <w:rPr>
                <w:rFonts w:ascii="宋体" w:hAnsi="宋体" w:eastAsia="宋体"/>
                <w:b/>
                <w:sz w:val="20"/>
              </w:rPr>
              <w:t>配置</w:t>
            </w:r>
          </w:p>
        </w:tc>
      </w:tr>
      <w:tr>
        <w:tc>
          <w:tcPr>
            <w:tcW w:type="dxa" w:w="4410"/>
          </w:tcPr>
          <w:p>
            <w:r/>
            <w:r>
              <w:rPr>
                <w:rFonts w:ascii="宋体" w:hAnsi="宋体" w:eastAsia="宋体"/>
                <w:b w:val="0"/>
                <w:sz w:val="20"/>
              </w:rPr>
              <w:t>CPU</w:t>
            </w:r>
          </w:p>
        </w:tc>
        <w:tc>
          <w:tcPr>
            <w:tcW w:type="dxa" w:w="4410"/>
          </w:tcPr>
          <w:p>
            <w:r/>
            <w:r>
              <w:rPr>
                <w:rFonts w:ascii="宋体" w:hAnsi="宋体" w:eastAsia="宋体"/>
                <w:b w:val="0"/>
                <w:sz w:val="20"/>
              </w:rPr>
              <w:t>Intel Xeon Gold 6148 @ 2.40GHz，80 逻辑核（2 路，每路 20 核，超线程开启）</w:t>
            </w:r>
          </w:p>
        </w:tc>
      </w:tr>
      <w:tr>
        <w:tc>
          <w:tcPr>
            <w:tcW w:type="dxa" w:w="4410"/>
          </w:tcPr>
          <w:p>
            <w:r/>
            <w:r>
              <w:rPr>
                <w:rFonts w:ascii="宋体" w:hAnsi="宋体" w:eastAsia="宋体"/>
                <w:b w:val="0"/>
                <w:sz w:val="20"/>
              </w:rPr>
              <w:t>物理内存</w:t>
            </w:r>
          </w:p>
        </w:tc>
        <w:tc>
          <w:tcPr>
            <w:tcW w:type="dxa" w:w="4410"/>
          </w:tcPr>
          <w:p>
            <w:r/>
            <w:r>
              <w:rPr>
                <w:rFonts w:ascii="宋体" w:hAnsi="宋体" w:eastAsia="宋体"/>
                <w:b w:val="0"/>
                <w:sz w:val="20"/>
              </w:rPr>
              <w:t>62 GiB</w:t>
            </w:r>
          </w:p>
        </w:tc>
      </w:tr>
      <w:tr>
        <w:tc>
          <w:tcPr>
            <w:tcW w:type="dxa" w:w="4410"/>
          </w:tcPr>
          <w:p>
            <w:r/>
            <w:r>
              <w:rPr>
                <w:rFonts w:ascii="宋体" w:hAnsi="宋体" w:eastAsia="宋体"/>
                <w:b w:val="0"/>
                <w:sz w:val="20"/>
              </w:rPr>
              <w:t>操作系统</w:t>
            </w:r>
          </w:p>
        </w:tc>
        <w:tc>
          <w:tcPr>
            <w:tcW w:type="dxa" w:w="4410"/>
          </w:tcPr>
          <w:p>
            <w:r/>
            <w:r>
              <w:rPr>
                <w:rFonts w:ascii="宋体" w:hAnsi="宋体" w:eastAsia="宋体"/>
                <w:b w:val="0"/>
                <w:sz w:val="20"/>
              </w:rPr>
              <w:t>Ubuntu 20.04.6 LTS</w:t>
            </w:r>
          </w:p>
        </w:tc>
      </w:tr>
      <w:tr>
        <w:tc>
          <w:tcPr>
            <w:tcW w:type="dxa" w:w="4410"/>
          </w:tcPr>
          <w:p>
            <w:r/>
            <w:r>
              <w:rPr>
                <w:rFonts w:ascii="宋体" w:hAnsi="宋体" w:eastAsia="宋体"/>
                <w:b w:val="0"/>
                <w:sz w:val="20"/>
              </w:rPr>
              <w:t>内核版本</w:t>
            </w:r>
          </w:p>
        </w:tc>
        <w:tc>
          <w:tcPr>
            <w:tcW w:type="dxa" w:w="4410"/>
          </w:tcPr>
          <w:p>
            <w:r/>
            <w:r>
              <w:rPr>
                <w:rFonts w:ascii="宋体" w:hAnsi="宋体" w:eastAsia="宋体"/>
                <w:b w:val="0"/>
                <w:sz w:val="20"/>
              </w:rPr>
              <w:t>Linux 5.15.0-139-generic</w:t>
            </w:r>
          </w:p>
        </w:tc>
      </w:tr>
      <w:tr>
        <w:tc>
          <w:tcPr>
            <w:tcW w:type="dxa" w:w="4410"/>
          </w:tcPr>
          <w:p>
            <w:r/>
            <w:r>
              <w:rPr>
                <w:rFonts w:ascii="宋体" w:hAnsi="宋体" w:eastAsia="宋体"/>
                <w:b w:val="0"/>
                <w:sz w:val="20"/>
              </w:rPr>
              <w:t>Python</w:t>
            </w:r>
          </w:p>
        </w:tc>
        <w:tc>
          <w:tcPr>
            <w:tcW w:type="dxa" w:w="4410"/>
          </w:tcPr>
          <w:p>
            <w:r/>
            <w:r>
              <w:rPr>
                <w:rFonts w:ascii="宋体" w:hAnsi="宋体" w:eastAsia="宋体"/>
                <w:b w:val="0"/>
                <w:sz w:val="20"/>
              </w:rPr>
              <w:t>Python 3.9.25</w:t>
            </w:r>
          </w:p>
        </w:tc>
      </w:tr>
      <w:tr>
        <w:tc>
          <w:tcPr>
            <w:tcW w:type="dxa" w:w="4410"/>
          </w:tcPr>
          <w:p>
            <w:r/>
            <w:r>
              <w:rPr>
                <w:rFonts w:ascii="宋体" w:hAnsi="宋体" w:eastAsia="宋体"/>
                <w:b w:val="0"/>
                <w:sz w:val="20"/>
              </w:rPr>
              <w:t>安全计算底座</w:t>
            </w:r>
          </w:p>
        </w:tc>
        <w:tc>
          <w:tcPr>
            <w:tcW w:type="dxa" w:w="4410"/>
          </w:tcPr>
          <w:p>
            <w:r/>
            <w:r>
              <w:rPr>
                <w:rFonts w:ascii="宋体" w:hAnsi="宋体" w:eastAsia="宋体"/>
                <w:b w:val="0"/>
                <w:sz w:val="20"/>
              </w:rPr>
              <w:t>SecretFlow SPU 0.9.3.dev20241118（Apache License 2.0）</w:t>
            </w:r>
          </w:p>
        </w:tc>
      </w:tr>
      <w:tr>
        <w:tc>
          <w:tcPr>
            <w:tcW w:type="dxa" w:w="4410"/>
          </w:tcPr>
          <w:p>
            <w:r/>
            <w:r>
              <w:rPr>
                <w:rFonts w:ascii="宋体" w:hAnsi="宋体" w:eastAsia="宋体"/>
                <w:b w:val="0"/>
                <w:sz w:val="20"/>
              </w:rPr>
              <w:t>原型运行模式</w:t>
            </w:r>
          </w:p>
        </w:tc>
        <w:tc>
          <w:tcPr>
            <w:tcW w:type="dxa" w:w="4410"/>
          </w:tcPr>
          <w:p>
            <w:r/>
            <w:r>
              <w:rPr>
                <w:rFonts w:ascii="宋体" w:hAnsi="宋体" w:eastAsia="宋体"/>
                <w:b w:val="0"/>
                <w:sz w:val="20"/>
              </w:rPr>
              <w:t>两方 2PC colocated localhost 原型链路，通信量来自同配置 fresh rerun 的 SPU LinkDetails 计数器</w:t>
            </w:r>
          </w:p>
        </w:tc>
      </w:tr>
    </w:tbl>
    <w:p>
      <w:pPr>
        <w:pStyle w:val="2"/>
        <w:ind w:firstLine="0"/>
        <w:jc w:val="center"/>
      </w:pPr>
      <w:r>
        <w:rPr>
          <w:rFonts w:ascii="黑体" w:hAnsi="黑体" w:eastAsia="黑体"/>
          <w:b/>
          <w:sz w:val="44"/>
        </w:rPr>
        <w:t>第三章 系统实现</w:t>
      </w:r>
    </w:p>
    <w:p>
      <w:pPr>
        <w:spacing w:line="360" w:lineRule="auto"/>
        <w:ind w:firstLine="0"/>
      </w:pPr>
      <w:r>
        <w:rPr>
          <w:rFonts w:ascii="黑体" w:hAnsi="黑体" w:eastAsia="黑体"/>
          <w:b/>
          <w:sz w:val="24"/>
        </w:rPr>
        <w:t>3.1 模型改造与两方安全推理链路</w:t>
      </w:r>
    </w:p>
    <w:p>
      <w:pPr>
        <w:spacing w:line="360" w:lineRule="auto"/>
        <w:ind w:firstLine="480"/>
      </w:pPr>
      <w:r>
        <w:rPr>
          <w:rFonts w:ascii="宋体" w:hAnsi="宋体" w:eastAsia="宋体"/>
          <w:b w:val="0"/>
          <w:sz w:val="24"/>
        </w:rPr>
        <w:t>模型实现遵循“明文训练、密态执行语义重写、双向隐私推理落地”三层结构。训练阶段保留 DynamicViT 的词元打分与样本级动态边界能力；部署阶段将删除式剪枝语义改写为固定图可执行的掩码化表达；推理阶段由 SPU 与 OpenBumbleBee 两方安全推理集成层承担密态执行，仅对外返回最终分类结果。该实现路径的目标不是复现一条完全等价的可变长明文执行图，而是在固定图安全执行约束下尽可能保留动态剪枝边界的判别价值。</w:t>
      </w:r>
    </w:p>
    <w:p>
      <w:pPr>
        <w:spacing w:line="360" w:lineRule="auto"/>
        <w:ind w:firstLine="480"/>
      </w:pPr>
      <w:r>
        <w:rPr>
          <w:rFonts w:ascii="宋体" w:hAnsi="宋体" w:eastAsia="宋体"/>
          <w:b w:val="0"/>
          <w:sz w:val="24"/>
        </w:rPr>
        <w:t>对应到动态词元剪枝的核心计算关系，正式主线不再直接删除词元，而是先确定当前 stage 的保留边界，再生成固定形状的 keep-mask，并据此完成后续安全选择。关键关系见式（3-1）至式（3-2b）：</w:t>
      </w:r>
    </w:p>
    <w:p>
      <w:pPr>
        <w:tabs>
          <w:tab w:pos="4536" w:val="center"/>
          <w:tab w:pos="8712" w:val="right"/>
        </w:tabs>
        <w:spacing w:line="240" w:before="40" w:after="60"/>
        <w:ind w:firstLine="0"/>
        <w:jc w:val="left"/>
      </w:pPr>
      <w:r>
        <w:tab/>
      </w:r>
      <m:oMath>
        <m:sSup>
          <m:e>
            <m:r>
              <m:t>τ</m:t>
            </m:r>
          </m:e>
          <m:sup>
            <m:d>
              <m:dPr>
                <m:begChr m:val="("/>
                <m:endChr m:val=")"/>
              </m:dPr>
              <m:e>
                <m:r>
                  <m:t>l</m:t>
                </m:r>
              </m:e>
            </m:d>
          </m:sup>
        </m:sSup>
        <m:r>
          <m:rPr>
            <m:sty m:val="p"/>
          </m:rPr>
          <m:t>=</m:t>
        </m:r>
        <m:r>
          <m:rPr>
            <m:sty m:val="p"/>
          </m:rPr>
          <m:t>TopKBoundary</m:t>
        </m:r>
        <m:d>
          <m:dPr>
            <m:begChr m:val="("/>
            <m:endChr m:val=")"/>
          </m:dPr>
          <m:e>
            <m:sSup>
              <m:e>
                <m:r>
                  <m:t>s</m:t>
                </m:r>
              </m:e>
              <m:sup>
                <m:d>
                  <m:dPr>
                    <m:begChr m:val="("/>
                    <m:endChr m:val=")"/>
                  </m:dPr>
                  <m:e>
                    <m:r>
                      <m:t>l</m:t>
                    </m:r>
                  </m:e>
                </m:d>
              </m:sup>
            </m:sSup>
            <m:r>
              <m:rPr>
                <m:sty m:val="p"/>
              </m:rPr>
              <m:t>,</m:t>
            </m:r>
            <m:sSup>
              <m:e>
                <m:r>
                  <m:t>K</m:t>
                </m:r>
              </m:e>
              <m:sup>
                <m:d>
                  <m:dPr>
                    <m:begChr m:val="("/>
                    <m:endChr m:val=")"/>
                  </m:dPr>
                  <m:e>
                    <m:r>
                      <m:t>l</m:t>
                    </m:r>
                  </m:e>
                </m:d>
              </m:sup>
            </m:sSup>
          </m:e>
        </m:d>
        <m:r>
          <m:rPr>
            <m:sty m:val="p"/>
          </m:rPr>
          <m:t>,</m:t>
        </m:r>
        <m:r>
          <m:rPr>
            <m:sty m:val="p"/>
          </m:rPr>
          <m:t> </m:t>
        </m:r>
        <m:sSubSup>
          <m:e>
            <m:r>
              <m:t>m</m:t>
            </m:r>
          </m:e>
          <m:sub>
            <m:r>
              <m:t>i</m:t>
            </m:r>
          </m:sub>
          <m:sup>
            <m:d>
              <m:dPr>
                <m:begChr m:val="("/>
                <m:endChr m:val=")"/>
              </m:dPr>
              <m:e>
                <m:r>
                  <m:t>l</m:t>
                </m:r>
              </m:e>
            </m:d>
          </m:sup>
        </m:sSubSup>
        <m:r>
          <m:rPr>
            <m:sty m:val="p"/>
          </m:rPr>
          <m:t>=</m:t>
        </m:r>
        <m:r>
          <m:rPr>
            <m:sty m:val="p"/>
          </m:rPr>
          <m:t>1</m:t>
        </m:r>
        <m:d>
          <m:dPr>
            <m:begChr m:val="["/>
            <m:endChr m:val="]"/>
          </m:dPr>
          <m:e>
            <m:d>
              <m:dPr>
                <m:begChr m:val="("/>
                <m:endChr m:val=")"/>
              </m:dPr>
              <m:e>
                <m:sSubSup>
                  <m:e>
                    <m:r>
                      <m:t>s</m:t>
                    </m:r>
                  </m:e>
                  <m:sub>
                    <m:r>
                      <m:t>i</m:t>
                    </m:r>
                  </m:sub>
                  <m:sup>
                    <m:d>
                      <m:dPr>
                        <m:begChr m:val="("/>
                        <m:endChr m:val=")"/>
                      </m:dPr>
                      <m:e>
                        <m:r>
                          <m:t>l</m:t>
                        </m:r>
                      </m:e>
                    </m:d>
                  </m:sup>
                </m:sSubSup>
                <m:r>
                  <m:rPr>
                    <m:sty m:val="p"/>
                  </m:rPr>
                  <m:t>,</m:t>
                </m:r>
                <m:r>
                  <m:t>i</m:t>
                </m:r>
              </m:e>
            </m:d>
            <m:r>
              <m:rPr>
                <m:sty m:val="p"/>
              </m:rPr>
              <m:t>≥</m:t>
            </m:r>
            <m:sSup>
              <m:e>
                <m:r>
                  <m:t>τ</m:t>
                </m:r>
              </m:e>
              <m:sup>
                <m:d>
                  <m:dPr>
                    <m:begChr m:val="("/>
                    <m:endChr m:val=")"/>
                  </m:dPr>
                  <m:e>
                    <m:r>
                      <m:t>l</m:t>
                    </m:r>
                  </m:e>
                </m:d>
              </m:sup>
            </m:sSup>
          </m:e>
        </m:d>
      </m:oMath>
      <w:r>
        <w:rPr>
          <w:rFonts w:ascii="Times New Roman" w:hAnsi="Times New Roman" w:eastAsia="Times New Roman"/>
          <w:b w:val="0"/>
          <w:sz w:val="21"/>
        </w:rPr>
        <w:tab/>
        <w:t>(3-1)</w:t>
      </w:r>
    </w:p>
    <w:p>
      <w:pPr>
        <w:tabs>
          <w:tab w:pos="4536" w:val="center"/>
          <w:tab w:pos="8712" w:val="right"/>
        </w:tabs>
        <w:spacing w:line="240" w:before="40" w:after="60"/>
        <w:ind w:firstLine="0"/>
        <w:jc w:val="left"/>
      </w:pPr>
      <w:r>
        <w:tab/>
      </w:r>
      <m:oMath>
        <m:sSubSup>
          <m:e>
            <m:acc>
              <m:accPr>
                <m:chr m:val="̃"/>
              </m:accPr>
              <m:e>
                <m:r>
                  <m:t>h</m:t>
                </m:r>
              </m:e>
            </m:acc>
          </m:e>
          <m:sub>
            <m:r>
              <m:t>i</m:t>
            </m:r>
          </m:sub>
          <m:sup>
            <m:d>
              <m:dPr>
                <m:begChr m:val="("/>
                <m:endChr m:val=")"/>
              </m:dPr>
              <m:e>
                <m:r>
                  <m:t>l</m:t>
                </m:r>
              </m:e>
            </m:d>
          </m:sup>
        </m:sSubSup>
        <m:r>
          <m:rPr>
            <m:sty m:val="p"/>
          </m:rPr>
          <m:t>=</m:t>
        </m:r>
        <m:sSubSup>
          <m:e>
            <m:r>
              <m:t>m</m:t>
            </m:r>
          </m:e>
          <m:sub>
            <m:r>
              <m:t>i</m:t>
            </m:r>
          </m:sub>
          <m:sup>
            <m:d>
              <m:dPr>
                <m:begChr m:val="("/>
                <m:endChr m:val=")"/>
              </m:dPr>
              <m:e>
                <m:r>
                  <m:t>l</m:t>
                </m:r>
              </m:e>
            </m:d>
          </m:sup>
        </m:sSubSup>
        <m:r>
          <m:rPr>
            <m:sty m:val="p"/>
          </m:rPr>
          <m:t>·</m:t>
        </m:r>
        <m:sSubSup>
          <m:e>
            <m:r>
              <m:t>h</m:t>
            </m:r>
          </m:e>
          <m:sub>
            <m:r>
              <m:t>i</m:t>
            </m:r>
          </m:sub>
          <m:sup>
            <m:d>
              <m:dPr>
                <m:begChr m:val="("/>
                <m:endChr m:val=")"/>
              </m:dPr>
              <m:e>
                <m:r>
                  <m:t>l</m:t>
                </m:r>
              </m:e>
            </m:d>
          </m:sup>
        </m:sSubSup>
      </m:oMath>
      <w:r>
        <w:rPr>
          <w:rFonts w:ascii="Times New Roman" w:hAnsi="Times New Roman" w:eastAsia="Times New Roman"/>
          <w:b w:val="0"/>
          <w:sz w:val="21"/>
        </w:rPr>
        <w:tab/>
        <w:t>(3-2)</w:t>
      </w:r>
    </w:p>
    <w:p>
      <w:pPr>
        <w:tabs>
          <w:tab w:pos="4536" w:val="center"/>
          <w:tab w:pos="8712" w:val="right"/>
        </w:tabs>
        <w:spacing w:line="240" w:before="40" w:after="60"/>
        <w:ind w:firstLine="0"/>
        <w:jc w:val="left"/>
      </w:pPr>
      <w:r>
        <w:tab/>
      </w:r>
      <m:oMath>
        <m:sSubSup>
          <m:e>
            <m:r>
              <m:t>e</m:t>
            </m:r>
          </m:e>
          <m:sub>
            <m:r>
              <m:t>i</m:t>
            </m:r>
          </m:sub>
          <m:sup>
            <m:d>
              <m:dPr>
                <m:begChr m:val="("/>
                <m:endChr m:val=")"/>
              </m:dPr>
              <m:e>
                <m:r>
                  <m:t>l</m:t>
                </m:r>
              </m:e>
            </m:d>
          </m:sup>
        </m:sSubSup>
        <m:r>
          <m:rPr>
            <m:sty m:val="p"/>
          </m:rPr>
          <m:t>=</m:t>
        </m:r>
        <m:sSubSup>
          <m:e>
            <m:r>
              <m:t>s</m:t>
            </m:r>
          </m:e>
          <m:sub>
            <m:r>
              <m:t>i</m:t>
            </m:r>
          </m:sub>
          <m:sup>
            <m:d>
              <m:dPr>
                <m:begChr m:val="("/>
                <m:endChr m:val=")"/>
              </m:dPr>
              <m:e>
                <m:r>
                  <m:t>l</m:t>
                </m:r>
              </m:e>
            </m:d>
          </m:sup>
        </m:sSubSup>
        <m:r>
          <m:rPr>
            <m:sty m:val="p"/>
          </m:rPr>
          <m:t>−</m:t>
        </m:r>
        <m:r>
          <m:rPr>
            <m:sty m:val="p"/>
          </m:rPr>
          <m:t>ε</m:t>
        </m:r>
        <m:r>
          <m:rPr>
            <m:sty m:val="p"/>
          </m:rPr>
          <m:t>·</m:t>
        </m:r>
        <m:r>
          <m:t>i</m:t>
        </m:r>
      </m:oMath>
      <w:r>
        <w:rPr>
          <w:rFonts w:ascii="Times New Roman" w:hAnsi="Times New Roman" w:eastAsia="Times New Roman"/>
          <w:b w:val="0"/>
          <w:sz w:val="21"/>
        </w:rPr>
        <w:tab/>
        <w:t>(3-2a)</w:t>
      </w:r>
    </w:p>
    <w:p>
      <w:pPr>
        <w:tabs>
          <w:tab w:pos="4536" w:val="center"/>
          <w:tab w:pos="8712" w:val="right"/>
        </w:tabs>
        <w:spacing w:line="240" w:before="40" w:after="60"/>
        <w:ind w:firstLine="0"/>
        <w:jc w:val="left"/>
      </w:pPr>
      <w:r>
        <w:tab/>
      </w:r>
      <m:oMath>
        <m:sSup>
          <m:e>
            <m:r>
              <m:t>π</m:t>
            </m:r>
          </m:e>
          <m:sup>
            <m:d>
              <m:dPr>
                <m:begChr m:val="("/>
                <m:endChr m:val=")"/>
              </m:dPr>
              <m:e>
                <m:r>
                  <m:t>l</m:t>
                </m:r>
              </m:e>
            </m:d>
          </m:sup>
        </m:sSup>
        <m:r>
          <m:rPr>
            <m:sty m:val="p"/>
          </m:rPr>
          <m:t>=</m:t>
        </m:r>
        <m:r>
          <m:rPr>
            <m:sty m:val="p"/>
          </m:rPr>
          <m:t>BitonicSortDesc</m:t>
        </m:r>
        <m:d>
          <m:dPr>
            <m:begChr m:val="("/>
            <m:endChr m:val=")"/>
          </m:dPr>
          <m:e>
            <m:sSup>
              <m:e>
                <m:r>
                  <m:t>e</m:t>
                </m:r>
              </m:e>
              <m:sup>
                <m:d>
                  <m:dPr>
                    <m:begChr m:val="("/>
                    <m:endChr m:val=")"/>
                  </m:dPr>
                  <m:e>
                    <m:r>
                      <m:t>l</m:t>
                    </m:r>
                  </m:e>
                </m:d>
              </m:sup>
            </m:sSup>
          </m:e>
        </m:d>
        <m:r>
          <m:rPr>
            <m:sty m:val="p"/>
          </m:rPr>
          <m:t>,</m:t>
        </m:r>
        <m:r>
          <m:rPr>
            <m:sty m:val="p"/>
          </m:rPr>
          <m:t> </m:t>
        </m:r>
        <m:sSubSup>
          <m:e>
            <m:r>
              <m:t>m</m:t>
            </m:r>
          </m:e>
          <m:sub>
            <m:r>
              <m:t>i</m:t>
            </m:r>
          </m:sub>
          <m:sup>
            <m:d>
              <m:dPr>
                <m:begChr m:val="("/>
                <m:endChr m:val=")"/>
              </m:dPr>
              <m:e>
                <m:r>
                  <m:t>l</m:t>
                </m:r>
              </m:e>
            </m:d>
          </m:sup>
        </m:sSubSup>
        <m:r>
          <m:rPr>
            <m:sty m:val="p"/>
          </m:rPr>
          <m:t>=</m:t>
        </m:r>
        <m:r>
          <m:rPr>
            <m:sty m:val="p"/>
          </m:rPr>
          <m:t>1</m:t>
        </m:r>
        <m:d>
          <m:dPr>
            <m:begChr m:val="["/>
            <m:endChr m:val="]"/>
          </m:dPr>
          <m:e>
            <m:r>
              <m:t>i</m:t>
            </m:r>
            <m:r>
              <m:rPr>
                <m:sty m:val="p"/>
              </m:rPr>
              <m:t>∈</m:t>
            </m:r>
            <m:sSub>
              <m:e>
                <m:sSup>
                  <m:e>
                    <m:r>
                      <m:t>π</m:t>
                    </m:r>
                  </m:e>
                  <m:sup>
                    <m:d>
                      <m:dPr>
                        <m:begChr m:val="("/>
                        <m:endChr m:val=")"/>
                      </m:dPr>
                      <m:e>
                        <m:r>
                          <m:t>l</m:t>
                        </m:r>
                      </m:e>
                    </m:d>
                  </m:sup>
                </m:sSup>
              </m:e>
              <m:sub>
                <m:r>
                  <m:rPr>
                    <m:sty m:val="p"/>
                  </m:rPr>
                  <m:t>1:</m:t>
                </m:r>
                <m:sSup>
                  <m:e>
                    <m:r>
                      <m:t>K</m:t>
                    </m:r>
                  </m:e>
                  <m:sup>
                    <m:d>
                      <m:dPr>
                        <m:begChr m:val="("/>
                        <m:endChr m:val=")"/>
                      </m:dPr>
                      <m:e>
                        <m:r>
                          <m:t>l</m:t>
                        </m:r>
                      </m:e>
                    </m:d>
                  </m:sup>
                </m:sSup>
              </m:sub>
            </m:sSub>
          </m:e>
        </m:d>
      </m:oMath>
      <w:r>
        <w:rPr>
          <w:rFonts w:ascii="Times New Roman" w:hAnsi="Times New Roman" w:eastAsia="Times New Roman"/>
          <w:b w:val="0"/>
          <w:sz w:val="21"/>
        </w:rPr>
        <w:tab/>
        <w:t>(3-2b)</w:t>
      </w:r>
    </w:p>
    <w:p>
      <w:pPr>
        <w:spacing w:line="360" w:lineRule="auto"/>
        <w:ind w:firstLine="480"/>
      </w:pPr>
      <w:r>
        <w:rPr>
          <w:rFonts w:ascii="宋体" w:hAnsi="宋体" w:eastAsia="宋体"/>
          <w:b w:val="0"/>
          <w:sz w:val="24"/>
        </w:rPr>
        <w:t>其中，</w:t>
      </w:r>
      <m:oMath>
        <m:sSup>
          <m:e>
            <m:r>
              <m:t>s</m:t>
            </m:r>
          </m:e>
          <m:sup>
            <m:d>
              <m:dPr>
                <m:begChr m:val="("/>
                <m:endChr m:val=")"/>
              </m:dPr>
              <m:e>
                <m:r>
                  <m:t>l</m:t>
                </m:r>
              </m:e>
            </m:d>
          </m:sup>
        </m:sSup>
      </m:oMath>
      <w:r>
        <w:rPr>
          <w:rFonts w:ascii="宋体" w:hAnsi="宋体" w:eastAsia="宋体"/>
          <w:b w:val="0"/>
          <w:sz w:val="24"/>
        </w:rPr>
        <w:t xml:space="preserve"> 表示第 l 个剪枝 stage 的词元得分向量，</w:t>
      </w:r>
      <m:oMath>
        <m:sSup>
          <m:e>
            <m:r>
              <m:t>K</m:t>
            </m:r>
          </m:e>
          <m:sup>
            <m:d>
              <m:dPr>
                <m:begChr m:val="("/>
                <m:endChr m:val=")"/>
              </m:dPr>
              <m:e>
                <m:r>
                  <m:t>l</m:t>
                </m:r>
              </m:e>
            </m:d>
          </m:sup>
        </m:sSup>
      </m:oMath>
      <w:r>
        <w:rPr>
          <w:rFonts w:ascii="宋体" w:hAnsi="宋体" w:eastAsia="宋体"/>
          <w:b w:val="0"/>
          <w:sz w:val="24"/>
        </w:rPr>
        <w:t xml:space="preserve"> 表示该 stage 允许保留的词元数，</w:t>
      </w:r>
      <m:oMath>
        <m:sSup>
          <m:e>
            <m:r>
              <m:t>τ</m:t>
            </m:r>
          </m:e>
          <m:sup>
            <m:d>
              <m:dPr>
                <m:begChr m:val="("/>
                <m:endChr m:val=")"/>
              </m:dPr>
              <m:e>
                <m:r>
                  <m:t>l</m:t>
                </m:r>
              </m:e>
            </m:d>
          </m:sup>
        </m:sSup>
      </m:oMath>
      <w:r>
        <w:rPr>
          <w:rFonts w:ascii="宋体" w:hAnsi="宋体" w:eastAsia="宋体"/>
          <w:b w:val="0"/>
          <w:sz w:val="24"/>
        </w:rPr>
        <w:t xml:space="preserve"> 表示由排序边界导出的保留阈值，</w:t>
      </w:r>
      <m:oMath>
        <m:sSubSup>
          <m:e>
            <m:r>
              <m:t>e</m:t>
            </m:r>
          </m:e>
          <m:sub>
            <m:r>
              <m:t>i</m:t>
            </m:r>
          </m:sub>
          <m:sup>
            <m:d>
              <m:dPr>
                <m:begChr m:val="("/>
                <m:endChr m:val=")"/>
              </m:dPr>
              <m:e>
                <m:r>
                  <m:t>l</m:t>
                </m:r>
              </m:e>
            </m:d>
          </m:sup>
        </m:sSubSup>
      </m:oMath>
      <w:r>
        <w:rPr>
          <w:rFonts w:ascii="宋体" w:hAnsi="宋体" w:eastAsia="宋体"/>
          <w:b w:val="0"/>
          <w:sz w:val="24"/>
        </w:rPr>
        <w:t xml:space="preserve"> 表示引入索引微扰后的编码键，</w:t>
      </w:r>
      <m:oMath>
        <m:sSup>
          <m:e>
            <m:r>
              <m:t>π</m:t>
            </m:r>
          </m:e>
          <m:sup>
            <m:d>
              <m:dPr>
                <m:begChr m:val="("/>
                <m:endChr m:val=")"/>
              </m:dPr>
              <m:e>
                <m:r>
                  <m:t>l</m:t>
                </m:r>
              </m:e>
            </m:d>
          </m:sup>
        </m:sSup>
      </m:oMath>
      <w:r>
        <w:rPr>
          <w:rFonts w:ascii="宋体" w:hAnsi="宋体" w:eastAsia="宋体"/>
          <w:b w:val="0"/>
          <w:sz w:val="24"/>
        </w:rPr>
        <w:t xml:space="preserve"> 表示经编码键双调排序得到的索引排列，</w:t>
      </w:r>
      <m:oMath>
        <m:sSubSup>
          <m:e>
            <m:r>
              <m:t>m</m:t>
            </m:r>
          </m:e>
          <m:sub>
            <m:r>
              <m:t>i</m:t>
            </m:r>
          </m:sub>
          <m:sup>
            <m:d>
              <m:dPr>
                <m:begChr m:val="("/>
                <m:endChr m:val=")"/>
              </m:dPr>
              <m:e>
                <m:r>
                  <m:t>l</m:t>
                </m:r>
              </m:e>
            </m:d>
          </m:sup>
        </m:sSubSup>
      </m:oMath>
      <w:r>
        <w:rPr>
          <w:rFonts w:ascii="宋体" w:hAnsi="宋体" w:eastAsia="宋体"/>
          <w:b w:val="0"/>
          <w:sz w:val="24"/>
        </w:rPr>
        <w:t xml:space="preserve"> 表示第 i 个词元的保留掩码。报告正文中的“masking → F_mux”与“threshold compare → F_less”正是围绕这组关系完成的协议友好改写。</w:t>
      </w:r>
    </w:p>
    <w:p>
      <w:pPr>
        <w:spacing w:line="360" w:lineRule="auto"/>
        <w:ind w:firstLine="480"/>
      </w:pPr>
      <w:r>
        <w:rPr>
          <w:rFonts w:ascii="宋体" w:hAnsi="宋体" w:eastAsia="宋体"/>
          <w:b w:val="0"/>
          <w:sz w:val="24"/>
        </w:rPr>
        <w:t>式（3-2a）与式（3-2b）对应当前密态执行中的并列分数稳定化策略：先通过编码键将词元得分与索引绑定，再在固定比较网络中执行按索引跟踪的双调排序，最后直接从排序结果的前 K 个索引构造 keep-mask。这样做避免了“先排序求阈值、再对全体词元执行一次阈值比较”的二次密态比较开销，同时保证并列分数情况下的保留决策具有确定性。</w:t>
      </w:r>
    </w:p>
    <w:p>
      <w:pPr>
        <w:spacing w:line="360" w:lineRule="auto"/>
        <w:ind w:firstLine="480"/>
      </w:pPr>
      <w:r>
        <w:rPr>
          <w:rFonts w:ascii="宋体" w:hAnsi="宋体" w:eastAsia="宋体"/>
          <w:b w:val="0"/>
          <w:sz w:val="24"/>
        </w:rPr>
        <w:t>图 3-1 从实现结构角度补充展示当前项目框架：上层对应医院终端、业务网关与双节点密态执行域；中层分别对应控制面闭环、DynamicViT 安全化重写组件与两方半诚实安全计算协议；底层则是秘密分享、比较/选择与审计摘要等密码学基础原语。该图用于说明第 2 章“系统设计”与第 3 章“系统实现”的衔接关系。</w:t>
      </w:r>
    </w:p>
    <w:p>
      <w:pPr>
        <w:spacing w:line="360" w:lineRule="auto"/>
        <w:ind w:firstLine="0"/>
      </w:pPr>
      <w:r>
        <w:rPr>
          <w:rFonts w:ascii="黑体" w:hAnsi="黑体" w:eastAsia="黑体"/>
          <w:b/>
          <w:sz w:val="24"/>
        </w:rPr>
        <w:t>3.2 端到端执行流程与模块协同</w:t>
      </w:r>
    </w:p>
    <w:p>
      <w:pPr>
        <w:spacing w:line="360" w:lineRule="auto"/>
        <w:ind w:firstLine="480"/>
      </w:pPr>
      <w:r>
        <w:rPr>
          <w:rFonts w:ascii="宋体" w:hAnsi="宋体" w:eastAsia="宋体"/>
          <w:b w:val="0"/>
          <w:sz w:val="24"/>
        </w:rPr>
        <w:t>结合图 3-1 的当前项目框架，当前端到端链路可以压缩为三个安全阶段。第一阶段是终端本地预处理：浏览器工作线程完成影像解码、质量评估、审计链构建与秘密分享，安全目标是使原始影像和明文像素止于终端侧。第二阶段是服务端边界拦截：前置网关与权威快检模块在进入 SPU 之前完成报文、结构化元数据、share 字节流与重构张量合法性校验，安全目标是使异常输入、重放请求和畸形张量止于密态执行入口之外。第三阶段是 SPU 密态执行：PredictorLG、编码键排序、keep-mask 构造与前向分类全部保留在两方安全执行域内，安全目标是避免动态决策链退化为外部明文回放。</w:t>
      </w:r>
    </w:p>
    <w:p>
      <w:pPr>
        <w:spacing w:line="360" w:lineRule="auto"/>
        <w:ind w:firstLine="480"/>
      </w:pPr>
      <w:r>
        <w:rPr>
          <w:rFonts w:ascii="宋体" w:hAnsi="宋体" w:eastAsia="宋体"/>
          <w:b w:val="0"/>
          <w:sz w:val="24"/>
        </w:rPr>
        <w:t>因此，本节不再重复图 2-2 中的逐步动作，而是强调各阶段的安全职责分工：前端负责明文边界与分片生成，服务端负责权威阻断与审计固化，SPU 路径负责完成双向隐私约束下的动态安全推理。</w:t>
      </w:r>
    </w:p>
    <w:p>
      <w:pPr>
        <w:spacing w:line="360" w:lineRule="auto"/>
        <w:ind w:firstLine="0"/>
      </w:pPr>
      <w:r>
        <w:rPr>
          <w:rFonts w:ascii="黑体" w:hAnsi="黑体" w:eastAsia="黑体"/>
          <w:b/>
          <w:sz w:val="24"/>
        </w:rPr>
        <w:t>3.3 前端控制面实现</w:t>
      </w:r>
    </w:p>
    <w:p>
      <w:pPr>
        <w:spacing w:line="360" w:lineRule="auto"/>
        <w:ind w:firstLine="480"/>
      </w:pPr>
      <w:r>
        <w:rPr>
          <w:rFonts w:ascii="宋体" w:hAnsi="宋体" w:eastAsia="宋体"/>
          <w:b w:val="0"/>
          <w:sz w:val="24"/>
        </w:rPr>
        <w:t>前端实现采用主线程与单实例浏览器工作线程分离的结构。主线程只负责文件句柄保留、页面状态维护和请求编排；工作线程内部完成图像头部尺寸嗅探、异常尺寸阻断、解码与中心裁剪、数据质量指标提取、源图与 share 审计哈希计算、小端序 32 位浮点（Float32）字节流序列化与可转移数组缓冲区传递。该设计避免了大体量数组在主线程上的结构化克隆开销，同时将高开销计算与页面交互解耦。</w:t>
      </w:r>
    </w:p>
    <w:p>
      <w:pPr>
        <w:spacing w:line="360" w:lineRule="auto"/>
        <w:ind w:firstLine="480"/>
      </w:pPr>
      <w:r>
        <w:rPr>
          <w:rFonts w:ascii="宋体" w:hAnsi="宋体" w:eastAsia="宋体"/>
          <w:b w:val="0"/>
          <w:sz w:val="24"/>
        </w:rPr>
        <w:t>前端计算过程中的关键数值变换与审计关系见式（3-3）至式（3-5）：</w:t>
      </w:r>
    </w:p>
    <w:p>
      <w:pPr>
        <w:tabs>
          <w:tab w:pos="4536" w:val="center"/>
          <w:tab w:pos="8712" w:val="right"/>
        </w:tabs>
        <w:spacing w:line="240" w:before="40" w:after="60"/>
        <w:ind w:firstLine="0"/>
        <w:jc w:val="left"/>
      </w:pPr>
      <w:r>
        <w:tab/>
      </w:r>
      <m:oMath>
        <m:sSub>
          <m:e>
            <m:r>
              <m:t>x</m:t>
            </m:r>
          </m:e>
          <m:sub>
            <m:r>
              <m:t>c</m:t>
            </m:r>
            <m:r>
              <m:rPr>
                <m:sty m:val="p"/>
              </m:rPr>
              <m:t>,</m:t>
            </m:r>
            <m:r>
              <m:t>h</m:t>
            </m:r>
            <m:r>
              <m:rPr>
                <m:sty m:val="p"/>
              </m:rPr>
              <m:t>,</m:t>
            </m:r>
            <m:r>
              <m:t>w</m:t>
            </m:r>
          </m:sub>
        </m:sSub>
        <m:r>
          <m:rPr>
            <m:sty m:val="p"/>
          </m:rPr>
          <m:t>=</m:t>
        </m:r>
        <m:r>
          <m:rPr>
            <m:sty m:val="p"/>
          </m:rPr>
          <m:t>clip</m:t>
        </m:r>
        <m:d>
          <m:dPr>
            <m:begChr m:val="("/>
            <m:endChr m:val=")"/>
          </m:dPr>
          <m:e>
            <m:f>
              <m:num>
                <m:f>
                  <m:num>
                    <m:sSub>
                      <m:e>
                        <m:r>
                          <m:t>p</m:t>
                        </m:r>
                      </m:e>
                      <m:sub>
                        <m:r>
                          <m:t>c</m:t>
                        </m:r>
                        <m:r>
                          <m:rPr>
                            <m:sty m:val="p"/>
                          </m:rPr>
                          <m:t>,</m:t>
                        </m:r>
                        <m:r>
                          <m:t>h</m:t>
                        </m:r>
                        <m:r>
                          <m:rPr>
                            <m:sty m:val="p"/>
                          </m:rPr>
                          <m:t>,</m:t>
                        </m:r>
                        <m:r>
                          <m:t>w</m:t>
                        </m:r>
                      </m:sub>
                    </m:sSub>
                  </m:num>
                  <m:den>
                    <m:r>
                      <m:rPr>
                        <m:sty m:val="p"/>
                      </m:rPr>
                      <m:t>255</m:t>
                    </m:r>
                  </m:den>
                </m:f>
                <m:r>
                  <m:rPr>
                    <m:sty m:val="p"/>
                  </m:rPr>
                  <m:t>−</m:t>
                </m:r>
                <m:sSub>
                  <m:e>
                    <m:r>
                      <m:t>μ</m:t>
                    </m:r>
                  </m:e>
                  <m:sub>
                    <m:r>
                      <m:t>c</m:t>
                    </m:r>
                  </m:sub>
                </m:sSub>
              </m:num>
              <m:den>
                <m:sSub>
                  <m:e>
                    <m:r>
                      <m:t>σ</m:t>
                    </m:r>
                  </m:e>
                  <m:sub>
                    <m:r>
                      <m:t>c</m:t>
                    </m:r>
                  </m:sub>
                </m:sSub>
              </m:den>
            </m:f>
            <m:r>
              <m:rPr>
                <m:sty m:val="p"/>
              </m:rPr>
              <m:t>,</m:t>
            </m:r>
            <m:r>
              <m:rPr>
                <m:sty m:val="p"/>
              </m:rPr>
              <m:t>−2</m:t>
            </m:r>
            <m:r>
              <m:rPr>
                <m:sty m:val="p"/>
              </m:rPr>
              <m:t>,</m:t>
            </m:r>
            <m:r>
              <m:rPr>
                <m:sty m:val="p"/>
              </m:rPr>
              <m:t>2</m:t>
            </m:r>
          </m:e>
        </m:d>
      </m:oMath>
      <w:r>
        <w:rPr>
          <w:rFonts w:ascii="Times New Roman" w:hAnsi="Times New Roman" w:eastAsia="Times New Roman"/>
          <w:b w:val="0"/>
          <w:sz w:val="21"/>
        </w:rPr>
        <w:tab/>
        <w:t>(3-3)</w:t>
      </w:r>
    </w:p>
    <w:p>
      <w:pPr>
        <w:tabs>
          <w:tab w:pos="4536" w:val="center"/>
          <w:tab w:pos="8712" w:val="right"/>
        </w:tabs>
        <w:spacing w:line="240" w:before="40" w:after="60"/>
        <w:ind w:firstLine="0"/>
        <w:jc w:val="left"/>
      </w:pPr>
      <w:r>
        <w:tab/>
      </w:r>
      <m:oMath>
        <m:sSub>
          <m:e>
            <m:r>
              <m:rPr>
                <m:sty m:val="p"/>
              </m:rPr>
              <m:t>share0</m:t>
            </m:r>
          </m:e>
          <m:sub>
            <m:r>
              <m:t>c</m:t>
            </m:r>
            <m:r>
              <m:rPr>
                <m:sty m:val="p"/>
              </m:rPr>
              <m:t>,</m:t>
            </m:r>
            <m:r>
              <m:t>h</m:t>
            </m:r>
            <m:r>
              <m:rPr>
                <m:sty m:val="p"/>
              </m:rPr>
              <m:t>,</m:t>
            </m:r>
            <m:r>
              <m:t>w</m:t>
            </m:r>
          </m:sub>
        </m:sSub>
        <m:r>
          <m:rPr>
            <m:sty m:val="p"/>
          </m:rPr>
          <m:t>=</m:t>
        </m:r>
        <m:sSub>
          <m:e>
            <m:r>
              <m:t>r</m:t>
            </m:r>
          </m:e>
          <m:sub>
            <m:r>
              <m:t>c</m:t>
            </m:r>
            <m:r>
              <m:rPr>
                <m:sty m:val="p"/>
              </m:rPr>
              <m:t>,</m:t>
            </m:r>
            <m:r>
              <m:t>h</m:t>
            </m:r>
            <m:r>
              <m:rPr>
                <m:sty m:val="p"/>
              </m:rPr>
              <m:t>,</m:t>
            </m:r>
            <m:r>
              <m:t>w</m:t>
            </m:r>
          </m:sub>
        </m:sSub>
        <m:r>
          <m:rPr>
            <m:sty m:val="p"/>
          </m:rPr>
          <m:t>,</m:t>
        </m:r>
        <m:r>
          <m:rPr>
            <m:sty m:val="p"/>
          </m:rPr>
          <m:t> </m:t>
        </m:r>
        <m:sSub>
          <m:e>
            <m:r>
              <m:t>r</m:t>
            </m:r>
          </m:e>
          <m:sub>
            <m:r>
              <m:t>c</m:t>
            </m:r>
            <m:r>
              <m:rPr>
                <m:sty m:val="p"/>
              </m:rPr>
              <m:t>,</m:t>
            </m:r>
            <m:r>
              <m:t>h</m:t>
            </m:r>
            <m:r>
              <m:rPr>
                <m:sty m:val="p"/>
              </m:rPr>
              <m:t>,</m:t>
            </m:r>
            <m:r>
              <m:t>w</m:t>
            </m:r>
          </m:sub>
        </m:sSub>
        <m:r>
          <m:rPr>
            <m:sty m:val="p"/>
          </m:rPr>
          <m:t>∼</m:t>
        </m:r>
        <m:r>
          <m:rPr>
            <m:sty m:val="p"/>
          </m:rPr>
          <m:t>U</m:t>
        </m:r>
        <m:d>
          <m:dPr>
            <m:begChr m:val="["/>
            <m:endChr m:val="]"/>
          </m:dPr>
          <m:e>
            <m:r>
              <m:rPr>
                <m:sty m:val="p"/>
              </m:rPr>
              <m:t>−2</m:t>
            </m:r>
            <m:r>
              <m:rPr>
                <m:sty m:val="p"/>
              </m:rPr>
              <m:t>,</m:t>
            </m:r>
            <m:r>
              <m:rPr>
                <m:sty m:val="p"/>
              </m:rPr>
              <m:t>2</m:t>
            </m:r>
          </m:e>
        </m:d>
        <m:r>
          <m:rPr>
            <m:sty m:val="p"/>
          </m:rPr>
          <m:t>,</m:t>
        </m:r>
        <m:r>
          <m:rPr>
            <m:sty m:val="p"/>
          </m:rPr>
          <m:t> </m:t>
        </m:r>
        <m:sSub>
          <m:e>
            <m:r>
              <m:rPr>
                <m:sty m:val="p"/>
              </m:rPr>
              <m:t>share1</m:t>
            </m:r>
          </m:e>
          <m:sub>
            <m:r>
              <m:t>c</m:t>
            </m:r>
            <m:r>
              <m:rPr>
                <m:sty m:val="p"/>
              </m:rPr>
              <m:t>,</m:t>
            </m:r>
            <m:r>
              <m:t>h</m:t>
            </m:r>
            <m:r>
              <m:rPr>
                <m:sty m:val="p"/>
              </m:rPr>
              <m:t>,</m:t>
            </m:r>
            <m:r>
              <m:t>w</m:t>
            </m:r>
          </m:sub>
        </m:sSub>
        <m:r>
          <m:rPr>
            <m:sty m:val="p"/>
          </m:rPr>
          <m:t>=</m:t>
        </m:r>
        <m:sSub>
          <m:e>
            <m:r>
              <m:t>x</m:t>
            </m:r>
          </m:e>
          <m:sub>
            <m:r>
              <m:t>c</m:t>
            </m:r>
            <m:r>
              <m:rPr>
                <m:sty m:val="p"/>
              </m:rPr>
              <m:t>,</m:t>
            </m:r>
            <m:r>
              <m:t>h</m:t>
            </m:r>
            <m:r>
              <m:rPr>
                <m:sty m:val="p"/>
              </m:rPr>
              <m:t>,</m:t>
            </m:r>
            <m:r>
              <m:t>w</m:t>
            </m:r>
          </m:sub>
        </m:sSub>
        <m:r>
          <m:rPr>
            <m:sty m:val="p"/>
          </m:rPr>
          <m:t>−</m:t>
        </m:r>
        <m:sSub>
          <m:e>
            <m:r>
              <m:rPr>
                <m:sty m:val="p"/>
              </m:rPr>
              <m:t>share0</m:t>
            </m:r>
          </m:e>
          <m:sub>
            <m:r>
              <m:t>c</m:t>
            </m:r>
            <m:r>
              <m:rPr>
                <m:sty m:val="p"/>
              </m:rPr>
              <m:t>,</m:t>
            </m:r>
            <m:r>
              <m:t>h</m:t>
            </m:r>
            <m:r>
              <m:rPr>
                <m:sty m:val="p"/>
              </m:rPr>
              <m:t>,</m:t>
            </m:r>
            <m:r>
              <m:t>w</m:t>
            </m:r>
          </m:sub>
        </m:sSub>
      </m:oMath>
      <w:r>
        <w:rPr>
          <w:rFonts w:ascii="Times New Roman" w:hAnsi="Times New Roman" w:eastAsia="Times New Roman"/>
          <w:b w:val="0"/>
          <w:sz w:val="21"/>
        </w:rPr>
        <w:tab/>
        <w:t>(3-4)</w:t>
      </w:r>
    </w:p>
    <w:p>
      <w:pPr>
        <w:tabs>
          <w:tab w:pos="4536" w:val="center"/>
          <w:tab w:pos="8712" w:val="right"/>
        </w:tabs>
        <w:spacing w:line="240" w:before="40" w:after="60"/>
        <w:ind w:firstLine="0"/>
        <w:jc w:val="left"/>
      </w:pPr>
      <w:r>
        <w:tab/>
      </w:r>
      <m:oMath>
        <m:sSub>
          <m:e>
            <m:r>
              <m:t>H</m:t>
            </m:r>
          </m:e>
          <m:sub>
            <m:r>
              <m:rPr>
                <m:sty m:val="p"/>
              </m:rPr>
              <m:t>audit</m:t>
            </m:r>
          </m:sub>
        </m:sSub>
        <m:r>
          <m:rPr>
            <m:sty m:val="p"/>
          </m:rPr>
          <m:t>=</m:t>
        </m:r>
        <m:r>
          <m:rPr>
            <m:sty m:val="p"/>
          </m:rPr>
          <m:t>SHA256</m:t>
        </m:r>
        <m:d>
          <m:dPr>
            <m:begChr m:val="("/>
            <m:endChr m:val=")"/>
          </m:dPr>
          <m:e>
            <m:r>
              <m:rPr>
                <m:sty m:val="p"/>
              </m:rPr>
              <m:t>v7</m:t>
            </m:r>
            <m:r>
              <m:rPr>
                <m:sty m:val="p"/>
              </m:rPr>
              <m:t>∥</m:t>
            </m:r>
            <m:r>
              <m:rPr>
                <m:sty m:val="p"/>
              </m:rPr>
              <m:t>nonce</m:t>
            </m:r>
            <m:r>
              <m:rPr>
                <m:sty m:val="p"/>
              </m:rPr>
              <m:t>∥</m:t>
            </m:r>
            <m:r>
              <m:t>H</m:t>
            </m:r>
            <m:d>
              <m:dPr>
                <m:begChr m:val="("/>
                <m:endChr m:val=")"/>
              </m:dPr>
              <m:e>
                <m:r>
                  <m:rPr>
                    <m:sty m:val="p"/>
                  </m:rPr>
                  <m:t>src</m:t>
                </m:r>
              </m:e>
            </m:d>
            <m:r>
              <m:rPr>
                <m:sty m:val="p"/>
              </m:rPr>
              <m:t>∥</m:t>
            </m:r>
            <m:r>
              <m:t>H</m:t>
            </m:r>
            <m:d>
              <m:dPr>
                <m:begChr m:val="("/>
                <m:endChr m:val=")"/>
              </m:dPr>
              <m:e>
                <m:r>
                  <m:t>x</m:t>
                </m:r>
              </m:e>
            </m:d>
            <m:r>
              <m:rPr>
                <m:sty m:val="p"/>
              </m:rPr>
              <m:t>∥</m:t>
            </m:r>
            <m:r>
              <m:t>H</m:t>
            </m:r>
            <m:d>
              <m:dPr>
                <m:begChr m:val="("/>
                <m:endChr m:val=")"/>
              </m:dPr>
              <m:e>
                <m:r>
                  <m:rPr>
                    <m:sty m:val="p"/>
                  </m:rPr>
                  <m:t>share0</m:t>
                </m:r>
              </m:e>
            </m:d>
            <m:r>
              <m:rPr>
                <m:sty m:val="p"/>
              </m:rPr>
              <m:t>∥</m:t>
            </m:r>
            <m:r>
              <m:t>H</m:t>
            </m:r>
            <m:d>
              <m:dPr>
                <m:begChr m:val="("/>
                <m:endChr m:val=")"/>
              </m:dPr>
              <m:e>
                <m:r>
                  <m:rPr>
                    <m:sty m:val="p"/>
                  </m:rPr>
                  <m:t>share1</m:t>
                </m:r>
              </m:e>
            </m:d>
          </m:e>
        </m:d>
      </m:oMath>
      <w:r>
        <w:rPr>
          <w:rFonts w:ascii="Times New Roman" w:hAnsi="Times New Roman" w:eastAsia="Times New Roman"/>
          <w:b w:val="0"/>
          <w:sz w:val="21"/>
        </w:rPr>
        <w:tab/>
        <w:t>(3-5)</w:t>
      </w:r>
    </w:p>
    <w:p>
      <w:pPr>
        <w:spacing w:line="360" w:lineRule="auto"/>
        <w:ind w:firstLine="480"/>
      </w:pPr>
      <w:r>
        <w:rPr>
          <w:rFonts w:ascii="宋体" w:hAnsi="宋体" w:eastAsia="宋体"/>
          <w:b w:val="0"/>
          <w:sz w:val="24"/>
        </w:rPr>
        <w:t>其中，</w:t>
      </w:r>
      <m:oMath>
        <m:sSub>
          <m:e>
            <m:r>
              <m:t>p</m:t>
            </m:r>
          </m:e>
          <m:sub>
            <m:r>
              <m:t>c</m:t>
            </m:r>
            <m:r>
              <m:rPr>
                <m:sty m:val="p"/>
              </m:rPr>
              <m:t>,</m:t>
            </m:r>
            <m:r>
              <m:t>h</m:t>
            </m:r>
            <m:r>
              <m:rPr>
                <m:sty m:val="p"/>
              </m:rPr>
              <m:t>,</m:t>
            </m:r>
            <m:r>
              <m:t>w</m:t>
            </m:r>
          </m:sub>
        </m:sSub>
      </m:oMath>
      <w:r>
        <w:rPr>
          <w:rFonts w:ascii="宋体" w:hAnsi="宋体" w:eastAsia="宋体"/>
          <w:b w:val="0"/>
          <w:sz w:val="24"/>
        </w:rPr>
        <w:t xml:space="preserve"> 表示裁剪后图像在通道 c、位置 (h,w) 的原始像素值，</w:t>
      </w:r>
      <m:oMath>
        <m:sSub>
          <m:e>
            <m:r>
              <m:t>μ</m:t>
            </m:r>
          </m:e>
          <m:sub>
            <m:r>
              <m:t>c</m:t>
            </m:r>
          </m:sub>
        </m:sSub>
      </m:oMath>
      <w:r>
        <w:rPr>
          <w:rFonts w:ascii="宋体" w:hAnsi="宋体" w:eastAsia="宋体"/>
          <w:b w:val="0"/>
          <w:sz w:val="24"/>
        </w:rPr>
        <w:t xml:space="preserve"> 与 </w:t>
      </w:r>
      <m:oMath>
        <m:sSub>
          <m:e>
            <m:r>
              <m:t>σ</m:t>
            </m:r>
          </m:e>
          <m:sub>
            <m:r>
              <m:t>c</m:t>
            </m:r>
          </m:sub>
        </m:sSub>
      </m:oMath>
      <w:r>
        <w:rPr>
          <w:rFonts w:ascii="宋体" w:hAnsi="宋体" w:eastAsia="宋体"/>
          <w:b w:val="0"/>
          <w:sz w:val="24"/>
        </w:rPr>
        <w:t xml:space="preserve"> 分别对应 ImageNet 均值与标准差，</w:t>
      </w:r>
      <m:oMath>
        <m:sSub>
          <m:e>
            <m:r>
              <m:t>x</m:t>
            </m:r>
          </m:e>
          <m:sub>
            <m:r>
              <m:t>c</m:t>
            </m:r>
            <m:r>
              <m:rPr>
                <m:sty m:val="p"/>
              </m:rPr>
              <m:t>,</m:t>
            </m:r>
            <m:r>
              <m:t>h</m:t>
            </m:r>
            <m:r>
              <m:rPr>
                <m:sty m:val="p"/>
              </m:rPr>
              <m:t>,</m:t>
            </m:r>
            <m:r>
              <m:t>w</m:t>
            </m:r>
          </m:sub>
        </m:sSub>
      </m:oMath>
      <w:r>
        <w:rPr>
          <w:rFonts w:ascii="宋体" w:hAnsi="宋体" w:eastAsia="宋体"/>
          <w:b w:val="0"/>
          <w:sz w:val="24"/>
        </w:rPr>
        <w:t xml:space="preserve"> 为送入模型的归一化张量值。为避免浏览器端异常数值写入底层缓冲区，前端会先将归一化结果裁剪到 [-2, 2]，再以 little-endian Float32 方式写入 share 字节流；审计链则把源图哈希、归一化张量哈希与两份 share 哈希绑定到同一个 nonce 上。</w:t>
      </w:r>
    </w:p>
    <w:p>
      <w:pPr>
        <w:spacing w:line="360" w:lineRule="auto"/>
        <w:ind w:firstLine="0"/>
      </w:pPr>
      <w:r>
        <w:rPr>
          <w:rFonts w:ascii="黑体" w:hAnsi="黑体" w:eastAsia="黑体"/>
          <w:b/>
          <w:sz w:val="24"/>
        </w:rPr>
        <w:t>3.4 服务端权威快检与审计</w:t>
      </w:r>
    </w:p>
    <w:p>
      <w:pPr>
        <w:spacing w:line="360" w:lineRule="auto"/>
        <w:ind w:firstLine="480"/>
      </w:pPr>
      <w:r>
        <w:rPr>
          <w:rFonts w:ascii="宋体" w:hAnsi="宋体" w:eastAsia="宋体"/>
          <w:b w:val="0"/>
          <w:sz w:val="24"/>
        </w:rPr>
        <w:t>服务端在进入 SPU 之前，依次执行原始报文体读取上限、boundary 参数解析、多部件表单（multipart）原始结构预检、精确字段集约束、单字段 JSON 字节长度门、严格 UTF-8 结构化元数据解析、share 哈希校验、张量重构前内存对齐复制、非有限数与次正规数阻断、服务端数据质量复核，以及 nonce、payload 与来源 IP 维度的重放与并发守卫。审计层同时记录哈希摘要、控制面开销与事件落盘结果，以保证前端展示、服务端阻断与事后核查使用的是同一条证据链。</w:t>
      </w:r>
    </w:p>
    <w:p>
      <w:pPr>
        <w:spacing w:line="360" w:lineRule="auto"/>
        <w:ind w:firstLine="480"/>
      </w:pPr>
      <w:r>
        <w:rPr>
          <w:rFonts w:ascii="宋体" w:hAnsi="宋体" w:eastAsia="宋体"/>
          <w:b w:val="0"/>
          <w:sz w:val="24"/>
        </w:rPr>
        <w:t>服务端快检并非只核对客户端声明，而是围绕重构张量、质量摘要与容差关系进行权威复算。关键关系见式（3-6）至式（3-9）：</w:t>
      </w:r>
    </w:p>
    <w:p>
      <w:pPr>
        <w:tabs>
          <w:tab w:pos="4536" w:val="center"/>
          <w:tab w:pos="8712" w:val="right"/>
        </w:tabs>
        <w:spacing w:line="240" w:before="40" w:after="60"/>
        <w:ind w:firstLine="0"/>
        <w:jc w:val="left"/>
      </w:pPr>
      <w:r>
        <w:tab/>
      </w:r>
      <m:oMath>
        <m:r>
          <m:t>X</m:t>
        </m:r>
        <m:r>
          <m:rPr>
            <m:sty m:val="p"/>
          </m:rPr>
          <m:t>=</m:t>
        </m:r>
        <m:r>
          <m:rPr>
            <m:sty m:val="p"/>
          </m:rPr>
          <m:t>share0</m:t>
        </m:r>
        <m:r>
          <m:rPr>
            <m:sty m:val="p"/>
          </m:rPr>
          <m:t>+</m:t>
        </m:r>
        <m:r>
          <m:rPr>
            <m:sty m:val="p"/>
          </m:rPr>
          <m:t>share1</m:t>
        </m:r>
        <m:r>
          <m:rPr>
            <m:sty m:val="p"/>
          </m:rPr>
          <m:t>,</m:t>
        </m:r>
        <m:r>
          <m:rPr>
            <m:sty m:val="p"/>
          </m:rPr>
          <m:t> </m:t>
        </m:r>
        <m:r>
          <m:rPr>
            <m:sty m:val="p"/>
          </m:rPr>
          <m:t>RGB</m:t>
        </m:r>
        <m:r>
          <m:rPr>
            <m:sty m:val="p"/>
          </m:rPr>
          <m:t>=</m:t>
        </m:r>
        <m:r>
          <m:t>X</m:t>
        </m:r>
        <m:r>
          <m:rPr>
            <m:sty m:val="p"/>
          </m:rPr>
          <m:t>⊙</m:t>
        </m:r>
        <m:r>
          <m:t>σ</m:t>
        </m:r>
        <m:r>
          <m:rPr>
            <m:sty m:val="p"/>
          </m:rPr>
          <m:t>+</m:t>
        </m:r>
        <m:r>
          <m:t>μ</m:t>
        </m:r>
      </m:oMath>
      <w:r>
        <w:rPr>
          <w:rFonts w:ascii="Times New Roman" w:hAnsi="Times New Roman" w:eastAsia="Times New Roman"/>
          <w:b w:val="0"/>
          <w:sz w:val="21"/>
        </w:rPr>
        <w:tab/>
        <w:t>(3-6)</w:t>
      </w:r>
    </w:p>
    <w:p>
      <w:pPr>
        <w:tabs>
          <w:tab w:pos="4536" w:val="center"/>
          <w:tab w:pos="8712" w:val="right"/>
        </w:tabs>
        <w:spacing w:line="240" w:before="40" w:after="60"/>
        <w:ind w:firstLine="0"/>
        <w:jc w:val="left"/>
      </w:pPr>
      <w:r>
        <w:tab/>
      </w:r>
      <m:oMath>
        <m:sSub>
          <m:e>
            <m:r>
              <m:t>L</m:t>
            </m:r>
          </m:e>
          <m:sub>
            <m:r>
              <m:t>i</m:t>
            </m:r>
          </m:sub>
        </m:sSub>
        <m:r>
          <m:rPr>
            <m:sty m:val="p"/>
          </m:rPr>
          <m:t>=</m:t>
        </m:r>
        <m:r>
          <m:rPr>
            <m:sty m:val="p"/>
          </m:rPr>
          <m:t>0.299</m:t>
        </m:r>
        <m:sSub>
          <m:e>
            <m:r>
              <m:t>R</m:t>
            </m:r>
          </m:e>
          <m:sub>
            <m:r>
              <m:t>i</m:t>
            </m:r>
          </m:sub>
        </m:sSub>
        <m:r>
          <m:rPr>
            <m:sty m:val="p"/>
          </m:rPr>
          <m:t>+</m:t>
        </m:r>
        <m:r>
          <m:rPr>
            <m:sty m:val="p"/>
          </m:rPr>
          <m:t>0.587</m:t>
        </m:r>
        <m:sSub>
          <m:e>
            <m:r>
              <m:t>G</m:t>
            </m:r>
          </m:e>
          <m:sub>
            <m:r>
              <m:t>i</m:t>
            </m:r>
          </m:sub>
        </m:sSub>
        <m:r>
          <m:rPr>
            <m:sty m:val="p"/>
          </m:rPr>
          <m:t>+</m:t>
        </m:r>
        <m:r>
          <m:rPr>
            <m:sty m:val="p"/>
          </m:rPr>
          <m:t>0.114</m:t>
        </m:r>
        <m:sSub>
          <m:e>
            <m:r>
              <m:t>B</m:t>
            </m:r>
          </m:e>
          <m:sub>
            <m:r>
              <m:t>i</m:t>
            </m:r>
          </m:sub>
        </m:sSub>
        <m:r>
          <m:rPr>
            <m:sty m:val="p"/>
          </m:rPr>
          <m:t>,</m:t>
        </m:r>
        <m:r>
          <m:rPr>
            <m:sty m:val="p"/>
          </m:rPr>
          <m:t> </m:t>
        </m:r>
        <m:r>
          <m:rPr>
            <m:sty m:val="p"/>
          </m:rPr>
          <m:t>OverExp</m:t>
        </m:r>
        <m:r>
          <m:rPr>
            <m:sty m:val="p"/>
          </m:rPr>
          <m:t>=</m:t>
        </m:r>
        <m:f>
          <m:num>
            <m:r>
              <m:rPr>
                <m:sty m:val="p"/>
              </m:rPr>
              <m:t>1</m:t>
            </m:r>
          </m:num>
          <m:den>
            <m:r>
              <m:t>N</m:t>
            </m:r>
          </m:den>
        </m:f>
        <m:nary>
          <m:naryPr>
            <m:chr m:val="∑"/>
          </m:naryPr>
          <m:sub>
            <m:r>
              <m:t>i</m:t>
            </m:r>
            <m:r>
              <m:rPr>
                <m:sty m:val="p"/>
              </m:rPr>
              <m:t>=</m:t>
            </m:r>
            <m:r>
              <m:rPr>
                <m:sty m:val="p"/>
              </m:rPr>
              <m:t>1</m:t>
            </m:r>
          </m:sub>
          <m:sup>
            <m:r>
              <m:t>N</m:t>
            </m:r>
          </m:sup>
          <m:e>
            <m:r>
              <m:rPr>
                <m:sty m:val="p"/>
              </m:rPr>
              <m:t>1</m:t>
            </m:r>
            <m:d>
              <m:dPr>
                <m:begChr m:val="["/>
                <m:endChr m:val="]"/>
              </m:dPr>
              <m:e>
                <m:sSub>
                  <m:e>
                    <m:r>
                      <m:t>L</m:t>
                    </m:r>
                  </m:e>
                  <m:sub>
                    <m:r>
                      <m:t>i</m:t>
                    </m:r>
                  </m:sub>
                </m:sSub>
                <m:r>
                  <m:rPr>
                    <m:sty m:val="p"/>
                  </m:rPr>
                  <m:t>≥</m:t>
                </m:r>
                <m:r>
                  <m:rPr>
                    <m:sty m:val="p"/>
                  </m:rPr>
                  <m:t>0.95</m:t>
                </m:r>
              </m:e>
            </m:d>
          </m:e>
        </m:nary>
      </m:oMath>
      <w:r>
        <w:rPr>
          <w:rFonts w:ascii="Times New Roman" w:hAnsi="Times New Roman" w:eastAsia="Times New Roman"/>
          <w:b w:val="0"/>
          <w:sz w:val="21"/>
        </w:rPr>
        <w:tab/>
        <w:t>(3-7)</w:t>
      </w:r>
    </w:p>
    <w:p>
      <w:pPr>
        <w:tabs>
          <w:tab w:pos="4536" w:val="center"/>
          <w:tab w:pos="8712" w:val="right"/>
        </w:tabs>
        <w:spacing w:line="240" w:before="40" w:after="60"/>
        <w:ind w:firstLine="0"/>
        <w:jc w:val="left"/>
      </w:pPr>
      <w:r>
        <w:tab/>
      </w:r>
      <m:oMath>
        <m:r>
          <m:rPr>
            <m:sty m:val="p"/>
          </m:rPr>
          <m:t>lap</m:t>
        </m:r>
        <m:d>
          <m:dPr>
            <m:begChr m:val="("/>
            <m:endChr m:val=")"/>
          </m:dPr>
          <m:e>
            <m:r>
              <m:t>x</m:t>
            </m:r>
            <m:r>
              <m:rPr>
                <m:sty m:val="p"/>
              </m:rPr>
              <m:t>,</m:t>
            </m:r>
            <m:r>
              <m:t>y</m:t>
            </m:r>
          </m:e>
        </m:d>
        <m:r>
          <m:rPr>
            <m:sty m:val="p"/>
          </m:rPr>
          <m:t>=</m:t>
        </m:r>
        <m:r>
          <m:rPr>
            <m:sty m:val="p"/>
          </m:rPr>
          <m:t>−</m:t>
        </m:r>
        <m:r>
          <m:rPr>
            <m:sty m:val="p"/>
          </m:rPr>
          <m:t>4</m:t>
        </m:r>
        <m:r>
          <m:t>L</m:t>
        </m:r>
        <m:d>
          <m:dPr>
            <m:begChr m:val="("/>
            <m:endChr m:val=")"/>
          </m:dPr>
          <m:e>
            <m:r>
              <m:t>x</m:t>
            </m:r>
            <m:r>
              <m:rPr>
                <m:sty m:val="p"/>
              </m:rPr>
              <m:t>,</m:t>
            </m:r>
            <m:r>
              <m:t>y</m:t>
            </m:r>
          </m:e>
        </m:d>
        <m:r>
          <m:rPr>
            <m:sty m:val="p"/>
          </m:rPr>
          <m:t>+</m:t>
        </m:r>
        <m:r>
          <m:t>L</m:t>
        </m:r>
        <m:d>
          <m:dPr>
            <m:begChr m:val="("/>
            <m:endChr m:val=")"/>
          </m:dPr>
          <m:e>
            <m:r>
              <m:t>x</m:t>
            </m:r>
            <m:r>
              <m:rPr>
                <m:sty m:val="p"/>
              </m:rPr>
              <m:t>−</m:t>
            </m:r>
            <m:r>
              <m:rPr>
                <m:sty m:val="p"/>
              </m:rPr>
              <m:t>1</m:t>
            </m:r>
            <m:r>
              <m:rPr>
                <m:sty m:val="p"/>
              </m:rPr>
              <m:t>,</m:t>
            </m:r>
            <m:r>
              <m:t>y</m:t>
            </m:r>
          </m:e>
        </m:d>
        <m:r>
          <m:rPr>
            <m:sty m:val="p"/>
          </m:rPr>
          <m:t>+</m:t>
        </m:r>
        <m:r>
          <m:t>L</m:t>
        </m:r>
        <m:d>
          <m:dPr>
            <m:begChr m:val="("/>
            <m:endChr m:val=")"/>
          </m:dPr>
          <m:e>
            <m:r>
              <m:t>x</m:t>
            </m:r>
            <m:r>
              <m:rPr>
                <m:sty m:val="p"/>
              </m:rPr>
              <m:t>+</m:t>
            </m:r>
            <m:r>
              <m:rPr>
                <m:sty m:val="p"/>
              </m:rPr>
              <m:t>1</m:t>
            </m:r>
            <m:r>
              <m:rPr>
                <m:sty m:val="p"/>
              </m:rPr>
              <m:t>,</m:t>
            </m:r>
            <m:r>
              <m:t>y</m:t>
            </m:r>
          </m:e>
        </m:d>
        <m:r>
          <m:rPr>
            <m:sty m:val="p"/>
          </m:rPr>
          <m:t>+</m:t>
        </m:r>
        <m:r>
          <m:t>L</m:t>
        </m:r>
        <m:d>
          <m:dPr>
            <m:begChr m:val="("/>
            <m:endChr m:val=")"/>
          </m:dPr>
          <m:e>
            <m:r>
              <m:t>x</m:t>
            </m:r>
            <m:r>
              <m:rPr>
                <m:sty m:val="p"/>
              </m:rPr>
              <m:t>,</m:t>
            </m:r>
            <m:r>
              <m:t>y</m:t>
            </m:r>
            <m:r>
              <m:rPr>
                <m:sty m:val="p"/>
              </m:rPr>
              <m:t>−</m:t>
            </m:r>
            <m:r>
              <m:rPr>
                <m:sty m:val="p"/>
              </m:rPr>
              <m:t>1</m:t>
            </m:r>
          </m:e>
        </m:d>
        <m:r>
          <m:rPr>
            <m:sty m:val="p"/>
          </m:rPr>
          <m:t>+</m:t>
        </m:r>
        <m:r>
          <m:t>L</m:t>
        </m:r>
        <m:d>
          <m:dPr>
            <m:begChr m:val="("/>
            <m:endChr m:val=")"/>
          </m:dPr>
          <m:e>
            <m:r>
              <m:t>x</m:t>
            </m:r>
            <m:r>
              <m:rPr>
                <m:sty m:val="p"/>
              </m:rPr>
              <m:t>,</m:t>
            </m:r>
            <m:r>
              <m:t>y</m:t>
            </m:r>
            <m:r>
              <m:rPr>
                <m:sty m:val="p"/>
              </m:rPr>
              <m:t>+</m:t>
            </m:r>
            <m:r>
              <m:rPr>
                <m:sty m:val="p"/>
              </m:rPr>
              <m:t>1</m:t>
            </m:r>
          </m:e>
        </m:d>
      </m:oMath>
      <w:r>
        <w:rPr>
          <w:rFonts w:ascii="Times New Roman" w:hAnsi="Times New Roman" w:eastAsia="Times New Roman"/>
          <w:b w:val="0"/>
          <w:sz w:val="21"/>
        </w:rPr>
        <w:tab/>
        <w:t>(3-8)</w:t>
      </w:r>
    </w:p>
    <w:p>
      <w:pPr>
        <w:tabs>
          <w:tab w:pos="4536" w:val="center"/>
          <w:tab w:pos="8712" w:val="right"/>
        </w:tabs>
        <w:spacing w:line="240" w:before="40" w:after="60"/>
        <w:ind w:firstLine="0"/>
        <w:jc w:val="left"/>
      </w:pPr>
      <w:r>
        <w:tab/>
      </w:r>
      <m:oMath>
        <m:sSub>
          <m:e>
            <m:r>
              <m:t>Δ</m:t>
            </m:r>
          </m:e>
          <m:sub>
            <m:r>
              <m:t>k</m:t>
            </m:r>
          </m:sub>
        </m:sSub>
        <m:r>
          <m:rPr>
            <m:sty m:val="p"/>
          </m:rPr>
          <m:t>=</m:t>
        </m:r>
        <m:d>
          <m:dPr>
            <m:begChr m:val="|"/>
            <m:endChr m:val="|"/>
          </m:dPr>
          <m:e>
            <m:sSubSup>
              <m:e>
                <m:r>
                  <m:t>q</m:t>
                </m:r>
              </m:e>
              <m:sub>
                <m:r>
                  <m:t>k</m:t>
                </m:r>
              </m:sub>
              <m:sup>
                <m:d>
                  <m:dPr>
                    <m:begChr m:val="("/>
                    <m:endChr m:val=")"/>
                  </m:dPr>
                  <m:e>
                    <m:r>
                      <m:rPr>
                        <m:sty m:val="p"/>
                      </m:rPr>
                      <m:t>client</m:t>
                    </m:r>
                  </m:e>
                </m:d>
              </m:sup>
            </m:sSubSup>
            <m:r>
              <m:rPr>
                <m:sty m:val="p"/>
              </m:rPr>
              <m:t>−</m:t>
            </m:r>
            <m:sSubSup>
              <m:e>
                <m:r>
                  <m:t>q</m:t>
                </m:r>
              </m:e>
              <m:sub>
                <m:r>
                  <m:t>k</m:t>
                </m:r>
              </m:sub>
              <m:sup>
                <m:d>
                  <m:dPr>
                    <m:begChr m:val="("/>
                    <m:endChr m:val=")"/>
                  </m:dPr>
                  <m:e>
                    <m:r>
                      <m:rPr>
                        <m:sty m:val="p"/>
                      </m:rPr>
                      <m:t>server</m:t>
                    </m:r>
                  </m:e>
                </m:d>
              </m:sup>
            </m:sSubSup>
          </m:e>
        </m:d>
        <m:r>
          <m:rPr>
            <m:sty m:val="p"/>
          </m:rPr>
          <m:t>,</m:t>
        </m:r>
        <m:r>
          <m:rPr>
            <m:sty m:val="p"/>
          </m:rPr>
          <m:t> </m:t>
        </m:r>
        <m:sSub>
          <m:e>
            <m:r>
              <m:t>Δ</m:t>
            </m:r>
          </m:e>
          <m:sub>
            <m:r>
              <m:t>k</m:t>
            </m:r>
          </m:sub>
        </m:sSub>
        <m:r>
          <m:rPr>
            <m:sty m:val="p"/>
          </m:rPr>
          <m:t>≤</m:t>
        </m:r>
        <m:sSup>
          <m:e>
            <m:r>
              <m:rPr>
                <m:sty m:val="p"/>
              </m:rPr>
              <m:t>10</m:t>
            </m:r>
          </m:e>
          <m:sup>
            <m:r>
              <m:rPr>
                <m:sty m:val="p"/>
              </m:rPr>
              <m:t>−4</m:t>
            </m:r>
          </m:sup>
        </m:sSup>
      </m:oMath>
      <w:r>
        <w:rPr>
          <w:rFonts w:ascii="Times New Roman" w:hAnsi="Times New Roman" w:eastAsia="Times New Roman"/>
          <w:b w:val="0"/>
          <w:sz w:val="21"/>
        </w:rPr>
        <w:tab/>
        <w:t>(3-9)</w:t>
      </w:r>
    </w:p>
    <w:p>
      <w:pPr>
        <w:spacing w:line="360" w:lineRule="auto"/>
        <w:ind w:firstLine="480"/>
      </w:pPr>
      <w:r>
        <w:rPr>
          <w:rFonts w:ascii="宋体" w:hAnsi="宋体" w:eastAsia="宋体"/>
          <w:b w:val="0"/>
          <w:sz w:val="24"/>
        </w:rPr>
        <w:t xml:space="preserve">其中，服务端会先对 share 执行内存对齐复制，再将绝对值小于 1e-30 的极小值刷新为零，以切断次正规数带来的微代码异常路径；随后检查 share 与重构张量是否存在非有限值，以及 share 幅值是否超过 1e3。对客户端与服务端分别得到的质量摘要 </w:t>
      </w:r>
      <m:oMath>
        <m:sSub>
          <m:e>
            <m:r>
              <m:t>q</m:t>
            </m:r>
          </m:e>
          <m:sub>
            <m:r>
              <m:t>k</m:t>
            </m:r>
          </m:sub>
        </m:sSub>
      </m:oMath>
      <w:r>
        <w:rPr>
          <w:rFonts w:ascii="宋体" w:hAnsi="宋体" w:eastAsia="宋体"/>
          <w:b w:val="0"/>
          <w:sz w:val="24"/>
        </w:rPr>
        <w:t>，只在基础连续数值出现显著偏离时才标记可疑漂移，而不会仅凭离散风险标签不一致就直接判定篡改。</w:t>
      </w:r>
    </w:p>
    <w:p>
      <w:pPr>
        <w:spacing w:line="288"/>
        <w:ind w:firstLine="0"/>
        <w:jc w:val="center"/>
      </w:pPr>
      <w:r>
        <w:rPr>
          <w:rFonts w:ascii="宋体" w:hAnsi="宋体" w:eastAsia="宋体"/>
          <w:b w:val="0"/>
          <w:sz w:val="21"/>
        </w:rPr>
        <w:t>表3-1 第三章关键符号说明</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符号</w:t>
            </w:r>
          </w:p>
        </w:tc>
        <w:tc>
          <w:tcPr>
            <w:tcW w:type="dxa" w:w="2940"/>
          </w:tcPr>
          <w:p>
            <w:pPr>
              <w:jc w:val="center"/>
            </w:pPr>
            <w:r/>
            <w:r>
              <w:rPr>
                <w:rFonts w:ascii="宋体" w:hAnsi="宋体" w:eastAsia="宋体"/>
                <w:b/>
                <w:sz w:val="18"/>
              </w:rPr>
              <w:t>含义</w:t>
            </w:r>
          </w:p>
        </w:tc>
        <w:tc>
          <w:tcPr>
            <w:tcW w:type="dxa" w:w="2940"/>
          </w:tcPr>
          <w:p>
            <w:pPr>
              <w:jc w:val="center"/>
            </w:pPr>
            <w:r/>
            <w:r>
              <w:rPr>
                <w:rFonts w:ascii="宋体" w:hAnsi="宋体" w:eastAsia="宋体"/>
                <w:b/>
                <w:sz w:val="18"/>
              </w:rPr>
              <w:t>出现位置</w:t>
            </w:r>
          </w:p>
        </w:tc>
      </w:tr>
      <w:tr>
        <w:tc>
          <w:tcPr>
            <w:tcW w:type="dxa" w:w="2940"/>
          </w:tcPr>
          <w:p>
            <w:pPr>
              <w:jc w:val="center"/>
            </w:pPr>
            <w:r/>
            <m:oMath>
              <m:sSup>
                <m:e>
                  <m:r>
                    <m:t>s</m:t>
                  </m:r>
                </m:e>
                <m:sup>
                  <m:d>
                    <m:dPr>
                      <m:begChr m:val="("/>
                      <m:endChr m:val=")"/>
                    </m:dPr>
                    <m:e>
                      <m:r>
                        <m:t>l</m:t>
                      </m:r>
                    </m:e>
                  </m:d>
                </m:sup>
              </m:sSup>
            </m:oMath>
          </w:p>
        </w:tc>
        <w:tc>
          <w:tcPr>
            <w:tcW w:type="dxa" w:w="2940"/>
          </w:tcPr>
          <w:p>
            <w:r/>
            <w:r>
              <w:rPr>
                <w:rFonts w:ascii="宋体" w:hAnsi="宋体" w:eastAsia="宋体"/>
                <w:b w:val="0"/>
                <w:sz w:val="18"/>
              </w:rPr>
              <w:t>第 l 个剪枝 stage 的词元得分向量</w:t>
            </w:r>
          </w:p>
        </w:tc>
        <w:tc>
          <w:tcPr>
            <w:tcW w:type="dxa" w:w="2940"/>
          </w:tcPr>
          <w:p>
            <w:pPr>
              <w:jc w:val="center"/>
            </w:pPr>
            <w:r/>
            <w:r>
              <w:rPr>
                <w:rFonts w:ascii="宋体" w:hAnsi="宋体" w:eastAsia="宋体"/>
                <w:b w:val="0"/>
                <w:sz w:val="18"/>
              </w:rPr>
              <w:t>式(3-1)</w:t>
            </w:r>
          </w:p>
        </w:tc>
      </w:tr>
      <w:tr>
        <w:tc>
          <w:tcPr>
            <w:tcW w:type="dxa" w:w="2940"/>
          </w:tcPr>
          <w:p>
            <w:pPr>
              <w:jc w:val="center"/>
            </w:pPr>
            <w:r/>
            <m:oMath>
              <m:sSup>
                <m:e>
                  <m:r>
                    <m:t>K</m:t>
                  </m:r>
                </m:e>
                <m:sup>
                  <m:d>
                    <m:dPr>
                      <m:begChr m:val="("/>
                      <m:endChr m:val=")"/>
                    </m:dPr>
                    <m:e>
                      <m:r>
                        <m:t>l</m:t>
                      </m:r>
                    </m:e>
                  </m:d>
                </m:sup>
              </m:sSup>
            </m:oMath>
          </w:p>
        </w:tc>
        <w:tc>
          <w:tcPr>
            <w:tcW w:type="dxa" w:w="2940"/>
          </w:tcPr>
          <w:p>
            <w:r/>
            <w:r>
              <w:rPr>
                <w:rFonts w:ascii="宋体" w:hAnsi="宋体" w:eastAsia="宋体"/>
                <w:b w:val="0"/>
                <w:sz w:val="18"/>
              </w:rPr>
              <w:t>第 l 个剪枝 stage 允许保留的词元数</w:t>
            </w:r>
          </w:p>
        </w:tc>
        <w:tc>
          <w:tcPr>
            <w:tcW w:type="dxa" w:w="2940"/>
          </w:tcPr>
          <w:p>
            <w:pPr>
              <w:jc w:val="center"/>
            </w:pPr>
            <w:r/>
            <w:r>
              <w:rPr>
                <w:rFonts w:ascii="宋体" w:hAnsi="宋体" w:eastAsia="宋体"/>
                <w:b w:val="0"/>
                <w:sz w:val="18"/>
              </w:rPr>
              <w:t>式(3-1)</w:t>
            </w:r>
          </w:p>
        </w:tc>
      </w:tr>
      <w:tr>
        <w:tc>
          <w:tcPr>
            <w:tcW w:type="dxa" w:w="2940"/>
          </w:tcPr>
          <w:p>
            <w:pPr>
              <w:jc w:val="center"/>
            </w:pPr>
            <w:r/>
            <m:oMath>
              <m:sSup>
                <m:e>
                  <m:r>
                    <m:t>τ</m:t>
                  </m:r>
                </m:e>
                <m:sup>
                  <m:d>
                    <m:dPr>
                      <m:begChr m:val="("/>
                      <m:endChr m:val=")"/>
                    </m:dPr>
                    <m:e>
                      <m:r>
                        <m:t>l</m:t>
                      </m:r>
                    </m:e>
                  </m:d>
                </m:sup>
              </m:sSup>
            </m:oMath>
          </w:p>
        </w:tc>
        <w:tc>
          <w:tcPr>
            <w:tcW w:type="dxa" w:w="2940"/>
          </w:tcPr>
          <w:p>
            <w:r/>
            <w:r>
              <w:rPr>
                <w:rFonts w:ascii="宋体" w:hAnsi="宋体" w:eastAsia="宋体"/>
                <w:b w:val="0"/>
                <w:sz w:val="18"/>
              </w:rPr>
              <w:t>由安全 Top-K 边界导出的保留阈值</w:t>
            </w:r>
          </w:p>
        </w:tc>
        <w:tc>
          <w:tcPr>
            <w:tcW w:type="dxa" w:w="2940"/>
          </w:tcPr>
          <w:p>
            <w:pPr>
              <w:jc w:val="center"/>
            </w:pPr>
            <w:r/>
            <w:r>
              <w:rPr>
                <w:rFonts w:ascii="宋体" w:hAnsi="宋体" w:eastAsia="宋体"/>
                <w:b w:val="0"/>
                <w:sz w:val="18"/>
              </w:rPr>
              <w:t>式(3-1)</w:t>
            </w:r>
          </w:p>
        </w:tc>
      </w:tr>
      <w:tr>
        <w:tc>
          <w:tcPr>
            <w:tcW w:type="dxa" w:w="2940"/>
          </w:tcPr>
          <w:p>
            <w:pPr>
              <w:jc w:val="center"/>
            </w:pPr>
            <w:r/>
            <m:oMath>
              <m:sSubSup>
                <m:e>
                  <m:r>
                    <m:t>e</m:t>
                  </m:r>
                </m:e>
                <m:sub>
                  <m:r>
                    <m:t>i</m:t>
                  </m:r>
                </m:sub>
                <m:sup>
                  <m:d>
                    <m:dPr>
                      <m:begChr m:val="("/>
                      <m:endChr m:val=")"/>
                    </m:dPr>
                    <m:e>
                      <m:r>
                        <m:t>l</m:t>
                      </m:r>
                    </m:e>
                  </m:d>
                </m:sup>
              </m:sSubSup>
              <m:r>
                <m:rPr>
                  <m:sty m:val="p"/>
                </m:rPr>
                <m:t xml:space="preserve">, </m:t>
              </m:r>
              <m:sSup>
                <m:e>
                  <m:r>
                    <m:t>π</m:t>
                  </m:r>
                </m:e>
                <m:sup>
                  <m:d>
                    <m:dPr>
                      <m:begChr m:val="("/>
                      <m:endChr m:val=")"/>
                    </m:dPr>
                    <m:e>
                      <m:r>
                        <m:t>l</m:t>
                      </m:r>
                    </m:e>
                  </m:d>
                </m:sup>
              </m:sSup>
            </m:oMath>
          </w:p>
        </w:tc>
        <w:tc>
          <w:tcPr>
            <w:tcW w:type="dxa" w:w="2940"/>
          </w:tcPr>
          <w:p>
            <w:r/>
            <w:r>
              <w:rPr>
                <w:rFonts w:ascii="宋体" w:hAnsi="宋体" w:eastAsia="宋体"/>
                <w:b w:val="0"/>
                <w:sz w:val="18"/>
              </w:rPr>
              <w:t>编码键与经双调排序得到的索引排列</w:t>
            </w:r>
          </w:p>
        </w:tc>
        <w:tc>
          <w:tcPr>
            <w:tcW w:type="dxa" w:w="2940"/>
          </w:tcPr>
          <w:p>
            <w:pPr>
              <w:jc w:val="center"/>
            </w:pPr>
            <w:r/>
            <w:r>
              <w:rPr>
                <w:rFonts w:ascii="宋体" w:hAnsi="宋体" w:eastAsia="宋体"/>
                <w:b w:val="0"/>
                <w:sz w:val="18"/>
              </w:rPr>
              <w:t>式(3-2a)、式(3-2b)</w:t>
            </w:r>
          </w:p>
        </w:tc>
      </w:tr>
      <w:tr>
        <w:tc>
          <w:tcPr>
            <w:tcW w:type="dxa" w:w="2940"/>
          </w:tcPr>
          <w:p>
            <w:pPr>
              <w:jc w:val="center"/>
            </w:pPr>
            <w:r/>
            <m:oMath>
              <m:sSubSup>
                <m:e>
                  <m:r>
                    <m:t>m</m:t>
                  </m:r>
                </m:e>
                <m:sub>
                  <m:r>
                    <m:t>i</m:t>
                  </m:r>
                </m:sub>
                <m:sup>
                  <m:d>
                    <m:dPr>
                      <m:begChr m:val="("/>
                      <m:endChr m:val=")"/>
                    </m:dPr>
                    <m:e>
                      <m:r>
                        <m:t>l</m:t>
                      </m:r>
                    </m:e>
                  </m:d>
                </m:sup>
              </m:sSubSup>
            </m:oMath>
          </w:p>
        </w:tc>
        <w:tc>
          <w:tcPr>
            <w:tcW w:type="dxa" w:w="2940"/>
          </w:tcPr>
          <w:p>
            <w:r/>
            <w:r>
              <w:rPr>
                <w:rFonts w:ascii="宋体" w:hAnsi="宋体" w:eastAsia="宋体"/>
                <w:b w:val="0"/>
                <w:sz w:val="18"/>
              </w:rPr>
              <w:t>第 i 个词元在第 l 个 stage 的保留掩码</w:t>
            </w:r>
          </w:p>
        </w:tc>
        <w:tc>
          <w:tcPr>
            <w:tcW w:type="dxa" w:w="2940"/>
          </w:tcPr>
          <w:p>
            <w:pPr>
              <w:jc w:val="center"/>
            </w:pPr>
            <w:r/>
            <w:r>
              <w:rPr>
                <w:rFonts w:ascii="宋体" w:hAnsi="宋体" w:eastAsia="宋体"/>
                <w:b w:val="0"/>
                <w:sz w:val="18"/>
              </w:rPr>
              <w:t>式(3-1)、式(3-2)、式(3-2b)</w:t>
            </w:r>
          </w:p>
        </w:tc>
      </w:tr>
      <w:tr>
        <w:tc>
          <w:tcPr>
            <w:tcW w:type="dxa" w:w="2940"/>
          </w:tcPr>
          <w:p>
            <w:pPr>
              <w:jc w:val="center"/>
            </w:pPr>
            <w:r/>
            <m:oMath>
              <m:sSubSup>
                <m:e>
                  <m:r>
                    <m:t>h</m:t>
                  </m:r>
                </m:e>
                <m:sub>
                  <m:r>
                    <m:t>i</m:t>
                  </m:r>
                </m:sub>
                <m:sup>
                  <m:d>
                    <m:dPr>
                      <m:begChr m:val="("/>
                      <m:endChr m:val=")"/>
                    </m:dPr>
                    <m:e>
                      <m:r>
                        <m:t>l</m:t>
                      </m:r>
                    </m:e>
                  </m:d>
                </m:sup>
              </m:sSubSup>
              <m:r>
                <m:rPr>
                  <m:sty m:val="p"/>
                </m:rPr>
                <m:t xml:space="preserve">, </m:t>
              </m:r>
              <m:sSubSup>
                <m:e>
                  <m:acc>
                    <m:accPr>
                      <m:chr m:val="̃"/>
                    </m:accPr>
                    <m:e>
                      <m:r>
                        <m:t>h</m:t>
                      </m:r>
                    </m:e>
                  </m:acc>
                </m:e>
                <m:sub>
                  <m:r>
                    <m:t>i</m:t>
                  </m:r>
                </m:sub>
                <m:sup>
                  <m:d>
                    <m:dPr>
                      <m:begChr m:val="("/>
                      <m:endChr m:val=")"/>
                    </m:dPr>
                    <m:e>
                      <m:r>
                        <m:t>l</m:t>
                      </m:r>
                    </m:e>
                  </m:d>
                </m:sup>
              </m:sSubSup>
            </m:oMath>
          </w:p>
        </w:tc>
        <w:tc>
          <w:tcPr>
            <w:tcW w:type="dxa" w:w="2940"/>
          </w:tcPr>
          <w:p>
            <w:r/>
            <w:r>
              <w:rPr>
                <w:rFonts w:ascii="宋体" w:hAnsi="宋体" w:eastAsia="宋体"/>
                <w:b w:val="0"/>
                <w:sz w:val="18"/>
              </w:rPr>
              <w:t>原始词元表征与掩码后的词元表征</w:t>
            </w:r>
          </w:p>
        </w:tc>
        <w:tc>
          <w:tcPr>
            <w:tcW w:type="dxa" w:w="2940"/>
          </w:tcPr>
          <w:p>
            <w:pPr>
              <w:jc w:val="center"/>
            </w:pPr>
            <w:r/>
            <w:r>
              <w:rPr>
                <w:rFonts w:ascii="宋体" w:hAnsi="宋体" w:eastAsia="宋体"/>
                <w:b w:val="0"/>
                <w:sz w:val="18"/>
              </w:rPr>
              <w:t>式(3-2)</w:t>
            </w:r>
          </w:p>
        </w:tc>
      </w:tr>
      <w:tr>
        <w:tc>
          <w:tcPr>
            <w:tcW w:type="dxa" w:w="2940"/>
          </w:tcPr>
          <w:p>
            <w:pPr>
              <w:jc w:val="center"/>
            </w:pPr>
            <w:r/>
            <m:oMath>
              <m:sSub>
                <m:e>
                  <m:r>
                    <m:t>p</m:t>
                  </m:r>
                </m:e>
                <m:sub>
                  <m:r>
                    <m:t>c</m:t>
                  </m:r>
                  <m:r>
                    <m:rPr>
                      <m:sty m:val="p"/>
                    </m:rPr>
                    <m:t>,</m:t>
                  </m:r>
                  <m:r>
                    <m:t>h</m:t>
                  </m:r>
                  <m:r>
                    <m:rPr>
                      <m:sty m:val="p"/>
                    </m:rPr>
                    <m:t>,</m:t>
                  </m:r>
                  <m:r>
                    <m:t>w</m:t>
                  </m:r>
                </m:sub>
              </m:sSub>
            </m:oMath>
          </w:p>
        </w:tc>
        <w:tc>
          <w:tcPr>
            <w:tcW w:type="dxa" w:w="2940"/>
          </w:tcPr>
          <w:p>
            <w:r/>
            <w:r>
              <w:rPr>
                <w:rFonts w:ascii="宋体" w:hAnsi="宋体" w:eastAsia="宋体"/>
                <w:b w:val="0"/>
                <w:sz w:val="18"/>
              </w:rPr>
              <w:t>裁剪后图像在通道 c、位置 (h,w) 的原始像素值</w:t>
            </w:r>
          </w:p>
        </w:tc>
        <w:tc>
          <w:tcPr>
            <w:tcW w:type="dxa" w:w="2940"/>
          </w:tcPr>
          <w:p>
            <w:pPr>
              <w:jc w:val="center"/>
            </w:pPr>
            <w:r/>
            <w:r>
              <w:rPr>
                <w:rFonts w:ascii="宋体" w:hAnsi="宋体" w:eastAsia="宋体"/>
                <w:b w:val="0"/>
                <w:sz w:val="18"/>
              </w:rPr>
              <w:t>式(3-3)</w:t>
            </w:r>
          </w:p>
        </w:tc>
      </w:tr>
      <w:tr>
        <w:tc>
          <w:tcPr>
            <w:tcW w:type="dxa" w:w="2940"/>
          </w:tcPr>
          <w:p>
            <w:pPr>
              <w:jc w:val="center"/>
            </w:pPr>
            <w:r/>
            <m:oMath>
              <m:sSub>
                <m:e>
                  <m:r>
                    <m:t>μ</m:t>
                  </m:r>
                </m:e>
                <m:sub>
                  <m:r>
                    <m:t>c</m:t>
                  </m:r>
                </m:sub>
              </m:sSub>
              <m:r>
                <m:rPr>
                  <m:sty m:val="p"/>
                </m:rPr>
                <m:t xml:space="preserve">, </m:t>
              </m:r>
              <m:sSub>
                <m:e>
                  <m:r>
                    <m:t>σ</m:t>
                  </m:r>
                </m:e>
                <m:sub>
                  <m:r>
                    <m:t>c</m:t>
                  </m:r>
                </m:sub>
              </m:sSub>
            </m:oMath>
          </w:p>
        </w:tc>
        <w:tc>
          <w:tcPr>
            <w:tcW w:type="dxa" w:w="2940"/>
          </w:tcPr>
          <w:p>
            <w:r/>
            <w:r>
              <w:rPr>
                <w:rFonts w:ascii="宋体" w:hAnsi="宋体" w:eastAsia="宋体"/>
                <w:b w:val="0"/>
                <w:sz w:val="18"/>
              </w:rPr>
              <w:t>通道 c 的归一化均值与标准差</w:t>
            </w:r>
          </w:p>
        </w:tc>
        <w:tc>
          <w:tcPr>
            <w:tcW w:type="dxa" w:w="2940"/>
          </w:tcPr>
          <w:p>
            <w:pPr>
              <w:jc w:val="center"/>
            </w:pPr>
            <w:r/>
            <w:r>
              <w:rPr>
                <w:rFonts w:ascii="宋体" w:hAnsi="宋体" w:eastAsia="宋体"/>
                <w:b w:val="0"/>
                <w:sz w:val="18"/>
              </w:rPr>
              <w:t>式(3-3)、式(3-6)</w:t>
            </w:r>
          </w:p>
        </w:tc>
      </w:tr>
      <w:tr>
        <w:tc>
          <w:tcPr>
            <w:tcW w:type="dxa" w:w="2940"/>
          </w:tcPr>
          <w:p>
            <w:pPr>
              <w:jc w:val="center"/>
            </w:pPr>
            <w:r/>
            <m:oMath>
              <m:sSub>
                <m:e>
                  <m:r>
                    <m:t>x</m:t>
                  </m:r>
                </m:e>
                <m:sub>
                  <m:r>
                    <m:t>c</m:t>
                  </m:r>
                  <m:r>
                    <m:rPr>
                      <m:sty m:val="p"/>
                    </m:rPr>
                    <m:t>,</m:t>
                  </m:r>
                  <m:r>
                    <m:t>h</m:t>
                  </m:r>
                  <m:r>
                    <m:rPr>
                      <m:sty m:val="p"/>
                    </m:rPr>
                    <m:t>,</m:t>
                  </m:r>
                  <m:r>
                    <m:t>w</m:t>
                  </m:r>
                </m:sub>
              </m:sSub>
            </m:oMath>
          </w:p>
        </w:tc>
        <w:tc>
          <w:tcPr>
            <w:tcW w:type="dxa" w:w="2940"/>
          </w:tcPr>
          <w:p>
            <w:r/>
            <w:r>
              <w:rPr>
                <w:rFonts w:ascii="宋体" w:hAnsi="宋体" w:eastAsia="宋体"/>
                <w:b w:val="0"/>
                <w:sz w:val="18"/>
              </w:rPr>
              <w:t>归一化后的模型输入张量</w:t>
            </w:r>
          </w:p>
        </w:tc>
        <w:tc>
          <w:tcPr>
            <w:tcW w:type="dxa" w:w="2940"/>
          </w:tcPr>
          <w:p>
            <w:pPr>
              <w:jc w:val="center"/>
            </w:pPr>
            <w:r/>
            <w:r>
              <w:rPr>
                <w:rFonts w:ascii="宋体" w:hAnsi="宋体" w:eastAsia="宋体"/>
                <w:b w:val="0"/>
                <w:sz w:val="18"/>
              </w:rPr>
              <w:t>式(3-3)、式(3-4)</w:t>
            </w:r>
          </w:p>
        </w:tc>
      </w:tr>
      <w:tr>
        <w:tc>
          <w:tcPr>
            <w:tcW w:type="dxa" w:w="2940"/>
          </w:tcPr>
          <w:p>
            <w:pPr>
              <w:jc w:val="center"/>
            </w:pPr>
            <w:r/>
            <m:oMath>
              <m:sSub>
                <m:e>
                  <m:r>
                    <m:rPr>
                      <m:sty m:val="p"/>
                    </m:rPr>
                    <m:t>share0</m:t>
                  </m:r>
                </m:e>
                <m:sub>
                  <m:r>
                    <m:t>c</m:t>
                  </m:r>
                  <m:r>
                    <m:rPr>
                      <m:sty m:val="p"/>
                    </m:rPr>
                    <m:t>,</m:t>
                  </m:r>
                  <m:r>
                    <m:t>h</m:t>
                  </m:r>
                  <m:r>
                    <m:rPr>
                      <m:sty m:val="p"/>
                    </m:rPr>
                    <m:t>,</m:t>
                  </m:r>
                  <m:r>
                    <m:t>w</m:t>
                  </m:r>
                </m:sub>
              </m:sSub>
              <m:r>
                <m:rPr>
                  <m:sty m:val="p"/>
                </m:rPr>
                <m:t xml:space="preserve">, </m:t>
              </m:r>
              <m:sSub>
                <m:e>
                  <m:r>
                    <m:rPr>
                      <m:sty m:val="p"/>
                    </m:rPr>
                    <m:t>share1</m:t>
                  </m:r>
                </m:e>
                <m:sub>
                  <m:r>
                    <m:t>c</m:t>
                  </m:r>
                  <m:r>
                    <m:rPr>
                      <m:sty m:val="p"/>
                    </m:rPr>
                    <m:t>,</m:t>
                  </m:r>
                  <m:r>
                    <m:t>h</m:t>
                  </m:r>
                  <m:r>
                    <m:rPr>
                      <m:sty m:val="p"/>
                    </m:rPr>
                    <m:t>,</m:t>
                  </m:r>
                  <m:r>
                    <m:t>w</m:t>
                  </m:r>
                </m:sub>
              </m:sSub>
            </m:oMath>
          </w:p>
        </w:tc>
        <w:tc>
          <w:tcPr>
            <w:tcW w:type="dxa" w:w="2940"/>
          </w:tcPr>
          <w:p>
            <w:r/>
            <w:r>
              <w:rPr>
                <w:rFonts w:ascii="宋体" w:hAnsi="宋体" w:eastAsia="宋体"/>
                <w:b w:val="0"/>
                <w:sz w:val="18"/>
              </w:rPr>
              <w:t>针对输入张量构造的两份秘密分享分片</w:t>
            </w:r>
          </w:p>
        </w:tc>
        <w:tc>
          <w:tcPr>
            <w:tcW w:type="dxa" w:w="2940"/>
          </w:tcPr>
          <w:p>
            <w:pPr>
              <w:jc w:val="center"/>
            </w:pPr>
            <w:r/>
            <w:r>
              <w:rPr>
                <w:rFonts w:ascii="宋体" w:hAnsi="宋体" w:eastAsia="宋体"/>
                <w:b w:val="0"/>
                <w:sz w:val="18"/>
              </w:rPr>
              <w:t>式(3-4)</w:t>
            </w:r>
          </w:p>
        </w:tc>
      </w:tr>
      <w:tr>
        <w:tc>
          <w:tcPr>
            <w:tcW w:type="dxa" w:w="2940"/>
          </w:tcPr>
          <w:p>
            <w:pPr>
              <w:jc w:val="center"/>
            </w:pPr>
            <w:r/>
            <m:oMath>
              <m:sSub>
                <m:e>
                  <m:r>
                    <m:t>q</m:t>
                  </m:r>
                </m:e>
                <m:sub>
                  <m:r>
                    <m:t>k</m:t>
                  </m:r>
                </m:sub>
              </m:sSub>
              <m:r>
                <m:rPr>
                  <m:sty m:val="p"/>
                </m:rPr>
                <m:t xml:space="preserve">, </m:t>
              </m:r>
              <m:sSub>
                <m:e>
                  <m:r>
                    <m:t>Δ</m:t>
                  </m:r>
                </m:e>
                <m:sub>
                  <m:r>
                    <m:t>k</m:t>
                  </m:r>
                </m:sub>
              </m:sSub>
            </m:oMath>
          </w:p>
        </w:tc>
        <w:tc>
          <w:tcPr>
            <w:tcW w:type="dxa" w:w="2940"/>
          </w:tcPr>
          <w:p>
            <w:r/>
            <w:r>
              <w:rPr>
                <w:rFonts w:ascii="宋体" w:hAnsi="宋体" w:eastAsia="宋体"/>
                <w:b w:val="0"/>
                <w:sz w:val="18"/>
              </w:rPr>
              <w:t>第 k 个质量指标及其客户端/服务端绝对偏差</w:t>
            </w:r>
          </w:p>
        </w:tc>
        <w:tc>
          <w:tcPr>
            <w:tcW w:type="dxa" w:w="2940"/>
          </w:tcPr>
          <w:p>
            <w:pPr>
              <w:jc w:val="center"/>
            </w:pPr>
            <w:r/>
            <w:r>
              <w:rPr>
                <w:rFonts w:ascii="宋体" w:hAnsi="宋体" w:eastAsia="宋体"/>
                <w:b w:val="0"/>
                <w:sz w:val="18"/>
              </w:rPr>
              <w:t>式(3-9)</w:t>
            </w:r>
          </w:p>
        </w:tc>
      </w:tr>
      <w:tr>
        <w:tc>
          <w:tcPr>
            <w:tcW w:type="dxa" w:w="2940"/>
          </w:tcPr>
          <w:p>
            <w:pPr>
              <w:jc w:val="center"/>
            </w:pPr>
            <w:r/>
            <m:oMath>
              <m:r>
                <m:t>N</m:t>
              </m:r>
              <m:r>
                <m:rPr>
                  <m:sty m:val="p"/>
                </m:rPr>
                <m:t xml:space="preserve">, </m:t>
              </m:r>
              <m:r>
                <m:t>L</m:t>
              </m:r>
              <m:d>
                <m:dPr>
                  <m:begChr m:val="("/>
                  <m:endChr m:val=")"/>
                </m:dPr>
                <m:e>
                  <m:r>
                    <m:t>x</m:t>
                  </m:r>
                  <m:r>
                    <m:rPr>
                      <m:sty m:val="p"/>
                    </m:rPr>
                    <m:t>,</m:t>
                  </m:r>
                  <m:r>
                    <m:t>y</m:t>
                  </m:r>
                </m:e>
              </m:d>
              <m:r>
                <m:rPr>
                  <m:sty m:val="p"/>
                </m:rPr>
                <m:t xml:space="preserve">, </m:t>
              </m:r>
              <m:r>
                <m:rPr>
                  <m:sty m:val="p"/>
                </m:rPr>
                <m:t>lap</m:t>
              </m:r>
              <m:d>
                <m:dPr>
                  <m:begChr m:val="("/>
                  <m:endChr m:val=")"/>
                </m:dPr>
                <m:e>
                  <m:r>
                    <m:t>x</m:t>
                  </m:r>
                  <m:r>
                    <m:rPr>
                      <m:sty m:val="p"/>
                    </m:rPr>
                    <m:t>,</m:t>
                  </m:r>
                  <m:r>
                    <m:t>y</m:t>
                  </m:r>
                </m:e>
              </m:d>
            </m:oMath>
          </w:p>
        </w:tc>
        <w:tc>
          <w:tcPr>
            <w:tcW w:type="dxa" w:w="2940"/>
          </w:tcPr>
          <w:p>
            <w:r/>
            <w:r>
              <w:rPr>
                <w:rFonts w:ascii="宋体" w:hAnsi="宋体" w:eastAsia="宋体"/>
                <w:b w:val="0"/>
                <w:sz w:val="18"/>
              </w:rPr>
              <w:t>像素总数、亮度值与离散拉普拉斯响应</w:t>
            </w:r>
          </w:p>
        </w:tc>
        <w:tc>
          <w:tcPr>
            <w:tcW w:type="dxa" w:w="2940"/>
          </w:tcPr>
          <w:p>
            <w:pPr>
              <w:jc w:val="center"/>
            </w:pPr>
            <w:r/>
            <w:r>
              <w:rPr>
                <w:rFonts w:ascii="宋体" w:hAnsi="宋体" w:eastAsia="宋体"/>
                <w:b w:val="0"/>
                <w:sz w:val="18"/>
              </w:rPr>
              <w:t>式(3-7)、式(3-8)</w:t>
            </w:r>
          </w:p>
        </w:tc>
      </w:tr>
    </w:tbl>
    <w:p>
      <w:pPr>
        <w:spacing w:line="360" w:lineRule="auto"/>
        <w:ind w:firstLine="0"/>
      </w:pPr>
      <w:r>
        <w:rPr>
          <w:rFonts w:ascii="黑体" w:hAnsi="黑体" w:eastAsia="黑体"/>
          <w:b/>
          <w:sz w:val="24"/>
        </w:rPr>
        <w:t>3.5 关键交付物与证据落点</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类别</w:t>
            </w:r>
          </w:p>
        </w:tc>
        <w:tc>
          <w:tcPr>
            <w:tcW w:type="dxa" w:w="2940"/>
          </w:tcPr>
          <w:p>
            <w:pPr>
              <w:jc w:val="center"/>
            </w:pPr>
            <w:r/>
            <w:r>
              <w:rPr>
                <w:rFonts w:ascii="宋体" w:hAnsi="宋体" w:eastAsia="宋体"/>
                <w:b/>
                <w:sz w:val="18"/>
              </w:rPr>
              <w:t>仓内落点</w:t>
            </w:r>
          </w:p>
        </w:tc>
        <w:tc>
          <w:tcPr>
            <w:tcW w:type="dxa" w:w="2940"/>
          </w:tcPr>
          <w:p>
            <w:pPr>
              <w:jc w:val="center"/>
            </w:pPr>
            <w:r/>
            <w:r>
              <w:rPr>
                <w:rFonts w:ascii="宋体" w:hAnsi="宋体" w:eastAsia="宋体"/>
                <w:b/>
                <w:sz w:val="18"/>
              </w:rPr>
              <w:t>用途</w:t>
            </w:r>
          </w:p>
        </w:tc>
      </w:tr>
      <w:tr>
        <w:tc>
          <w:tcPr>
            <w:tcW w:type="dxa" w:w="2940"/>
          </w:tcPr>
          <w:p>
            <w:r/>
            <w:r>
              <w:rPr>
                <w:rFonts w:ascii="宋体" w:hAnsi="宋体" w:eastAsia="宋体"/>
                <w:b w:val="0"/>
                <w:sz w:val="18"/>
              </w:rPr>
              <w:t>前后端演示程序</w:t>
            </w:r>
          </w:p>
        </w:tc>
        <w:tc>
          <w:tcPr>
            <w:tcW w:type="dxa" w:w="2940"/>
          </w:tcPr>
          <w:p>
            <w:r/>
            <w:r>
              <w:rPr>
                <w:rFonts w:ascii="宋体" w:hAnsi="宋体" w:eastAsia="宋体"/>
                <w:b w:val="0"/>
                <w:sz w:val="18"/>
              </w:rPr>
              <w:t>tools/transshield_chat_demo.py；web_demo/control_plane_worker.js</w:t>
            </w:r>
          </w:p>
        </w:tc>
        <w:tc>
          <w:tcPr>
            <w:tcW w:type="dxa" w:w="2940"/>
          </w:tcPr>
          <w:p>
            <w:r/>
            <w:r>
              <w:rPr>
                <w:rFonts w:ascii="宋体" w:hAnsi="宋体" w:eastAsia="宋体"/>
                <w:b w:val="0"/>
                <w:sz w:val="18"/>
              </w:rPr>
              <w:t>承载浏览器工作线程、服务端快检与页面交互</w:t>
            </w:r>
          </w:p>
        </w:tc>
      </w:tr>
      <w:tr>
        <w:tc>
          <w:tcPr>
            <w:tcW w:type="dxa" w:w="2940"/>
          </w:tcPr>
          <w:p>
            <w:r/>
            <w:r>
              <w:rPr>
                <w:rFonts w:ascii="宋体" w:hAnsi="宋体" w:eastAsia="宋体"/>
                <w:b w:val="0"/>
                <w:sz w:val="18"/>
              </w:rPr>
              <w:t>自动化验证脚本</w:t>
            </w:r>
          </w:p>
        </w:tc>
        <w:tc>
          <w:tcPr>
            <w:tcW w:type="dxa" w:w="2940"/>
          </w:tcPr>
          <w:p>
            <w:r/>
            <w:r>
              <w:rPr>
                <w:rFonts w:ascii="宋体" w:hAnsi="宋体" w:eastAsia="宋体"/>
                <w:b w:val="0"/>
                <w:sz w:val="18"/>
              </w:rPr>
              <w:t>tools/web_demo_protocol_fuzz.py；tools/web_demo_guard_stress.py</w:t>
            </w:r>
          </w:p>
        </w:tc>
        <w:tc>
          <w:tcPr>
            <w:tcW w:type="dxa" w:w="2940"/>
          </w:tcPr>
          <w:p>
            <w:r/>
            <w:r>
              <w:rPr>
                <w:rFonts w:ascii="宋体" w:hAnsi="宋体" w:eastAsia="宋体"/>
                <w:b w:val="0"/>
                <w:sz w:val="18"/>
              </w:rPr>
              <w:t>验证协议层异常输入、重放与并发守卫</w:t>
            </w:r>
          </w:p>
        </w:tc>
      </w:tr>
      <w:tr>
        <w:tc>
          <w:tcPr>
            <w:tcW w:type="dxa" w:w="2940"/>
          </w:tcPr>
          <w:p>
            <w:r/>
            <w:r>
              <w:rPr>
                <w:rFonts w:ascii="宋体" w:hAnsi="宋体" w:eastAsia="宋体"/>
                <w:b w:val="0"/>
                <w:sz w:val="18"/>
              </w:rPr>
              <w:t>图件与报告生成脚本</w:t>
            </w:r>
          </w:p>
        </w:tc>
        <w:tc>
          <w:tcPr>
            <w:tcW w:type="dxa" w:w="2940"/>
          </w:tcPr>
          <w:p>
            <w:r/>
            <w:r>
              <w:rPr>
                <w:rFonts w:ascii="宋体" w:hAnsi="宋体" w:eastAsia="宋体"/>
                <w:b w:val="0"/>
                <w:sz w:val="18"/>
              </w:rPr>
              <w:t>tools/generate_report_figures.py；tools/generate_rebuild_20260519_report.py</w:t>
            </w:r>
          </w:p>
        </w:tc>
        <w:tc>
          <w:tcPr>
            <w:tcW w:type="dxa" w:w="2940"/>
          </w:tcPr>
          <w:p>
            <w:r/>
            <w:r>
              <w:rPr>
                <w:rFonts w:ascii="宋体" w:hAnsi="宋体" w:eastAsia="宋体"/>
                <w:b w:val="0"/>
                <w:sz w:val="18"/>
              </w:rPr>
              <w:t>重建正式交付报告与图件</w:t>
            </w:r>
          </w:p>
        </w:tc>
      </w:tr>
      <w:tr>
        <w:tc>
          <w:tcPr>
            <w:tcW w:type="dxa" w:w="2940"/>
          </w:tcPr>
          <w:p>
            <w:r/>
            <w:r>
              <w:rPr>
                <w:rFonts w:ascii="宋体" w:hAnsi="宋体" w:eastAsia="宋体"/>
                <w:b w:val="0"/>
                <w:sz w:val="18"/>
              </w:rPr>
              <w:t>复现说明</w:t>
            </w:r>
          </w:p>
        </w:tc>
        <w:tc>
          <w:tcPr>
            <w:tcW w:type="dxa" w:w="2940"/>
          </w:tcPr>
          <w:p>
            <w:r/>
            <w:r>
              <w:rPr>
                <w:rFonts w:ascii="宋体" w:hAnsi="宋体" w:eastAsia="宋体"/>
                <w:b w:val="0"/>
                <w:sz w:val="18"/>
              </w:rPr>
              <w:t>README_REPRODUCE.md</w:t>
            </w:r>
          </w:p>
        </w:tc>
        <w:tc>
          <w:tcPr>
            <w:tcW w:type="dxa" w:w="2940"/>
          </w:tcPr>
          <w:p>
            <w:r/>
            <w:r>
              <w:rPr>
                <w:rFonts w:ascii="宋体" w:hAnsi="宋体" w:eastAsia="宋体"/>
                <w:b w:val="0"/>
                <w:sz w:val="18"/>
              </w:rPr>
              <w:t>提供环境约束、运行步骤与预期输出</w:t>
            </w:r>
          </w:p>
        </w:tc>
      </w:tr>
      <w:tr>
        <w:tc>
          <w:tcPr>
            <w:tcW w:type="dxa" w:w="2940"/>
          </w:tcPr>
          <w:p>
            <w:r/>
            <w:r>
              <w:rPr>
                <w:rFonts w:ascii="宋体" w:hAnsi="宋体" w:eastAsia="宋体"/>
                <w:b w:val="0"/>
                <w:sz w:val="18"/>
              </w:rPr>
              <w:t>许可证与修改映射</w:t>
            </w:r>
          </w:p>
        </w:tc>
        <w:tc>
          <w:tcPr>
            <w:tcW w:type="dxa" w:w="2940"/>
          </w:tcPr>
          <w:p>
            <w:r/>
            <w:r>
              <w:rPr>
                <w:rFonts w:ascii="宋体" w:hAnsi="宋体" w:eastAsia="宋体"/>
                <w:b w:val="0"/>
                <w:sz w:val="18"/>
              </w:rPr>
              <w:t>spu_vendored/LICENSE；spu_vendored/MODIFICATIONS.md；THIRD_PARTY.md</w:t>
            </w:r>
          </w:p>
        </w:tc>
        <w:tc>
          <w:tcPr>
            <w:tcW w:type="dxa" w:w="2940"/>
          </w:tcPr>
          <w:p>
            <w:r/>
            <w:r>
              <w:rPr>
                <w:rFonts w:ascii="宋体" w:hAnsi="宋体" w:eastAsia="宋体"/>
                <w:b w:val="0"/>
                <w:sz w:val="18"/>
              </w:rPr>
              <w:t>支撑第三方许可与本地修改说明</w:t>
            </w:r>
          </w:p>
        </w:tc>
      </w:tr>
    </w:tbl>
    <w:p>
      <w:pPr>
        <w:pStyle w:val="2"/>
        <w:ind w:firstLine="0"/>
        <w:jc w:val="center"/>
      </w:pPr>
      <w:r>
        <w:rPr>
          <w:rFonts w:ascii="黑体" w:hAnsi="黑体" w:eastAsia="黑体"/>
          <w:b/>
          <w:sz w:val="44"/>
        </w:rPr>
        <w:t>第四章 测试方案与结果分析</w:t>
      </w:r>
    </w:p>
    <w:p>
      <w:pPr>
        <w:spacing w:line="360" w:lineRule="auto"/>
        <w:ind w:firstLine="0"/>
      </w:pPr>
      <w:r>
        <w:rPr>
          <w:rFonts w:ascii="黑体" w:hAnsi="黑体" w:eastAsia="黑体"/>
          <w:b/>
          <w:sz w:val="24"/>
        </w:rPr>
        <w:t>4.1 测试环境、数据与评价指标</w:t>
      </w:r>
    </w:p>
    <w:tbl>
      <w:tblPr>
        <w:tblW w:type="auto" w:w="0"/>
        <w:tblLook w:firstColumn="1" w:firstRow="1" w:lastColumn="0" w:lastRow="0" w:noHBand="0" w:noVBand="1" w:val="04A0"/>
      </w:tblPr>
      <w:tblGrid>
        <w:gridCol w:w="2205"/>
        <w:gridCol w:w="2205"/>
        <w:gridCol w:w="2205"/>
        <w:gridCol w:w="2205"/>
      </w:tblGrid>
      <w:tr>
        <w:tc>
          <w:tcPr>
            <w:tcW w:type="dxa" w:w="2205"/>
          </w:tcPr>
          <w:p>
            <w:pPr>
              <w:jc w:val="center"/>
            </w:pPr>
            <w:r/>
            <w:r>
              <w:rPr>
                <w:rFonts w:ascii="宋体" w:hAnsi="宋体" w:eastAsia="宋体"/>
                <w:b/>
                <w:sz w:val="18"/>
              </w:rPr>
              <w:t>对象</w:t>
            </w:r>
          </w:p>
        </w:tc>
        <w:tc>
          <w:tcPr>
            <w:tcW w:type="dxa" w:w="2205"/>
          </w:tcPr>
          <w:p>
            <w:pPr>
              <w:jc w:val="center"/>
            </w:pPr>
            <w:r/>
            <w:r>
              <w:rPr>
                <w:rFonts w:ascii="宋体" w:hAnsi="宋体" w:eastAsia="宋体"/>
                <w:b/>
                <w:sz w:val="18"/>
              </w:rPr>
              <w:t>样本规模</w:t>
            </w:r>
          </w:p>
        </w:tc>
        <w:tc>
          <w:tcPr>
            <w:tcW w:type="dxa" w:w="2205"/>
          </w:tcPr>
          <w:p>
            <w:pPr>
              <w:jc w:val="center"/>
            </w:pPr>
            <w:r/>
            <w:r>
              <w:rPr>
                <w:rFonts w:ascii="宋体" w:hAnsi="宋体" w:eastAsia="宋体"/>
                <w:b/>
                <w:sz w:val="18"/>
              </w:rPr>
              <w:t>作用</w:t>
            </w:r>
          </w:p>
        </w:tc>
        <w:tc>
          <w:tcPr>
            <w:tcW w:type="dxa" w:w="2205"/>
          </w:tcPr>
          <w:p>
            <w:pPr>
              <w:jc w:val="center"/>
            </w:pPr>
            <w:r/>
            <w:r>
              <w:rPr>
                <w:rFonts w:ascii="宋体" w:hAnsi="宋体" w:eastAsia="宋体"/>
                <w:b/>
                <w:sz w:val="18"/>
              </w:rPr>
              <w:t>主要指标</w:t>
            </w:r>
          </w:p>
        </w:tc>
      </w:tr>
      <w:tr>
        <w:tc>
          <w:tcPr>
            <w:tcW w:type="dxa" w:w="2205"/>
          </w:tcPr>
          <w:p>
            <w:r/>
            <w:r>
              <w:rPr>
                <w:rFonts w:ascii="宋体" w:hAnsi="宋体" w:eastAsia="宋体"/>
                <w:b w:val="0"/>
                <w:sz w:val="18"/>
              </w:rPr>
              <w:t>医疗全量验证集</w:t>
            </w:r>
          </w:p>
        </w:tc>
        <w:tc>
          <w:tcPr>
            <w:tcW w:type="dxa" w:w="2205"/>
          </w:tcPr>
          <w:p>
            <w:r/>
            <w:r>
              <w:rPr>
                <w:rFonts w:ascii="宋体" w:hAnsi="宋体" w:eastAsia="宋体"/>
                <w:b w:val="0"/>
                <w:sz w:val="18"/>
              </w:rPr>
              <w:t>524 张</w:t>
            </w:r>
          </w:p>
        </w:tc>
        <w:tc>
          <w:tcPr>
            <w:tcW w:type="dxa" w:w="2205"/>
          </w:tcPr>
          <w:p>
            <w:r/>
            <w:r>
              <w:rPr>
                <w:rFonts w:ascii="宋体" w:hAnsi="宋体" w:eastAsia="宋体"/>
                <w:b w:val="0"/>
                <w:sz w:val="18"/>
              </w:rPr>
              <w:t>正式阈值搜索与精度评估</w:t>
            </w:r>
          </w:p>
        </w:tc>
        <w:tc>
          <w:tcPr>
            <w:tcW w:type="dxa" w:w="2205"/>
          </w:tcPr>
          <w:p>
            <w:r/>
            <w:r>
              <w:rPr>
                <w:rFonts w:ascii="宋体" w:hAnsi="宋体" w:eastAsia="宋体"/>
                <w:b w:val="0"/>
                <w:sz w:val="18"/>
              </w:rPr>
              <w:t>argmax 精度、阈值精度、部署阈值</w:t>
            </w:r>
          </w:p>
        </w:tc>
      </w:tr>
      <w:tr>
        <w:tc>
          <w:tcPr>
            <w:tcW w:type="dxa" w:w="2205"/>
          </w:tcPr>
          <w:p>
            <w:r/>
            <w:r>
              <w:rPr>
                <w:rFonts w:ascii="宋体" w:hAnsi="宋体" w:eastAsia="宋体"/>
                <w:b w:val="0"/>
                <w:sz w:val="18"/>
              </w:rPr>
              <w:t>医疗部署验证批次</w:t>
            </w:r>
          </w:p>
        </w:tc>
        <w:tc>
          <w:tcPr>
            <w:tcW w:type="dxa" w:w="2205"/>
          </w:tcPr>
          <w:p>
            <w:r/>
            <w:r>
              <w:rPr>
                <w:rFonts w:ascii="宋体" w:hAnsi="宋体" w:eastAsia="宋体"/>
                <w:b w:val="0"/>
                <w:sz w:val="18"/>
              </w:rPr>
              <w:t>32 张</w:t>
            </w:r>
          </w:p>
        </w:tc>
        <w:tc>
          <w:tcPr>
            <w:tcW w:type="dxa" w:w="2205"/>
          </w:tcPr>
          <w:p>
            <w:r/>
            <w:r>
              <w:rPr>
                <w:rFonts w:ascii="宋体" w:hAnsi="宋体" w:eastAsia="宋体"/>
                <w:b w:val="0"/>
                <w:sz w:val="18"/>
              </w:rPr>
              <w:t>完整双向隐私原型运行</w:t>
            </w:r>
          </w:p>
        </w:tc>
        <w:tc>
          <w:tcPr>
            <w:tcW w:type="dxa" w:w="2205"/>
          </w:tcPr>
          <w:p>
            <w:r/>
            <w:r>
              <w:rPr>
                <w:rFonts w:ascii="宋体" w:hAnsi="宋体" w:eastAsia="宋体"/>
                <w:b w:val="0"/>
                <w:sz w:val="18"/>
              </w:rPr>
              <w:t>平均时延、双向总通信量、隐私边界</w:t>
            </w:r>
          </w:p>
        </w:tc>
      </w:tr>
      <w:tr>
        <w:tc>
          <w:tcPr>
            <w:tcW w:type="dxa" w:w="2205"/>
          </w:tcPr>
          <w:p>
            <w:r/>
            <w:r>
              <w:rPr>
                <w:rFonts w:ascii="宋体" w:hAnsi="宋体" w:eastAsia="宋体"/>
                <w:b w:val="0"/>
                <w:sz w:val="18"/>
              </w:rPr>
              <w:t>金融边界压力样本</w:t>
            </w:r>
          </w:p>
        </w:tc>
        <w:tc>
          <w:tcPr>
            <w:tcW w:type="dxa" w:w="2205"/>
          </w:tcPr>
          <w:p>
            <w:r/>
            <w:r>
              <w:rPr>
                <w:rFonts w:ascii="宋体" w:hAnsi="宋体" w:eastAsia="宋体"/>
                <w:b w:val="0"/>
                <w:sz w:val="18"/>
              </w:rPr>
              <w:t>8 条</w:t>
            </w:r>
          </w:p>
        </w:tc>
        <w:tc>
          <w:tcPr>
            <w:tcW w:type="dxa" w:w="2205"/>
          </w:tcPr>
          <w:p>
            <w:r/>
            <w:r>
              <w:rPr>
                <w:rFonts w:ascii="宋体" w:hAnsi="宋体" w:eastAsia="宋体"/>
                <w:b w:val="0"/>
                <w:sz w:val="18"/>
              </w:rPr>
              <w:t>极端分布输入下的稳定性验证</w:t>
            </w:r>
          </w:p>
        </w:tc>
        <w:tc>
          <w:tcPr>
            <w:tcW w:type="dxa" w:w="2205"/>
          </w:tcPr>
          <w:p>
            <w:r/>
            <w:r>
              <w:rPr>
                <w:rFonts w:ascii="宋体" w:hAnsi="宋体" w:eastAsia="宋体"/>
                <w:b w:val="0"/>
                <w:sz w:val="18"/>
              </w:rPr>
              <w:t>逐样本一致性、时延、通信量</w:t>
            </w:r>
          </w:p>
        </w:tc>
      </w:tr>
      <w:tr>
        <w:tc>
          <w:tcPr>
            <w:tcW w:type="dxa" w:w="2205"/>
          </w:tcPr>
          <w:p>
            <w:r/>
            <w:r>
              <w:rPr>
                <w:rFonts w:ascii="宋体" w:hAnsi="宋体" w:eastAsia="宋体"/>
                <w:b w:val="0"/>
                <w:sz w:val="18"/>
              </w:rPr>
              <w:t>协议层与控制面黑盒用例</w:t>
            </w:r>
          </w:p>
        </w:tc>
        <w:tc>
          <w:tcPr>
            <w:tcW w:type="dxa" w:w="2205"/>
          </w:tcPr>
          <w:p>
            <w:r/>
            <w:r>
              <w:rPr>
                <w:rFonts w:ascii="宋体" w:hAnsi="宋体" w:eastAsia="宋体"/>
                <w:b w:val="0"/>
                <w:sz w:val="18"/>
              </w:rPr>
              <w:t>17 类</w:t>
            </w:r>
          </w:p>
        </w:tc>
        <w:tc>
          <w:tcPr>
            <w:tcW w:type="dxa" w:w="2205"/>
          </w:tcPr>
          <w:p>
            <w:r/>
            <w:r>
              <w:rPr>
                <w:rFonts w:ascii="宋体" w:hAnsi="宋体" w:eastAsia="宋体"/>
                <w:b w:val="0"/>
                <w:sz w:val="18"/>
              </w:rPr>
              <w:t>异常输入、重放与并发探针验证</w:t>
            </w:r>
          </w:p>
        </w:tc>
        <w:tc>
          <w:tcPr>
            <w:tcW w:type="dxa" w:w="2205"/>
          </w:tcPr>
          <w:p>
            <w:r/>
            <w:r>
              <w:rPr>
                <w:rFonts w:ascii="宋体" w:hAnsi="宋体" w:eastAsia="宋体"/>
                <w:b w:val="0"/>
                <w:sz w:val="18"/>
              </w:rPr>
              <w:t>首个拦截层、兜底层级、资源状态</w:t>
            </w:r>
          </w:p>
        </w:tc>
      </w:tr>
    </w:tbl>
    <w:p>
      <w:pPr>
        <w:spacing w:line="360" w:lineRule="auto"/>
        <w:ind w:firstLine="480"/>
      </w:pPr>
      <w:r>
        <w:rPr>
          <w:rFonts w:ascii="宋体" w:hAnsi="宋体" w:eastAsia="宋体"/>
          <w:b w:val="0"/>
          <w:sz w:val="24"/>
        </w:rPr>
        <w:t>医疗任务的正式效果指标以阈值精度为主，辅以 argmax 精度（按最大响应类别直接决策的精度）、AUC（受试者工作特征曲线下面积）、部署阈值位置与端到端运行代价；金融任务只承担边界压力验证职责，因此不将其包装为与医疗对称的第二应用主线。2026 年 5 月 20 日的服务器复核已为动态正式主线补齐同口径 AUC；与此同时，原始 DynamicViT 一行统一回收到当前仓内可复现的 5 epoch 基线口径，不再沿用缺少配套 checkpoint 的旧表述。</w:t>
      </w:r>
    </w:p>
    <w:p>
      <w:pPr>
        <w:spacing w:line="360" w:lineRule="auto"/>
        <w:ind w:firstLine="0"/>
      </w:pPr>
      <w:r>
        <w:rPr>
          <w:rFonts w:ascii="黑体" w:hAnsi="黑体" w:eastAsia="黑体"/>
          <w:b/>
          <w:sz w:val="24"/>
        </w:rPr>
        <w:t>4.2 基线对比</w:t>
      </w:r>
    </w:p>
    <w:tbl>
      <w:tblPr>
        <w:tblW w:type="auto" w:w="0"/>
        <w:tblLook w:firstColumn="1" w:firstRow="1" w:lastColumn="0" w:lastRow="0" w:noHBand="0" w:noVBand="1" w:val="04A0"/>
      </w:tblPr>
      <w:tblGrid>
        <w:gridCol w:w="1470"/>
        <w:gridCol w:w="1470"/>
        <w:gridCol w:w="1470"/>
        <w:gridCol w:w="1470"/>
        <w:gridCol w:w="1470"/>
        <w:gridCol w:w="1470"/>
      </w:tblGrid>
      <w:tr>
        <w:tc>
          <w:tcPr>
            <w:tcW w:type="dxa" w:w="1470"/>
          </w:tcPr>
          <w:p>
            <w:pPr>
              <w:jc w:val="center"/>
            </w:pPr>
            <w:r/>
            <w:r>
              <w:rPr>
                <w:rFonts w:ascii="宋体" w:hAnsi="宋体" w:eastAsia="宋体"/>
                <w:b/>
                <w:sz w:val="18"/>
              </w:rPr>
              <w:t>方案</w:t>
            </w:r>
          </w:p>
        </w:tc>
        <w:tc>
          <w:tcPr>
            <w:tcW w:type="dxa" w:w="1470"/>
          </w:tcPr>
          <w:p>
            <w:pPr>
              <w:jc w:val="center"/>
            </w:pPr>
            <w:r/>
            <w:r>
              <w:rPr>
                <w:rFonts w:ascii="宋体" w:hAnsi="宋体" w:eastAsia="宋体"/>
                <w:b/>
                <w:sz w:val="18"/>
              </w:rPr>
              <w:t>双向隐私</w:t>
            </w:r>
          </w:p>
        </w:tc>
        <w:tc>
          <w:tcPr>
            <w:tcW w:type="dxa" w:w="1470"/>
          </w:tcPr>
          <w:p>
            <w:pPr>
              <w:jc w:val="center"/>
            </w:pPr>
            <w:r/>
            <w:r>
              <w:rPr>
                <w:rFonts w:ascii="宋体" w:hAnsi="宋体" w:eastAsia="宋体"/>
                <w:b/>
                <w:sz w:val="18"/>
              </w:rPr>
              <w:t>动态剪枝</w:t>
            </w:r>
          </w:p>
        </w:tc>
        <w:tc>
          <w:tcPr>
            <w:tcW w:type="dxa" w:w="1470"/>
          </w:tcPr>
          <w:p>
            <w:pPr>
              <w:jc w:val="center"/>
            </w:pPr>
            <w:r/>
            <w:r>
              <w:rPr>
                <w:rFonts w:ascii="宋体" w:hAnsi="宋体" w:eastAsia="宋体"/>
                <w:b/>
                <w:sz w:val="18"/>
              </w:rPr>
              <w:t>阈值精度</w:t>
            </w:r>
          </w:p>
        </w:tc>
        <w:tc>
          <w:tcPr>
            <w:tcW w:type="dxa" w:w="1470"/>
          </w:tcPr>
          <w:p>
            <w:pPr>
              <w:jc w:val="center"/>
            </w:pPr>
            <w:r/>
            <w:r>
              <w:rPr>
                <w:rFonts w:ascii="宋体" w:hAnsi="宋体" w:eastAsia="宋体"/>
                <w:b/>
                <w:sz w:val="18"/>
              </w:rPr>
              <w:t>AUC（曲线下面积）</w:t>
            </w:r>
          </w:p>
        </w:tc>
        <w:tc>
          <w:tcPr>
            <w:tcW w:type="dxa" w:w="1470"/>
          </w:tcPr>
          <w:p>
            <w:pPr>
              <w:jc w:val="center"/>
            </w:pPr>
            <w:r/>
            <w:r>
              <w:rPr>
                <w:rFonts w:ascii="宋体" w:hAnsi="宋体" w:eastAsia="宋体"/>
                <w:b/>
                <w:sz w:val="18"/>
              </w:rPr>
              <w:t>说明</w:t>
            </w:r>
          </w:p>
        </w:tc>
      </w:tr>
      <w:tr>
        <w:tc>
          <w:tcPr>
            <w:tcW w:type="dxa" w:w="1470"/>
          </w:tcPr>
          <w:p>
            <w:r/>
            <w:r>
              <w:rPr>
                <w:rFonts w:ascii="宋体" w:hAnsi="宋体" w:eastAsia="宋体"/>
                <w:b w:val="0"/>
                <w:sz w:val="18"/>
              </w:rPr>
              <w:t>TransShield（本作品正式动态主线）</w:t>
            </w:r>
          </w:p>
        </w:tc>
        <w:tc>
          <w:tcPr>
            <w:tcW w:type="dxa" w:w="1470"/>
          </w:tcPr>
          <w:p>
            <w:r/>
            <w:r>
              <w:rPr>
                <w:rFonts w:ascii="宋体" w:hAnsi="宋体" w:eastAsia="宋体"/>
                <w:b w:val="0"/>
                <w:sz w:val="18"/>
              </w:rPr>
              <w:t>是</w:t>
            </w:r>
          </w:p>
        </w:tc>
        <w:tc>
          <w:tcPr>
            <w:tcW w:type="dxa" w:w="1470"/>
          </w:tcPr>
          <w:p>
            <w:r/>
            <w:r>
              <w:rPr>
                <w:rFonts w:ascii="宋体" w:hAnsi="宋体" w:eastAsia="宋体"/>
                <w:b w:val="0"/>
                <w:sz w:val="18"/>
              </w:rPr>
              <w:t>是</w:t>
            </w:r>
          </w:p>
        </w:tc>
        <w:tc>
          <w:tcPr>
            <w:tcW w:type="dxa" w:w="1470"/>
          </w:tcPr>
          <w:p>
            <w:r/>
            <w:r>
              <w:rPr>
                <w:rFonts w:ascii="宋体" w:hAnsi="宋体" w:eastAsia="宋体"/>
                <w:b w:val="0"/>
                <w:sz w:val="18"/>
              </w:rPr>
              <w:t>92.7481%</w:t>
            </w:r>
          </w:p>
        </w:tc>
        <w:tc>
          <w:tcPr>
            <w:tcW w:type="dxa" w:w="1470"/>
          </w:tcPr>
          <w:p>
            <w:r/>
            <w:r>
              <w:rPr>
                <w:rFonts w:ascii="宋体" w:hAnsi="宋体" w:eastAsia="宋体"/>
                <w:b w:val="0"/>
                <w:sz w:val="18"/>
              </w:rPr>
              <w:t>0.9639</w:t>
            </w:r>
          </w:p>
        </w:tc>
        <w:tc>
          <w:tcPr>
            <w:tcW w:type="dxa" w:w="1470"/>
          </w:tcPr>
          <w:p>
            <w:r/>
            <w:r>
              <w:rPr>
                <w:rFonts w:ascii="宋体" w:hAnsi="宋体" w:eastAsia="宋体"/>
                <w:b w:val="0"/>
                <w:sz w:val="18"/>
              </w:rPr>
              <w:t>医疗正式主线；动态路径单独校准；完整隐私</w:t>
            </w:r>
          </w:p>
        </w:tc>
      </w:tr>
      <w:tr>
        <w:tc>
          <w:tcPr>
            <w:tcW w:type="dxa" w:w="1470"/>
          </w:tcPr>
          <w:p>
            <w:r/>
            <w:r>
              <w:rPr>
                <w:rFonts w:ascii="宋体" w:hAnsi="宋体" w:eastAsia="宋体"/>
                <w:b w:val="0"/>
                <w:sz w:val="18"/>
              </w:rPr>
              <w:t>TransShield（固定结构静态对照线）</w:t>
            </w:r>
          </w:p>
        </w:tc>
        <w:tc>
          <w:tcPr>
            <w:tcW w:type="dxa" w:w="1470"/>
          </w:tcPr>
          <w:p>
            <w:r/>
            <w:r>
              <w:rPr>
                <w:rFonts w:ascii="宋体" w:hAnsi="宋体" w:eastAsia="宋体"/>
                <w:b w:val="0"/>
                <w:sz w:val="18"/>
              </w:rPr>
              <w:t>是</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91.9847%</w:t>
            </w:r>
          </w:p>
        </w:tc>
        <w:tc>
          <w:tcPr>
            <w:tcW w:type="dxa" w:w="1470"/>
          </w:tcPr>
          <w:p>
            <w:r/>
            <w:r>
              <w:rPr>
                <w:rFonts w:ascii="宋体" w:hAnsi="宋体" w:eastAsia="宋体"/>
                <w:b w:val="0"/>
                <w:sz w:val="18"/>
              </w:rPr>
              <w:t>0.9679</w:t>
            </w:r>
          </w:p>
        </w:tc>
        <w:tc>
          <w:tcPr>
            <w:tcW w:type="dxa" w:w="1470"/>
          </w:tcPr>
          <w:p>
            <w:r/>
            <w:r>
              <w:rPr>
                <w:rFonts w:ascii="宋体" w:hAnsi="宋体" w:eastAsia="宋体"/>
                <w:b w:val="0"/>
                <w:sz w:val="18"/>
              </w:rPr>
              <w:t>仅作静态对照，不代表正式主线</w:t>
            </w:r>
          </w:p>
        </w:tc>
      </w:tr>
      <w:tr>
        <w:tc>
          <w:tcPr>
            <w:tcW w:type="dxa" w:w="1470"/>
          </w:tcPr>
          <w:p>
            <w:r/>
            <w:r>
              <w:rPr>
                <w:rFonts w:ascii="宋体" w:hAnsi="宋体" w:eastAsia="宋体"/>
                <w:b w:val="0"/>
                <w:sz w:val="18"/>
              </w:rPr>
              <w:t>MPCViT [3]</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96.9847%</w:t>
            </w:r>
          </w:p>
        </w:tc>
        <w:tc>
          <w:tcPr>
            <w:tcW w:type="dxa" w:w="1470"/>
          </w:tcPr>
          <w:p>
            <w:r/>
            <w:r>
              <w:rPr>
                <w:rFonts w:ascii="宋体" w:hAnsi="宋体" w:eastAsia="宋体"/>
                <w:b w:val="0"/>
                <w:sz w:val="18"/>
              </w:rPr>
              <w:t>0.9927</w:t>
            </w:r>
          </w:p>
        </w:tc>
        <w:tc>
          <w:tcPr>
            <w:tcW w:type="dxa" w:w="1470"/>
          </w:tcPr>
          <w:p>
            <w:r/>
            <w:r>
              <w:rPr>
                <w:rFonts w:ascii="宋体" w:hAnsi="宋体" w:eastAsia="宋体"/>
                <w:b w:val="0"/>
                <w:sz w:val="18"/>
              </w:rPr>
              <w:t>同数据集强明文参考</w:t>
            </w:r>
          </w:p>
        </w:tc>
      </w:tr>
      <w:tr>
        <w:tc>
          <w:tcPr>
            <w:tcW w:type="dxa" w:w="1470"/>
          </w:tcPr>
          <w:p>
            <w:r/>
            <w:r>
              <w:rPr>
                <w:rFonts w:ascii="宋体" w:hAnsi="宋体" w:eastAsia="宋体"/>
                <w:b w:val="0"/>
                <w:sz w:val="18"/>
              </w:rPr>
              <w:t>DeiT-S 静态模型</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95.9900%</w:t>
            </w:r>
          </w:p>
        </w:tc>
        <w:tc>
          <w:tcPr>
            <w:tcW w:type="dxa" w:w="1470"/>
          </w:tcPr>
          <w:p>
            <w:r/>
            <w:r>
              <w:rPr>
                <w:rFonts w:ascii="宋体" w:hAnsi="宋体" w:eastAsia="宋体"/>
                <w:b w:val="0"/>
                <w:sz w:val="18"/>
              </w:rPr>
              <w:t>0.9899</w:t>
            </w:r>
          </w:p>
        </w:tc>
        <w:tc>
          <w:tcPr>
            <w:tcW w:type="dxa" w:w="1470"/>
          </w:tcPr>
          <w:p>
            <w:r/>
            <w:r>
              <w:rPr>
                <w:rFonts w:ascii="宋体" w:hAnsi="宋体" w:eastAsia="宋体"/>
                <w:b w:val="0"/>
                <w:sz w:val="18"/>
              </w:rPr>
              <w:t>同架构静态上界参考</w:t>
            </w:r>
          </w:p>
        </w:tc>
      </w:tr>
      <w:tr>
        <w:tc>
          <w:tcPr>
            <w:tcW w:type="dxa" w:w="1470"/>
          </w:tcPr>
          <w:p>
            <w:r/>
            <w:r>
              <w:rPr>
                <w:rFonts w:ascii="宋体" w:hAnsi="宋体" w:eastAsia="宋体"/>
                <w:b w:val="0"/>
                <w:sz w:val="18"/>
              </w:rPr>
              <w:t>原始 DynamicViT</w:t>
            </w:r>
          </w:p>
        </w:tc>
        <w:tc>
          <w:tcPr>
            <w:tcW w:type="dxa" w:w="1470"/>
          </w:tcPr>
          <w:p>
            <w:r/>
            <w:r>
              <w:rPr>
                <w:rFonts w:ascii="宋体" w:hAnsi="宋体" w:eastAsia="宋体"/>
                <w:b w:val="0"/>
                <w:sz w:val="18"/>
              </w:rPr>
              <w:t>否</w:t>
            </w:r>
          </w:p>
        </w:tc>
        <w:tc>
          <w:tcPr>
            <w:tcW w:type="dxa" w:w="1470"/>
          </w:tcPr>
          <w:p>
            <w:r/>
            <w:r>
              <w:rPr>
                <w:rFonts w:ascii="宋体" w:hAnsi="宋体" w:eastAsia="宋体"/>
                <w:b w:val="0"/>
                <w:sz w:val="18"/>
              </w:rPr>
              <w:t>是</w:t>
            </w:r>
          </w:p>
        </w:tc>
        <w:tc>
          <w:tcPr>
            <w:tcW w:type="dxa" w:w="1470"/>
          </w:tcPr>
          <w:p>
            <w:r/>
            <w:r>
              <w:rPr>
                <w:rFonts w:ascii="宋体" w:hAnsi="宋体" w:eastAsia="宋体"/>
                <w:b w:val="0"/>
                <w:sz w:val="18"/>
              </w:rPr>
              <w:t>75.3817%</w:t>
            </w:r>
          </w:p>
        </w:tc>
        <w:tc>
          <w:tcPr>
            <w:tcW w:type="dxa" w:w="1470"/>
          </w:tcPr>
          <w:p>
            <w:r/>
            <w:r>
              <w:rPr>
                <w:rFonts w:ascii="宋体" w:hAnsi="宋体" w:eastAsia="宋体"/>
                <w:b w:val="0"/>
                <w:sz w:val="18"/>
              </w:rPr>
              <w:t>0.6635</w:t>
            </w:r>
          </w:p>
        </w:tc>
        <w:tc>
          <w:tcPr>
            <w:tcW w:type="dxa" w:w="1470"/>
          </w:tcPr>
          <w:p>
            <w:r/>
            <w:r>
              <w:rPr>
                <w:rFonts w:ascii="宋体" w:hAnsi="宋体" w:eastAsia="宋体"/>
                <w:b w:val="0"/>
                <w:sz w:val="18"/>
              </w:rPr>
              <w:t>当前仓内可复现的未安全化边界重写基线</w:t>
            </w:r>
          </w:p>
        </w:tc>
      </w:tr>
    </w:tbl>
    <w:p>
      <w:pPr>
        <w:spacing w:line="360" w:lineRule="auto"/>
        <w:ind w:firstLine="480"/>
      </w:pPr>
      <w:r>
        <w:rPr>
          <w:rFonts w:ascii="宋体" w:hAnsi="宋体" w:eastAsia="宋体"/>
          <w:b w:val="0"/>
          <w:sz w:val="24"/>
        </w:rPr>
        <w:t>从同仓与外部对比结果看，本作品正式动态主线相较固定结构静态对照线提升 0.7634 个百分点，相较当前仓内可复现的原始 DynamicViT 基线提升 17.3664 个百分点，说明协议友好重写并未使动态路径退化为不可部署状态。另一方面，与同数据集强明文参考 MPCViT（面向多方计算的视觉 Transformer）相比，本作品当前仍存在 4.2366 个百分点的阈值精度差距；与同架构静态上界 DeiT-S（数据高效图像 Transformer 小型模型）相比，差距为 3.2419 个百分点。这些差距说明本作品的价值主要在于“双向隐私 + 动态剪枝安全执行”的系统能力，而不是在明文精度指标上全面超过所有强明文参考。</w:t>
      </w:r>
    </w:p>
    <w:p>
      <w:pPr>
        <w:spacing w:line="360" w:lineRule="auto"/>
        <w:ind w:firstLine="480"/>
      </w:pPr>
      <w:r>
        <w:rPr>
          <w:rFonts w:ascii="宋体" w:hAnsi="宋体" w:eastAsia="宋体"/>
          <w:b w:val="0"/>
          <w:sz w:val="24"/>
        </w:rPr>
        <w:t>需要说明的是，外部对比表中“原始 DynamicViT”一行现统一采用当前仓内与服务器均可复现的原始明文基线口径。此前遗留的“20 epoch / 80.73%”旧值未能在最终交付仓与服务器环境中追溯到配套权重文件，因此本次修订不再继续引用该旧数值。</w:t>
      </w:r>
    </w:p>
    <w:p>
      <w:pPr>
        <w:spacing w:line="360" w:lineRule="auto"/>
        <w:ind w:firstLine="0"/>
      </w:pPr>
      <w:r>
        <w:rPr>
          <w:rFonts w:ascii="黑体" w:hAnsi="黑体" w:eastAsia="黑体"/>
          <w:b/>
          <w:sz w:val="24"/>
        </w:rPr>
        <w:t>4.3 医疗主要交付场景结果</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20"/>
              </w:rPr>
              <w:t>指标</w:t>
            </w:r>
          </w:p>
        </w:tc>
        <w:tc>
          <w:tcPr>
            <w:tcW w:type="dxa" w:w="2940"/>
          </w:tcPr>
          <w:p>
            <w:pPr>
              <w:jc w:val="center"/>
            </w:pPr>
            <w:r/>
            <w:r>
              <w:rPr>
                <w:rFonts w:ascii="宋体" w:hAnsi="宋体" w:eastAsia="宋体"/>
                <w:b/>
                <w:sz w:val="20"/>
              </w:rPr>
              <w:t>结果</w:t>
            </w:r>
          </w:p>
        </w:tc>
        <w:tc>
          <w:tcPr>
            <w:tcW w:type="dxa" w:w="2940"/>
          </w:tcPr>
          <w:p>
            <w:pPr>
              <w:jc w:val="center"/>
            </w:pPr>
            <w:r/>
            <w:r>
              <w:rPr>
                <w:rFonts w:ascii="宋体" w:hAnsi="宋体" w:eastAsia="宋体"/>
                <w:b/>
                <w:sz w:val="20"/>
              </w:rPr>
              <w:t>说明</w:t>
            </w:r>
          </w:p>
        </w:tc>
      </w:tr>
      <w:tr>
        <w:tc>
          <w:tcPr>
            <w:tcW w:type="dxa" w:w="2940"/>
          </w:tcPr>
          <w:p>
            <w:r/>
            <w:r>
              <w:rPr>
                <w:rFonts w:ascii="宋体" w:hAnsi="宋体" w:eastAsia="宋体"/>
                <w:b w:val="0"/>
                <w:sz w:val="20"/>
              </w:rPr>
              <w:t>全量验证集 argmax 精度</w:t>
            </w:r>
          </w:p>
        </w:tc>
        <w:tc>
          <w:tcPr>
            <w:tcW w:type="dxa" w:w="2940"/>
          </w:tcPr>
          <w:p>
            <w:r/>
            <w:r>
              <w:rPr>
                <w:rFonts w:ascii="宋体" w:hAnsi="宋体" w:eastAsia="宋体"/>
                <w:b w:val="0"/>
                <w:sz w:val="20"/>
              </w:rPr>
              <w:t>74.2366%</w:t>
            </w:r>
          </w:p>
        </w:tc>
        <w:tc>
          <w:tcPr>
            <w:tcW w:type="dxa" w:w="2940"/>
          </w:tcPr>
          <w:p>
            <w:r/>
            <w:r>
              <w:rPr>
                <w:rFonts w:ascii="宋体" w:hAnsi="宋体" w:eastAsia="宋体"/>
                <w:b w:val="0"/>
                <w:sz w:val="20"/>
              </w:rPr>
              <w:t>反映动态路径在默认决策边界下的直接分类结果</w:t>
            </w:r>
          </w:p>
        </w:tc>
      </w:tr>
      <w:tr>
        <w:tc>
          <w:tcPr>
            <w:tcW w:type="dxa" w:w="2940"/>
          </w:tcPr>
          <w:p>
            <w:r/>
            <w:r>
              <w:rPr>
                <w:rFonts w:ascii="宋体" w:hAnsi="宋体" w:eastAsia="宋体"/>
                <w:b w:val="0"/>
                <w:sz w:val="20"/>
              </w:rPr>
              <w:t>全量验证集阈值精度</w:t>
            </w:r>
          </w:p>
        </w:tc>
        <w:tc>
          <w:tcPr>
            <w:tcW w:type="dxa" w:w="2940"/>
          </w:tcPr>
          <w:p>
            <w:r/>
            <w:r>
              <w:rPr>
                <w:rFonts w:ascii="宋体" w:hAnsi="宋体" w:eastAsia="宋体"/>
                <w:b w:val="0"/>
                <w:sz w:val="20"/>
              </w:rPr>
              <w:t>92.7481%</w:t>
            </w:r>
          </w:p>
        </w:tc>
        <w:tc>
          <w:tcPr>
            <w:tcW w:type="dxa" w:w="2940"/>
          </w:tcPr>
          <w:p>
            <w:r/>
            <w:r>
              <w:rPr>
                <w:rFonts w:ascii="宋体" w:hAnsi="宋体" w:eastAsia="宋体"/>
                <w:b w:val="0"/>
                <w:sz w:val="20"/>
              </w:rPr>
              <w:t>基于 524 张验证样本完成统一阈值搜索后的正式指标</w:t>
            </w:r>
          </w:p>
        </w:tc>
      </w:tr>
      <w:tr>
        <w:tc>
          <w:tcPr>
            <w:tcW w:type="dxa" w:w="2940"/>
          </w:tcPr>
          <w:p>
            <w:r/>
            <w:r>
              <w:rPr>
                <w:rFonts w:ascii="宋体" w:hAnsi="宋体" w:eastAsia="宋体"/>
                <w:b w:val="0"/>
                <w:sz w:val="20"/>
              </w:rPr>
              <w:t>全量验证集 AUC</w:t>
            </w:r>
          </w:p>
        </w:tc>
        <w:tc>
          <w:tcPr>
            <w:tcW w:type="dxa" w:w="2940"/>
          </w:tcPr>
          <w:p>
            <w:r/>
            <w:r>
              <w:rPr>
                <w:rFonts w:ascii="宋体" w:hAnsi="宋体" w:eastAsia="宋体"/>
                <w:b w:val="0"/>
                <w:sz w:val="20"/>
              </w:rPr>
              <w:t>0.9639</w:t>
            </w:r>
          </w:p>
        </w:tc>
        <w:tc>
          <w:tcPr>
            <w:tcW w:type="dxa" w:w="2940"/>
          </w:tcPr>
          <w:p>
            <w:r/>
            <w:r>
              <w:rPr>
                <w:rFonts w:ascii="宋体" w:hAnsi="宋体" w:eastAsia="宋体"/>
                <w:b w:val="0"/>
                <w:sz w:val="20"/>
              </w:rPr>
              <w:t>2026 年 5 月 20 日服务器按同口径重跑补齐</w:t>
            </w:r>
          </w:p>
        </w:tc>
      </w:tr>
      <w:tr>
        <w:tc>
          <w:tcPr>
            <w:tcW w:type="dxa" w:w="2940"/>
          </w:tcPr>
          <w:p>
            <w:r/>
            <w:r>
              <w:rPr>
                <w:rFonts w:ascii="宋体" w:hAnsi="宋体" w:eastAsia="宋体"/>
                <w:b w:val="0"/>
                <w:sz w:val="20"/>
              </w:rPr>
              <w:t>部署阈值</w:t>
            </w:r>
          </w:p>
        </w:tc>
        <w:tc>
          <w:tcPr>
            <w:tcW w:type="dxa" w:w="2940"/>
          </w:tcPr>
          <w:p>
            <w:r/>
            <w:r>
              <w:rPr>
                <w:rFonts w:ascii="宋体" w:hAnsi="宋体" w:eastAsia="宋体"/>
                <w:b w:val="0"/>
                <w:sz w:val="20"/>
              </w:rPr>
              <w:t>0.6619606018</w:t>
            </w:r>
          </w:p>
        </w:tc>
        <w:tc>
          <w:tcPr>
            <w:tcW w:type="dxa" w:w="2940"/>
          </w:tcPr>
          <w:p>
            <w:r/>
            <w:r>
              <w:rPr>
                <w:rFonts w:ascii="宋体" w:hAnsi="宋体" w:eastAsia="宋体"/>
                <w:b w:val="0"/>
                <w:sz w:val="20"/>
              </w:rPr>
              <w:t>动态路径单独校准后的正式部署阈值</w:t>
            </w:r>
          </w:p>
        </w:tc>
      </w:tr>
      <w:tr>
        <w:tc>
          <w:tcPr>
            <w:tcW w:type="dxa" w:w="2940"/>
          </w:tcPr>
          <w:p>
            <w:r/>
            <w:r>
              <w:rPr>
                <w:rFonts w:ascii="宋体" w:hAnsi="宋体" w:eastAsia="宋体"/>
                <w:b w:val="0"/>
                <w:sz w:val="20"/>
              </w:rPr>
              <w:t>32 条样本验证批次平均时延</w:t>
            </w:r>
          </w:p>
        </w:tc>
        <w:tc>
          <w:tcPr>
            <w:tcW w:type="dxa" w:w="2940"/>
          </w:tcPr>
          <w:p>
            <w:r/>
            <w:r>
              <w:rPr>
                <w:rFonts w:ascii="宋体" w:hAnsi="宋体" w:eastAsia="宋体"/>
                <w:b w:val="0"/>
                <w:sz w:val="20"/>
              </w:rPr>
              <w:t>89.06 秒/样本</w:t>
            </w:r>
          </w:p>
        </w:tc>
        <w:tc>
          <w:tcPr>
            <w:tcW w:type="dxa" w:w="2940"/>
          </w:tcPr>
          <w:p>
            <w:r/>
            <w:r>
              <w:rPr>
                <w:rFonts w:ascii="宋体" w:hAnsi="宋体" w:eastAsia="宋体"/>
                <w:b w:val="0"/>
                <w:sz w:val="20"/>
              </w:rPr>
              <w:t>当前主要交付场景的端到端双向隐私原型口径</w:t>
            </w:r>
          </w:p>
        </w:tc>
      </w:tr>
      <w:tr>
        <w:tc>
          <w:tcPr>
            <w:tcW w:type="dxa" w:w="2940"/>
          </w:tcPr>
          <w:p>
            <w:r/>
            <w:r>
              <w:rPr>
                <w:rFonts w:ascii="宋体" w:hAnsi="宋体" w:eastAsia="宋体"/>
                <w:b w:val="0"/>
                <w:sz w:val="20"/>
              </w:rPr>
              <w:t>32 条样本验证批次双向通信量</w:t>
            </w:r>
          </w:p>
        </w:tc>
        <w:tc>
          <w:tcPr>
            <w:tcW w:type="dxa" w:w="2940"/>
          </w:tcPr>
          <w:p>
            <w:r/>
            <w:r>
              <w:rPr>
                <w:rFonts w:ascii="宋体" w:hAnsi="宋体" w:eastAsia="宋体"/>
                <w:b w:val="0"/>
                <w:sz w:val="20"/>
              </w:rPr>
              <w:t>84.47 GiB</w:t>
            </w:r>
          </w:p>
        </w:tc>
        <w:tc>
          <w:tcPr>
            <w:tcW w:type="dxa" w:w="2940"/>
          </w:tcPr>
          <w:p>
            <w:r/>
            <w:r>
              <w:rPr>
                <w:rFonts w:ascii="宋体" w:hAnsi="宋体" w:eastAsia="宋体"/>
                <w:b w:val="0"/>
                <w:sz w:val="20"/>
              </w:rPr>
              <w:t>来自同配置重测记录的双向通信总量</w:t>
            </w:r>
          </w:p>
        </w:tc>
      </w:tr>
      <w:tr>
        <w:tc>
          <w:tcPr>
            <w:tcW w:type="dxa" w:w="2940"/>
          </w:tcPr>
          <w:p>
            <w:r/>
            <w:r>
              <w:rPr>
                <w:rFonts w:ascii="宋体" w:hAnsi="宋体" w:eastAsia="宋体"/>
                <w:b w:val="0"/>
                <w:sz w:val="20"/>
              </w:rPr>
              <w:t>隐私边界</w:t>
            </w:r>
          </w:p>
        </w:tc>
        <w:tc>
          <w:tcPr>
            <w:tcW w:type="dxa" w:w="2940"/>
          </w:tcPr>
          <w:p>
            <w:r/>
            <w:r>
              <w:rPr>
                <w:rFonts w:ascii="宋体" w:hAnsi="宋体" w:eastAsia="宋体"/>
                <w:b w:val="0"/>
                <w:sz w:val="20"/>
              </w:rPr>
              <w:t>服务端不接收明文像素值，模型参数不以明文暴露</w:t>
            </w:r>
          </w:p>
        </w:tc>
        <w:tc>
          <w:tcPr>
            <w:tcW w:type="dxa" w:w="2940"/>
          </w:tcPr>
          <w:p>
            <w:r/>
            <w:r>
              <w:rPr>
                <w:rFonts w:ascii="宋体" w:hAnsi="宋体" w:eastAsia="宋体"/>
                <w:b w:val="0"/>
                <w:sz w:val="20"/>
              </w:rPr>
              <w:t>对外仅返回最终分类结果</w:t>
            </w:r>
          </w:p>
        </w:tc>
      </w:tr>
    </w:tbl>
    <w:p>
      <w:pPr>
        <w:spacing w:line="360" w:lineRule="auto"/>
        <w:ind w:firstLine="480"/>
      </w:pPr>
      <w:r>
        <w:rPr>
          <w:rFonts w:ascii="宋体" w:hAnsi="宋体" w:eastAsia="宋体"/>
          <w:b w:val="0"/>
          <w:sz w:val="24"/>
        </w:rPr>
        <w:t>图 4-1 对比了医疗动态安全剪枝路径与 DenseNet121 明文卷积基线的概率分布及阈值位置。结合 argmax 精度与阈值精度可以看出，当前动态路径的主要问题并非样本排序能力完全丧失，而是部署边界相对固定结构参考发生了系统性偏移。因此，针对动态路径单独校准部署阈值，是当前交付方案中的必要步骤。</w:t>
      </w:r>
    </w:p>
    <w:p>
      <w:pPr>
        <w:spacing w:line="360" w:lineRule="auto"/>
        <w:ind w:firstLine="0"/>
        <w:jc w:val="center"/>
      </w:pPr>
      <w:r>
        <w:drawing>
          <wp:inline xmlns:a="http://schemas.openxmlformats.org/drawingml/2006/main" xmlns:pic="http://schemas.openxmlformats.org/drawingml/2006/picture">
            <wp:extent cx="5760720" cy="3096387"/>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60720" cy="3096387"/>
                    </a:xfrm>
                    <a:prstGeom prst="rect"/>
                  </pic:spPr>
                </pic:pic>
              </a:graphicData>
            </a:graphic>
          </wp:inline>
        </w:drawing>
      </w:r>
    </w:p>
    <w:p>
      <w:pPr>
        <w:spacing w:line="288"/>
        <w:ind w:firstLine="0"/>
        <w:jc w:val="center"/>
      </w:pPr>
      <w:r>
        <w:rPr>
          <w:rFonts w:ascii="宋体" w:hAnsi="宋体" w:eastAsia="宋体"/>
          <w:b w:val="0"/>
          <w:sz w:val="20"/>
        </w:rPr>
        <w:t>图4-1 医疗动态安全剪枝路径与 DenseNet121 明文基线的概率分布与阈值偏移对比。</w:t>
      </w:r>
    </w:p>
    <w:p>
      <w:pPr>
        <w:spacing w:line="360" w:lineRule="auto"/>
        <w:ind w:firstLine="480"/>
      </w:pPr>
      <w:r>
        <w:rPr>
          <w:rFonts w:ascii="宋体" w:hAnsi="宋体" w:eastAsia="宋体"/>
          <w:b w:val="0"/>
          <w:sz w:val="24"/>
        </w:rPr>
        <w:t>同口径服务器复核表明，动态正式主线在 full-val CPU runtime-pruning reference 口径下的 AUC 为 0.9639。这说明当前动态路径并未失去样本排序能力，影响部署效果的关键问题仍然是决策边界相对固定结构参考发生系统性偏移，因此动态路径单独阈值校准仍是正式部署中的必要步骤。</w:t>
      </w:r>
    </w:p>
    <w:p>
      <w:pPr>
        <w:spacing w:line="360" w:lineRule="auto"/>
        <w:ind w:firstLine="0"/>
      </w:pPr>
      <w:r>
        <w:rPr>
          <w:rFonts w:ascii="黑体" w:hAnsi="黑体" w:eastAsia="黑体"/>
          <w:b/>
          <w:sz w:val="24"/>
        </w:rPr>
        <w:t>4.4 性能与通信量分析</w:t>
      </w:r>
    </w:p>
    <w:tbl>
      <w:tblPr>
        <w:tblW w:type="auto" w:w="0"/>
        <w:tblLook w:firstColumn="1" w:firstRow="1" w:lastColumn="0" w:lastRow="0" w:noHBand="0" w:noVBand="1" w:val="04A0"/>
      </w:tblPr>
      <w:tblGrid>
        <w:gridCol w:w="1470"/>
        <w:gridCol w:w="1470"/>
        <w:gridCol w:w="1470"/>
        <w:gridCol w:w="1470"/>
        <w:gridCol w:w="1470"/>
        <w:gridCol w:w="1470"/>
      </w:tblGrid>
      <w:tr>
        <w:tc>
          <w:tcPr>
            <w:tcW w:type="dxa" w:w="1470"/>
          </w:tcPr>
          <w:p>
            <w:pPr>
              <w:jc w:val="center"/>
            </w:pPr>
            <w:r/>
            <w:r>
              <w:rPr>
                <w:rFonts w:ascii="宋体" w:hAnsi="宋体" w:eastAsia="宋体"/>
                <w:b/>
                <w:sz w:val="20"/>
              </w:rPr>
              <w:t>场景</w:t>
            </w:r>
          </w:p>
        </w:tc>
        <w:tc>
          <w:tcPr>
            <w:tcW w:type="dxa" w:w="1470"/>
          </w:tcPr>
          <w:p>
            <w:pPr>
              <w:jc w:val="center"/>
            </w:pPr>
            <w:r/>
            <w:r>
              <w:rPr>
                <w:rFonts w:ascii="宋体" w:hAnsi="宋体" w:eastAsia="宋体"/>
                <w:b/>
                <w:sz w:val="20"/>
              </w:rPr>
              <w:t>样本数</w:t>
            </w:r>
          </w:p>
        </w:tc>
        <w:tc>
          <w:tcPr>
            <w:tcW w:type="dxa" w:w="1470"/>
          </w:tcPr>
          <w:p>
            <w:pPr>
              <w:jc w:val="center"/>
            </w:pPr>
            <w:r/>
            <w:r>
              <w:rPr>
                <w:rFonts w:ascii="宋体" w:hAnsi="宋体" w:eastAsia="宋体"/>
                <w:b/>
                <w:sz w:val="20"/>
              </w:rPr>
              <w:t>总时长</w:t>
            </w:r>
          </w:p>
        </w:tc>
        <w:tc>
          <w:tcPr>
            <w:tcW w:type="dxa" w:w="1470"/>
          </w:tcPr>
          <w:p>
            <w:pPr>
              <w:jc w:val="center"/>
            </w:pPr>
            <w:r/>
            <w:r>
              <w:rPr>
                <w:rFonts w:ascii="宋体" w:hAnsi="宋体" w:eastAsia="宋体"/>
                <w:b/>
                <w:sz w:val="20"/>
              </w:rPr>
              <w:t>平均时延</w:t>
            </w:r>
          </w:p>
        </w:tc>
        <w:tc>
          <w:tcPr>
            <w:tcW w:type="dxa" w:w="1470"/>
          </w:tcPr>
          <w:p>
            <w:pPr>
              <w:jc w:val="center"/>
            </w:pPr>
            <w:r/>
            <w:r>
              <w:rPr>
                <w:rFonts w:ascii="宋体" w:hAnsi="宋体" w:eastAsia="宋体"/>
                <w:b/>
                <w:sz w:val="20"/>
              </w:rPr>
              <w:t>双向总通信量</w:t>
            </w:r>
          </w:p>
        </w:tc>
        <w:tc>
          <w:tcPr>
            <w:tcW w:type="dxa" w:w="1470"/>
          </w:tcPr>
          <w:p>
            <w:pPr>
              <w:jc w:val="center"/>
            </w:pPr>
            <w:r/>
            <w:r>
              <w:rPr>
                <w:rFonts w:ascii="宋体" w:hAnsi="宋体" w:eastAsia="宋体"/>
                <w:b/>
                <w:sz w:val="20"/>
              </w:rPr>
              <w:t>每样本通信量</w:t>
            </w:r>
          </w:p>
        </w:tc>
      </w:tr>
      <w:tr>
        <w:tc>
          <w:tcPr>
            <w:tcW w:type="dxa" w:w="1470"/>
          </w:tcPr>
          <w:p>
            <w:r/>
            <w:r>
              <w:rPr>
                <w:rFonts w:ascii="宋体" w:hAnsi="宋体" w:eastAsia="宋体"/>
                <w:b w:val="0"/>
                <w:sz w:val="20"/>
              </w:rPr>
              <w:t>医疗主要交付场景</w:t>
            </w:r>
          </w:p>
        </w:tc>
        <w:tc>
          <w:tcPr>
            <w:tcW w:type="dxa" w:w="1470"/>
          </w:tcPr>
          <w:p>
            <w:r/>
            <w:r>
              <w:rPr>
                <w:rFonts w:ascii="宋体" w:hAnsi="宋体" w:eastAsia="宋体"/>
                <w:b w:val="0"/>
                <w:sz w:val="20"/>
              </w:rPr>
              <w:t>32</w:t>
            </w:r>
          </w:p>
        </w:tc>
        <w:tc>
          <w:tcPr>
            <w:tcW w:type="dxa" w:w="1470"/>
          </w:tcPr>
          <w:p>
            <w:r/>
            <w:r>
              <w:rPr>
                <w:rFonts w:ascii="宋体" w:hAnsi="宋体" w:eastAsia="宋体"/>
                <w:b w:val="0"/>
                <w:sz w:val="20"/>
              </w:rPr>
              <w:t>2849.94 秒</w:t>
            </w:r>
          </w:p>
        </w:tc>
        <w:tc>
          <w:tcPr>
            <w:tcW w:type="dxa" w:w="1470"/>
          </w:tcPr>
          <w:p>
            <w:r/>
            <w:r>
              <w:rPr>
                <w:rFonts w:ascii="宋体" w:hAnsi="宋体" w:eastAsia="宋体"/>
                <w:b w:val="0"/>
                <w:sz w:val="20"/>
              </w:rPr>
              <w:t>89.06 秒/样本</w:t>
            </w:r>
          </w:p>
        </w:tc>
        <w:tc>
          <w:tcPr>
            <w:tcW w:type="dxa" w:w="1470"/>
          </w:tcPr>
          <w:p>
            <w:r/>
            <w:r>
              <w:rPr>
                <w:rFonts w:ascii="宋体" w:hAnsi="宋体" w:eastAsia="宋体"/>
                <w:b w:val="0"/>
                <w:sz w:val="20"/>
              </w:rPr>
              <w:t>84.47 GiB</w:t>
            </w:r>
          </w:p>
        </w:tc>
        <w:tc>
          <w:tcPr>
            <w:tcW w:type="dxa" w:w="1470"/>
          </w:tcPr>
          <w:p>
            <w:r/>
            <w:r>
              <w:rPr>
                <w:rFonts w:ascii="宋体" w:hAnsi="宋体" w:eastAsia="宋体"/>
                <w:b w:val="0"/>
                <w:sz w:val="20"/>
              </w:rPr>
              <w:t>2.64 GiB</w:t>
            </w:r>
          </w:p>
        </w:tc>
      </w:tr>
      <w:tr>
        <w:tc>
          <w:tcPr>
            <w:tcW w:type="dxa" w:w="1470"/>
          </w:tcPr>
          <w:p>
            <w:r/>
            <w:r>
              <w:rPr>
                <w:rFonts w:ascii="宋体" w:hAnsi="宋体" w:eastAsia="宋体"/>
                <w:b w:val="0"/>
                <w:sz w:val="20"/>
              </w:rPr>
              <w:t>金融边界压力验证</w:t>
            </w:r>
          </w:p>
        </w:tc>
        <w:tc>
          <w:tcPr>
            <w:tcW w:type="dxa" w:w="1470"/>
          </w:tcPr>
          <w:p>
            <w:r/>
            <w:r>
              <w:rPr>
                <w:rFonts w:ascii="宋体" w:hAnsi="宋体" w:eastAsia="宋体"/>
                <w:b w:val="0"/>
                <w:sz w:val="20"/>
              </w:rPr>
              <w:t>8</w:t>
            </w:r>
          </w:p>
        </w:tc>
        <w:tc>
          <w:tcPr>
            <w:tcW w:type="dxa" w:w="1470"/>
          </w:tcPr>
          <w:p>
            <w:r/>
            <w:r>
              <w:rPr>
                <w:rFonts w:ascii="宋体" w:hAnsi="宋体" w:eastAsia="宋体"/>
                <w:b w:val="0"/>
                <w:sz w:val="20"/>
              </w:rPr>
              <w:t>849.26 秒</w:t>
            </w:r>
          </w:p>
        </w:tc>
        <w:tc>
          <w:tcPr>
            <w:tcW w:type="dxa" w:w="1470"/>
          </w:tcPr>
          <w:p>
            <w:r/>
            <w:r>
              <w:rPr>
                <w:rFonts w:ascii="宋体" w:hAnsi="宋体" w:eastAsia="宋体"/>
                <w:b w:val="0"/>
                <w:sz w:val="20"/>
              </w:rPr>
              <w:t>106.16 秒/样本</w:t>
            </w:r>
          </w:p>
        </w:tc>
        <w:tc>
          <w:tcPr>
            <w:tcW w:type="dxa" w:w="1470"/>
          </w:tcPr>
          <w:p>
            <w:r/>
            <w:r>
              <w:rPr>
                <w:rFonts w:ascii="宋体" w:hAnsi="宋体" w:eastAsia="宋体"/>
                <w:b w:val="0"/>
                <w:sz w:val="20"/>
              </w:rPr>
              <w:t>25.30 GiB</w:t>
            </w:r>
          </w:p>
        </w:tc>
        <w:tc>
          <w:tcPr>
            <w:tcW w:type="dxa" w:w="1470"/>
          </w:tcPr>
          <w:p>
            <w:r/>
            <w:r>
              <w:rPr>
                <w:rFonts w:ascii="宋体" w:hAnsi="宋体" w:eastAsia="宋体"/>
                <w:b w:val="0"/>
                <w:sz w:val="20"/>
              </w:rPr>
              <w:t>3.16 GiB</w:t>
            </w:r>
          </w:p>
        </w:tc>
      </w:tr>
    </w:tbl>
    <w:tbl>
      <w:tblPr>
        <w:tblW w:type="auto" w:w="0"/>
        <w:tblLook w:firstColumn="1" w:firstRow="1" w:lastColumn="0" w:lastRow="0" w:noHBand="0" w:noVBand="1" w:val="04A0"/>
      </w:tblPr>
      <w:tblGrid>
        <w:gridCol w:w="2205"/>
        <w:gridCol w:w="2205"/>
        <w:gridCol w:w="2205"/>
        <w:gridCol w:w="2205"/>
      </w:tblGrid>
      <w:tr>
        <w:tc>
          <w:tcPr>
            <w:tcW w:type="dxa" w:w="2205"/>
          </w:tcPr>
          <w:p>
            <w:pPr>
              <w:jc w:val="center"/>
            </w:pPr>
            <w:r/>
            <w:r>
              <w:rPr>
                <w:rFonts w:ascii="宋体" w:hAnsi="宋体" w:eastAsia="宋体"/>
                <w:b/>
                <w:sz w:val="17"/>
              </w:rPr>
              <w:t>代理基准对比组</w:t>
            </w:r>
          </w:p>
        </w:tc>
        <w:tc>
          <w:tcPr>
            <w:tcW w:type="dxa" w:w="2205"/>
          </w:tcPr>
          <w:p>
            <w:pPr>
              <w:jc w:val="center"/>
            </w:pPr>
            <w:r/>
            <w:r>
              <w:rPr>
                <w:rFonts w:ascii="宋体" w:hAnsi="宋体" w:eastAsia="宋体"/>
                <w:b/>
                <w:sz w:val="17"/>
              </w:rPr>
              <w:t>通信比值（左/右）</w:t>
            </w:r>
          </w:p>
        </w:tc>
        <w:tc>
          <w:tcPr>
            <w:tcW w:type="dxa" w:w="2205"/>
          </w:tcPr>
          <w:p>
            <w:pPr>
              <w:jc w:val="center"/>
            </w:pPr>
            <w:r/>
            <w:r>
              <w:rPr>
                <w:rFonts w:ascii="宋体" w:hAnsi="宋体" w:eastAsia="宋体"/>
                <w:b/>
                <w:sz w:val="17"/>
              </w:rPr>
              <w:t>时间比值（左/右）</w:t>
            </w:r>
          </w:p>
        </w:tc>
        <w:tc>
          <w:tcPr>
            <w:tcW w:type="dxa" w:w="2205"/>
          </w:tcPr>
          <w:p>
            <w:pPr>
              <w:jc w:val="center"/>
            </w:pPr>
            <w:r/>
            <w:r>
              <w:rPr>
                <w:rFonts w:ascii="宋体" w:hAnsi="宋体" w:eastAsia="宋体"/>
                <w:b/>
                <w:sz w:val="17"/>
              </w:rPr>
              <w:t>适用范围说明</w:t>
            </w:r>
          </w:p>
        </w:tc>
      </w:tr>
      <w:tr>
        <w:tc>
          <w:tcPr>
            <w:tcW w:type="dxa" w:w="2205"/>
          </w:tcPr>
          <w:p>
            <w:r/>
            <w:r>
              <w:rPr>
                <w:rFonts w:ascii="宋体" w:hAnsi="宋体" w:eastAsia="宋体"/>
                <w:b w:val="0"/>
                <w:sz w:val="17"/>
              </w:rPr>
              <w:t>同形状算子代理基准</w:t>
            </w:r>
          </w:p>
        </w:tc>
        <w:tc>
          <w:tcPr>
            <w:tcW w:type="dxa" w:w="2205"/>
          </w:tcPr>
          <w:p>
            <w:r/>
            <w:r>
              <w:rPr>
                <w:rFonts w:ascii="宋体" w:hAnsi="宋体" w:eastAsia="宋体"/>
                <w:b w:val="0"/>
                <w:sz w:val="17"/>
              </w:rPr>
              <w:t>0.149x</w:t>
            </w:r>
          </w:p>
        </w:tc>
        <w:tc>
          <w:tcPr>
            <w:tcW w:type="dxa" w:w="2205"/>
          </w:tcPr>
          <w:p>
            <w:r/>
            <w:r>
              <w:rPr>
                <w:rFonts w:ascii="宋体" w:hAnsi="宋体" w:eastAsia="宋体"/>
                <w:b w:val="0"/>
                <w:sz w:val="17"/>
              </w:rPr>
              <w:t>0.528x</w:t>
            </w:r>
          </w:p>
        </w:tc>
        <w:tc>
          <w:tcPr>
            <w:tcW w:type="dxa" w:w="2205"/>
          </w:tcPr>
          <w:p>
            <w:r/>
            <w:r>
              <w:rPr>
                <w:rFonts w:ascii="宋体" w:hAnsi="宋体" w:eastAsia="宋体"/>
                <w:b w:val="0"/>
                <w:sz w:val="17"/>
              </w:rPr>
              <w:t>同一模型形状、同一 2PC benchmark harness；主要用于观察算子配置导致的安全开销差异。</w:t>
            </w:r>
          </w:p>
        </w:tc>
      </w:tr>
      <w:tr>
        <w:tc>
          <w:tcPr>
            <w:tcW w:type="dxa" w:w="2205"/>
          </w:tcPr>
          <w:p>
            <w:r/>
            <w:r>
              <w:rPr>
                <w:rFonts w:ascii="宋体" w:hAnsi="宋体" w:eastAsia="宋体"/>
                <w:b w:val="0"/>
                <w:sz w:val="17"/>
              </w:rPr>
              <w:t>异构结构代理基准</w:t>
            </w:r>
          </w:p>
        </w:tc>
        <w:tc>
          <w:tcPr>
            <w:tcW w:type="dxa" w:w="2205"/>
          </w:tcPr>
          <w:p>
            <w:r/>
            <w:r>
              <w:rPr>
                <w:rFonts w:ascii="宋体" w:hAnsi="宋体" w:eastAsia="宋体"/>
                <w:b w:val="0"/>
                <w:sz w:val="17"/>
              </w:rPr>
              <w:t>16.845x</w:t>
            </w:r>
          </w:p>
        </w:tc>
        <w:tc>
          <w:tcPr>
            <w:tcW w:type="dxa" w:w="2205"/>
          </w:tcPr>
          <w:p>
            <w:r/>
            <w:r>
              <w:rPr>
                <w:rFonts w:ascii="宋体" w:hAnsi="宋体" w:eastAsia="宋体"/>
                <w:b w:val="0"/>
                <w:sz w:val="17"/>
              </w:rPr>
              <w:t>2.955x</w:t>
            </w:r>
          </w:p>
        </w:tc>
        <w:tc>
          <w:tcPr>
            <w:tcW w:type="dxa" w:w="2205"/>
          </w:tcPr>
          <w:p>
            <w:r/>
            <w:r>
              <w:rPr>
                <w:rFonts w:ascii="宋体" w:hAnsi="宋体" w:eastAsia="宋体"/>
                <w:b w:val="0"/>
                <w:sz w:val="17"/>
              </w:rPr>
              <w:t>同一 MPCFormer local 2PC benchmark harness；各 profile 使用各自模型结构参数。这不是 full-val 医学图像 pipeline 通信量。</w:t>
            </w:r>
          </w:p>
        </w:tc>
      </w:tr>
    </w:tbl>
    <w:p>
      <w:pPr>
        <w:spacing w:line="360" w:lineRule="auto"/>
        <w:ind w:firstLine="480"/>
      </w:pPr>
      <w:r>
        <w:rPr>
          <w:rFonts w:ascii="宋体" w:hAnsi="宋体" w:eastAsia="宋体"/>
          <w:b w:val="0"/>
          <w:sz w:val="24"/>
        </w:rPr>
        <w:t>性能证据分为两层：其一是上述端到端双向隐私运行结果，用于说明正式医疗主线与金融压力样本在当前原型中的总时延和总通信量；其二是统一 secure benchmark 下的代理基准对比，用于说明算子替换本身的开销趋势。在固定同一 DeiT-S 形状的代理基准对比中，TransShield 的安全友好算子将通信压缩到外部基准算子的 0.149x，时间压缩到 0.528x，说明算子替换本身具有正向收益。另一方面，跨模型结构的异构结构代理基准只能用于说明结构尺度差异会显著放大绝对代价，不能与医疗全量验证主链路混写。</w:t>
      </w:r>
    </w:p>
    <w:p>
      <w:pPr>
        <w:spacing w:line="360" w:lineRule="auto"/>
        <w:ind w:firstLine="480"/>
      </w:pPr>
      <w:r>
        <w:rPr>
          <w:rFonts w:ascii="宋体" w:hAnsi="宋体" w:eastAsia="宋体"/>
          <w:b w:val="0"/>
          <w:sz w:val="24"/>
        </w:rPr>
        <w:t>当前时延与通信量偏高，主要由三类因素共同造成。第一，正式主线保留了动态词元剪枝的密态比较、排序与掩码化决策链，相比固定结构安全推理会引入额外的协议轮次。第二，当前运行口径是同机本地双节点（colocated localhost）2PC 原型链路，虽然两方节点位于同一服务器内，但张量交换、线性层通信与 softmax 归一化指数函数相关算子仍构成主要代价来源，不能将 localhost 原型误解为“几乎无通信成本”。第三，当前 Web 演示后端以正确性与边界防护为首要目标，未针对生产级吞吐做异步化、流水化或任务队列改造。因此，本报告只保留已直接落盘的端到端结果与算子级代理证据，不额外给出未经观测的阶段占比、P50/P95 延迟或生产级并发吞吐承诺。</w:t>
      </w:r>
    </w:p>
    <w:p>
      <w:pPr>
        <w:spacing w:line="360" w:lineRule="auto"/>
        <w:ind w:firstLine="0"/>
      </w:pPr>
      <w:r>
        <w:rPr>
          <w:rFonts w:ascii="黑体" w:hAnsi="黑体" w:eastAsia="黑体"/>
          <w:b/>
          <w:sz w:val="24"/>
        </w:rPr>
        <w:t>4.5 金融边界压力验证结果</w:t>
      </w:r>
    </w:p>
    <w:p>
      <w:pPr>
        <w:spacing w:line="360" w:lineRule="auto"/>
        <w:ind w:firstLine="480"/>
      </w:pPr>
      <w:r>
        <w:rPr>
          <w:rFonts w:ascii="宋体" w:hAnsi="宋体" w:eastAsia="宋体"/>
          <w:b w:val="0"/>
          <w:sz w:val="24"/>
        </w:rPr>
        <w:t>需要说明的是，金融域原始输入并非自然图像，而是信用卡欺诈检测任务中的 30 维 PCA 特征。为了复用 DeiT-S 的块嵌入（Patch Embedding）结构，本作品先将一维金融特征通过拟图像空间连续性编码映射为 224×224 灰度图，使输入保留可供视觉 Transformer 利用的局部平滑先验。仓内冻结 bundle 记录表明，早期的 patch-based 与 DCT 编码未形成稳定可用结果，当前边界压力验证对应的是 v3 image-like smooth/contrast encoding。</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20"/>
              </w:rPr>
              <w:t>指标</w:t>
            </w:r>
          </w:p>
        </w:tc>
        <w:tc>
          <w:tcPr>
            <w:tcW w:type="dxa" w:w="2940"/>
          </w:tcPr>
          <w:p>
            <w:pPr>
              <w:jc w:val="center"/>
            </w:pPr>
            <w:r/>
            <w:r>
              <w:rPr>
                <w:rFonts w:ascii="宋体" w:hAnsi="宋体" w:eastAsia="宋体"/>
                <w:b/>
                <w:sz w:val="20"/>
              </w:rPr>
              <w:t>结果</w:t>
            </w:r>
          </w:p>
        </w:tc>
        <w:tc>
          <w:tcPr>
            <w:tcW w:type="dxa" w:w="2940"/>
          </w:tcPr>
          <w:p>
            <w:pPr>
              <w:jc w:val="center"/>
            </w:pPr>
            <w:r/>
            <w:r>
              <w:rPr>
                <w:rFonts w:ascii="宋体" w:hAnsi="宋体" w:eastAsia="宋体"/>
                <w:b/>
                <w:sz w:val="20"/>
              </w:rPr>
              <w:t>说明</w:t>
            </w:r>
          </w:p>
        </w:tc>
      </w:tr>
      <w:tr>
        <w:tc>
          <w:tcPr>
            <w:tcW w:type="dxa" w:w="2940"/>
          </w:tcPr>
          <w:p>
            <w:r/>
            <w:r>
              <w:rPr>
                <w:rFonts w:ascii="宋体" w:hAnsi="宋体" w:eastAsia="宋体"/>
                <w:b w:val="0"/>
                <w:sz w:val="20"/>
              </w:rPr>
              <w:t>8 条压力样本逐样本一致性</w:t>
            </w:r>
          </w:p>
        </w:tc>
        <w:tc>
          <w:tcPr>
            <w:tcW w:type="dxa" w:w="2940"/>
          </w:tcPr>
          <w:p>
            <w:r/>
            <w:r>
              <w:rPr>
                <w:rFonts w:ascii="宋体" w:hAnsi="宋体" w:eastAsia="宋体"/>
                <w:b w:val="0"/>
                <w:sz w:val="20"/>
              </w:rPr>
              <w:t>8 / 8 样本差异为 0</w:t>
            </w:r>
          </w:p>
        </w:tc>
        <w:tc>
          <w:tcPr>
            <w:tcW w:type="dxa" w:w="2940"/>
          </w:tcPr>
          <w:p>
            <w:r/>
            <w:r>
              <w:rPr>
                <w:rFonts w:ascii="宋体" w:hAnsi="宋体" w:eastAsia="宋体"/>
                <w:b w:val="0"/>
                <w:sz w:val="20"/>
              </w:rPr>
              <w:t>与明文参考逐样本对齐</w:t>
            </w:r>
          </w:p>
        </w:tc>
      </w:tr>
      <w:tr>
        <w:tc>
          <w:tcPr>
            <w:tcW w:type="dxa" w:w="2940"/>
          </w:tcPr>
          <w:p>
            <w:r/>
            <w:r>
              <w:rPr>
                <w:rFonts w:ascii="宋体" w:hAnsi="宋体" w:eastAsia="宋体"/>
                <w:b w:val="0"/>
                <w:sz w:val="20"/>
              </w:rPr>
              <w:t>部署效率</w:t>
            </w:r>
          </w:p>
        </w:tc>
        <w:tc>
          <w:tcPr>
            <w:tcW w:type="dxa" w:w="2940"/>
          </w:tcPr>
          <w:p>
            <w:r/>
            <w:r>
              <w:rPr>
                <w:rFonts w:ascii="宋体" w:hAnsi="宋体" w:eastAsia="宋体"/>
                <w:b w:val="0"/>
                <w:sz w:val="20"/>
              </w:rPr>
              <w:t>106.16 秒/样本</w:t>
            </w:r>
          </w:p>
        </w:tc>
        <w:tc>
          <w:tcPr>
            <w:tcW w:type="dxa" w:w="2940"/>
          </w:tcPr>
          <w:p>
            <w:r/>
            <w:r>
              <w:rPr>
                <w:rFonts w:ascii="宋体" w:hAnsi="宋体" w:eastAsia="宋体"/>
                <w:b w:val="0"/>
                <w:sz w:val="20"/>
              </w:rPr>
              <w:t>仅作为边界压力验证口径</w:t>
            </w:r>
          </w:p>
        </w:tc>
      </w:tr>
      <w:tr>
        <w:tc>
          <w:tcPr>
            <w:tcW w:type="dxa" w:w="2940"/>
          </w:tcPr>
          <w:p>
            <w:r/>
            <w:r>
              <w:rPr>
                <w:rFonts w:ascii="宋体" w:hAnsi="宋体" w:eastAsia="宋体"/>
                <w:b w:val="0"/>
                <w:sz w:val="20"/>
              </w:rPr>
              <w:t>双向总通信量</w:t>
            </w:r>
          </w:p>
        </w:tc>
        <w:tc>
          <w:tcPr>
            <w:tcW w:type="dxa" w:w="2940"/>
          </w:tcPr>
          <w:p>
            <w:r/>
            <w:r>
              <w:rPr>
                <w:rFonts w:ascii="宋体" w:hAnsi="宋体" w:eastAsia="宋体"/>
                <w:b w:val="0"/>
                <w:sz w:val="20"/>
              </w:rPr>
              <w:t>25.30 GiB</w:t>
            </w:r>
          </w:p>
        </w:tc>
        <w:tc>
          <w:tcPr>
            <w:tcW w:type="dxa" w:w="2940"/>
          </w:tcPr>
          <w:p>
            <w:r/>
            <w:r>
              <w:rPr>
                <w:rFonts w:ascii="宋体" w:hAnsi="宋体" w:eastAsia="宋体"/>
                <w:b w:val="0"/>
                <w:sz w:val="20"/>
              </w:rPr>
              <w:t>同配置重测口径</w:t>
            </w:r>
          </w:p>
        </w:tc>
      </w:tr>
      <w:tr>
        <w:tc>
          <w:tcPr>
            <w:tcW w:type="dxa" w:w="2940"/>
          </w:tcPr>
          <w:p>
            <w:r/>
            <w:r>
              <w:rPr>
                <w:rFonts w:ascii="宋体" w:hAnsi="宋体" w:eastAsia="宋体"/>
                <w:b w:val="0"/>
                <w:sz w:val="20"/>
              </w:rPr>
              <w:t>参数规模保留比例</w:t>
            </w:r>
          </w:p>
        </w:tc>
        <w:tc>
          <w:tcPr>
            <w:tcW w:type="dxa" w:w="2940"/>
          </w:tcPr>
          <w:p>
            <w:r/>
            <w:r>
              <w:rPr>
                <w:rFonts w:ascii="宋体" w:hAnsi="宋体" w:eastAsia="宋体"/>
                <w:b w:val="0"/>
                <w:sz w:val="20"/>
              </w:rPr>
              <w:t>68.39%</w:t>
            </w:r>
          </w:p>
        </w:tc>
        <w:tc>
          <w:tcPr>
            <w:tcW w:type="dxa" w:w="2940"/>
          </w:tcPr>
          <w:p>
            <w:r/>
            <w:r>
              <w:rPr>
                <w:rFonts w:ascii="宋体" w:hAnsi="宋体" w:eastAsia="宋体"/>
                <w:b w:val="0"/>
                <w:sz w:val="20"/>
              </w:rPr>
              <w:t>体现低秩压缩收益</w:t>
            </w:r>
          </w:p>
        </w:tc>
      </w:tr>
    </w:tbl>
    <w:p>
      <w:pPr>
        <w:spacing w:line="360" w:lineRule="auto"/>
        <w:ind w:firstLine="480"/>
      </w:pPr>
      <w:r>
        <w:rPr>
          <w:rFonts w:ascii="宋体" w:hAnsi="宋体" w:eastAsia="宋体"/>
          <w:b w:val="0"/>
          <w:sz w:val="24"/>
        </w:rPr>
        <w:t>金融部分仅承担方法迁移性与极端输入稳定性验证职责，不作为与医疗并列的独立交付场景。其价值在于：在不改变安全运行链基本结构的前提下，验证控制面、动态路由与安全执行语义在另一类高敏感任务中的边界表现，从而证明本作品的工程设计并非只对单一数据分布有效。</w:t>
      </w:r>
    </w:p>
    <w:p>
      <w:pPr>
        <w:spacing w:line="360" w:lineRule="auto"/>
        <w:ind w:firstLine="0"/>
      </w:pPr>
      <w:r>
        <w:rPr>
          <w:rFonts w:ascii="黑体" w:hAnsi="黑体" w:eastAsia="黑体"/>
          <w:b/>
          <w:sz w:val="24"/>
        </w:rPr>
        <w:t>4.6 协议层异常输入与鲁棒性验证</w:t>
      </w:r>
    </w:p>
    <w:p>
      <w:pPr>
        <w:spacing w:line="360" w:lineRule="auto"/>
        <w:ind w:firstLine="480"/>
      </w:pPr>
      <w:r>
        <w:rPr>
          <w:rFonts w:ascii="宋体" w:hAnsi="宋体" w:eastAsia="宋体"/>
          <w:b w:val="0"/>
          <w:sz w:val="24"/>
        </w:rPr>
        <w:t>鲁棒性验证采用穷举边缘分支矩阵，而不是以单一拦截率概括系统表现。协议层测试覆盖分块传输编码（Transfer-Encoding: chunked）、超大报文长度声明（Content-Length）、boundary 参数混淆、重复字段、畸形分片报文头、空字节注入、非空尾部附加数据、UTF-16 编码结构化元数据、超长结构化元数据以及截断请求体；控制面测试覆盖随机一次性标识（Nonce）并发重放、相同载荷更换 Nonce、同一来源地址并发占满与短窗限频。每个用例均记录首个拦截层、兜底层级、返回处置与资源状态回落摘要，以同时证明拦截有效性与系统可服务性。</w:t>
      </w:r>
    </w:p>
    <w:tbl>
      <w:tblPr>
        <w:tblW w:type="auto" w:w="0"/>
        <w:tblLook w:firstColumn="1" w:firstRow="1" w:lastColumn="0" w:lastRow="0" w:noHBand="0" w:noVBand="1" w:val="04A0"/>
      </w:tblPr>
      <w:tblGrid>
        <w:gridCol w:w="1470"/>
        <w:gridCol w:w="1470"/>
        <w:gridCol w:w="1470"/>
        <w:gridCol w:w="1470"/>
        <w:gridCol w:w="1470"/>
        <w:gridCol w:w="1470"/>
      </w:tblGrid>
      <w:tr>
        <w:tc>
          <w:tcPr>
            <w:tcW w:type="dxa" w:w="1470"/>
          </w:tcPr>
          <w:p>
            <w:pPr>
              <w:jc w:val="center"/>
            </w:pPr>
            <w:r/>
            <w:r>
              <w:rPr>
                <w:rFonts w:ascii="宋体" w:hAnsi="宋体" w:eastAsia="宋体"/>
                <w:b/>
                <w:sz w:val="18"/>
              </w:rPr>
              <w:t>测试组</w:t>
            </w:r>
          </w:p>
        </w:tc>
        <w:tc>
          <w:tcPr>
            <w:tcW w:type="dxa" w:w="1470"/>
          </w:tcPr>
          <w:p>
            <w:pPr>
              <w:jc w:val="center"/>
            </w:pPr>
            <w:r/>
            <w:r>
              <w:rPr>
                <w:rFonts w:ascii="宋体" w:hAnsi="宋体" w:eastAsia="宋体"/>
                <w:b/>
                <w:sz w:val="18"/>
              </w:rPr>
              <w:t>用例数</w:t>
            </w:r>
          </w:p>
        </w:tc>
        <w:tc>
          <w:tcPr>
            <w:tcW w:type="dxa" w:w="1470"/>
          </w:tcPr>
          <w:p>
            <w:pPr>
              <w:jc w:val="center"/>
            </w:pPr>
            <w:r/>
            <w:r>
              <w:rPr>
                <w:rFonts w:ascii="宋体" w:hAnsi="宋体" w:eastAsia="宋体"/>
                <w:b/>
                <w:sz w:val="18"/>
              </w:rPr>
              <w:t>按预期通过</w:t>
            </w:r>
          </w:p>
        </w:tc>
        <w:tc>
          <w:tcPr>
            <w:tcW w:type="dxa" w:w="1470"/>
          </w:tcPr>
          <w:p>
            <w:pPr>
              <w:jc w:val="center"/>
            </w:pPr>
            <w:r/>
            <w:r>
              <w:rPr>
                <w:rFonts w:ascii="宋体" w:hAnsi="宋体" w:eastAsia="宋体"/>
                <w:b/>
                <w:sz w:val="18"/>
              </w:rPr>
              <w:t>FD/Socket 无泄漏</w:t>
            </w:r>
          </w:p>
        </w:tc>
        <w:tc>
          <w:tcPr>
            <w:tcW w:type="dxa" w:w="1470"/>
          </w:tcPr>
          <w:p>
            <w:pPr>
              <w:jc w:val="center"/>
            </w:pPr>
            <w:r/>
            <w:r>
              <w:rPr>
                <w:rFonts w:ascii="宋体" w:hAnsi="宋体" w:eastAsia="宋体"/>
                <w:b/>
                <w:sz w:val="18"/>
              </w:rPr>
              <w:t>稳态回落用例</w:t>
            </w:r>
          </w:p>
        </w:tc>
        <w:tc>
          <w:tcPr>
            <w:tcW w:type="dxa" w:w="1470"/>
          </w:tcPr>
          <w:p>
            <w:pPr>
              <w:jc w:val="center"/>
            </w:pPr>
            <w:r/>
            <w:r>
              <w:rPr>
                <w:rFonts w:ascii="宋体" w:hAnsi="宋体" w:eastAsia="宋体"/>
                <w:b/>
                <w:sz w:val="18"/>
              </w:rPr>
              <w:t>证据文件</w:t>
            </w:r>
          </w:p>
        </w:tc>
      </w:tr>
      <w:tr>
        <w:tc>
          <w:tcPr>
            <w:tcW w:type="dxa" w:w="1470"/>
          </w:tcPr>
          <w:p>
            <w:r/>
            <w:r>
              <w:rPr>
                <w:rFonts w:ascii="宋体" w:hAnsi="宋体" w:eastAsia="宋体"/>
                <w:b w:val="0"/>
                <w:sz w:val="17"/>
              </w:rPr>
              <w:t>协议层异常输入</w:t>
            </w:r>
          </w:p>
        </w:tc>
        <w:tc>
          <w:tcPr>
            <w:tcW w:type="dxa" w:w="1470"/>
          </w:tcPr>
          <w:p>
            <w:r/>
            <w:r>
              <w:rPr>
                <w:rFonts w:ascii="宋体" w:hAnsi="宋体" w:eastAsia="宋体"/>
                <w:b w:val="0"/>
                <w:sz w:val="17"/>
              </w:rPr>
              <w:t>13</w:t>
            </w:r>
          </w:p>
        </w:tc>
        <w:tc>
          <w:tcPr>
            <w:tcW w:type="dxa" w:w="1470"/>
          </w:tcPr>
          <w:p>
            <w:r/>
            <w:r>
              <w:rPr>
                <w:rFonts w:ascii="宋体" w:hAnsi="宋体" w:eastAsia="宋体"/>
                <w:b w:val="0"/>
                <w:sz w:val="17"/>
              </w:rPr>
              <w:t>13 / 13</w:t>
            </w:r>
          </w:p>
        </w:tc>
        <w:tc>
          <w:tcPr>
            <w:tcW w:type="dxa" w:w="1470"/>
          </w:tcPr>
          <w:p>
            <w:r/>
            <w:r>
              <w:rPr>
                <w:rFonts w:ascii="宋体" w:hAnsi="宋体" w:eastAsia="宋体"/>
                <w:b w:val="0"/>
                <w:sz w:val="17"/>
              </w:rPr>
              <w:t>13 / 13</w:t>
            </w:r>
          </w:p>
        </w:tc>
        <w:tc>
          <w:tcPr>
            <w:tcW w:type="dxa" w:w="1470"/>
          </w:tcPr>
          <w:p>
            <w:r/>
            <w:r>
              <w:rPr>
                <w:rFonts w:ascii="宋体" w:hAnsi="宋体" w:eastAsia="宋体"/>
                <w:b w:val="0"/>
                <w:sz w:val="17"/>
              </w:rPr>
              <w:t>11 / 13</w:t>
            </w:r>
          </w:p>
        </w:tc>
        <w:tc>
          <w:tcPr>
            <w:tcW w:type="dxa" w:w="1470"/>
          </w:tcPr>
          <w:p>
            <w:r/>
            <w:r>
              <w:rPr>
                <w:rFonts w:ascii="宋体" w:hAnsi="宋体" w:eastAsia="宋体"/>
                <w:b w:val="0"/>
                <w:sz w:val="17"/>
              </w:rPr>
              <w:t>web_demo_protocol_fuzz_20260520_1.json</w:t>
            </w:r>
          </w:p>
        </w:tc>
      </w:tr>
      <w:tr>
        <w:tc>
          <w:tcPr>
            <w:tcW w:type="dxa" w:w="1470"/>
          </w:tcPr>
          <w:p>
            <w:r/>
            <w:r>
              <w:rPr>
                <w:rFonts w:ascii="宋体" w:hAnsi="宋体" w:eastAsia="宋体"/>
                <w:b w:val="0"/>
                <w:sz w:val="17"/>
              </w:rPr>
              <w:t>控制面守卫</w:t>
            </w:r>
          </w:p>
        </w:tc>
        <w:tc>
          <w:tcPr>
            <w:tcW w:type="dxa" w:w="1470"/>
          </w:tcPr>
          <w:p>
            <w:r/>
            <w:r>
              <w:rPr>
                <w:rFonts w:ascii="宋体" w:hAnsi="宋体" w:eastAsia="宋体"/>
                <w:b w:val="0"/>
                <w:sz w:val="17"/>
              </w:rPr>
              <w:t>4</w:t>
            </w:r>
          </w:p>
        </w:tc>
        <w:tc>
          <w:tcPr>
            <w:tcW w:type="dxa" w:w="1470"/>
          </w:tcPr>
          <w:p>
            <w:r/>
            <w:r>
              <w:rPr>
                <w:rFonts w:ascii="宋体" w:hAnsi="宋体" w:eastAsia="宋体"/>
                <w:b w:val="0"/>
                <w:sz w:val="17"/>
              </w:rPr>
              <w:t>4 / 4</w:t>
            </w:r>
          </w:p>
        </w:tc>
        <w:tc>
          <w:tcPr>
            <w:tcW w:type="dxa" w:w="1470"/>
          </w:tcPr>
          <w:p>
            <w:r/>
            <w:r>
              <w:rPr>
                <w:rFonts w:ascii="宋体" w:hAnsi="宋体" w:eastAsia="宋体"/>
                <w:b w:val="0"/>
                <w:sz w:val="17"/>
              </w:rPr>
              <w:t>4 / 4</w:t>
            </w:r>
          </w:p>
        </w:tc>
        <w:tc>
          <w:tcPr>
            <w:tcW w:type="dxa" w:w="1470"/>
          </w:tcPr>
          <w:p>
            <w:r/>
            <w:r>
              <w:rPr>
                <w:rFonts w:ascii="宋体" w:hAnsi="宋体" w:eastAsia="宋体"/>
                <w:b w:val="0"/>
                <w:sz w:val="17"/>
              </w:rPr>
              <w:t>1 / 4</w:t>
            </w:r>
          </w:p>
        </w:tc>
        <w:tc>
          <w:tcPr>
            <w:tcW w:type="dxa" w:w="1470"/>
          </w:tcPr>
          <w:p>
            <w:r/>
            <w:r>
              <w:rPr>
                <w:rFonts w:ascii="宋体" w:hAnsi="宋体" w:eastAsia="宋体"/>
                <w:b w:val="0"/>
                <w:sz w:val="17"/>
              </w:rPr>
              <w:t>web_demo_guard_stress_20260520_1.json</w:t>
            </w:r>
          </w:p>
        </w:tc>
      </w:tr>
      <w:tr>
        <w:tc>
          <w:tcPr>
            <w:tcW w:type="dxa" w:w="1470"/>
          </w:tcPr>
          <w:p>
            <w:r/>
            <w:r>
              <w:rPr>
                <w:rFonts w:ascii="宋体" w:hAnsi="宋体" w:eastAsia="宋体"/>
                <w:b w:val="0"/>
                <w:sz w:val="17"/>
              </w:rPr>
              <w:t>合计</w:t>
            </w:r>
          </w:p>
        </w:tc>
        <w:tc>
          <w:tcPr>
            <w:tcW w:type="dxa" w:w="1470"/>
          </w:tcPr>
          <w:p>
            <w:r/>
            <w:r>
              <w:rPr>
                <w:rFonts w:ascii="宋体" w:hAnsi="宋体" w:eastAsia="宋体"/>
                <w:b w:val="0"/>
                <w:sz w:val="17"/>
              </w:rPr>
              <w:t>17</w:t>
            </w:r>
          </w:p>
        </w:tc>
        <w:tc>
          <w:tcPr>
            <w:tcW w:type="dxa" w:w="1470"/>
          </w:tcPr>
          <w:p>
            <w:r/>
            <w:r>
              <w:rPr>
                <w:rFonts w:ascii="宋体" w:hAnsi="宋体" w:eastAsia="宋体"/>
                <w:b w:val="0"/>
                <w:sz w:val="17"/>
              </w:rPr>
              <w:t>17 / 17</w:t>
            </w:r>
          </w:p>
        </w:tc>
        <w:tc>
          <w:tcPr>
            <w:tcW w:type="dxa" w:w="1470"/>
          </w:tcPr>
          <w:p>
            <w:r/>
            <w:r>
              <w:rPr>
                <w:rFonts w:ascii="宋体" w:hAnsi="宋体" w:eastAsia="宋体"/>
                <w:b w:val="0"/>
                <w:sz w:val="17"/>
              </w:rPr>
              <w:t>17 / 17</w:t>
            </w:r>
          </w:p>
        </w:tc>
        <w:tc>
          <w:tcPr>
            <w:tcW w:type="dxa" w:w="1470"/>
          </w:tcPr>
          <w:p>
            <w:r/>
            <w:r>
              <w:rPr>
                <w:rFonts w:ascii="宋体" w:hAnsi="宋体" w:eastAsia="宋体"/>
                <w:b w:val="0"/>
                <w:sz w:val="17"/>
              </w:rPr>
              <w:t>12 / 17</w:t>
            </w:r>
          </w:p>
        </w:tc>
        <w:tc>
          <w:tcPr>
            <w:tcW w:type="dxa" w:w="1470"/>
          </w:tcPr>
          <w:p>
            <w:r/>
            <w:r>
              <w:rPr>
                <w:rFonts w:ascii="宋体" w:hAnsi="宋体" w:eastAsia="宋体"/>
                <w:b w:val="0"/>
                <w:sz w:val="17"/>
              </w:rPr>
              <w:t>汇总</w:t>
            </w:r>
          </w:p>
        </w:tc>
      </w:tr>
    </w:tbl>
    <w:p>
      <w:pPr>
        <w:spacing w:line="360" w:lineRule="auto"/>
        <w:ind w:firstLine="480"/>
      </w:pPr>
      <w:r>
        <w:rPr>
          <w:rFonts w:ascii="宋体" w:hAnsi="宋体" w:eastAsia="宋体"/>
          <w:b w:val="0"/>
          <w:sz w:val="24"/>
        </w:rPr>
        <w:t>从当前留存结果看，协议层异常输入与控制面守卫共覆盖 17 类黑盒用例，17/17 均返回预期拦截或限制结果；全部用例在采样窗口内均未观察到文件描述符或套接字文件描述符的净增长。与此同时，部分并发与大负载探针会带来瞬时常驻内存抬升，因此本作品将其如实记录为“资源成本存在但句柄未泄漏”，而不是将其包装为零成本防护。</w:t>
      </w:r>
    </w:p>
    <w:tbl>
      <w:tblPr>
        <w:tblW w:type="auto" w:w="0"/>
        <w:tblLook w:firstColumn="1" w:firstRow="1" w:lastColumn="0" w:lastRow="0" w:noHBand="0" w:noVBand="1" w:val="04A0"/>
      </w:tblPr>
      <w:tblGrid>
        <w:gridCol w:w="1260"/>
        <w:gridCol w:w="1260"/>
        <w:gridCol w:w="1260"/>
        <w:gridCol w:w="1260"/>
        <w:gridCol w:w="1260"/>
        <w:gridCol w:w="1260"/>
        <w:gridCol w:w="1260"/>
      </w:tblGrid>
      <w:tr>
        <w:tc>
          <w:tcPr>
            <w:tcW w:type="dxa" w:w="1260"/>
          </w:tcPr>
          <w:p>
            <w:pPr>
              <w:jc w:val="center"/>
            </w:pPr>
            <w:r/>
            <w:r>
              <w:rPr>
                <w:rFonts w:ascii="宋体" w:hAnsi="宋体" w:eastAsia="宋体"/>
                <w:b/>
                <w:sz w:val="18"/>
              </w:rPr>
              <w:t>异常场景</w:t>
            </w:r>
          </w:p>
        </w:tc>
        <w:tc>
          <w:tcPr>
            <w:tcW w:type="dxa" w:w="1260"/>
          </w:tcPr>
          <w:p>
            <w:pPr>
              <w:jc w:val="center"/>
            </w:pPr>
            <w:r/>
            <w:r>
              <w:rPr>
                <w:rFonts w:ascii="宋体" w:hAnsi="宋体" w:eastAsia="宋体"/>
                <w:b/>
                <w:sz w:val="18"/>
              </w:rPr>
              <w:t>攻击载荷特征</w:t>
            </w:r>
          </w:p>
        </w:tc>
        <w:tc>
          <w:tcPr>
            <w:tcW w:type="dxa" w:w="1260"/>
          </w:tcPr>
          <w:p>
            <w:pPr>
              <w:jc w:val="center"/>
            </w:pPr>
            <w:r/>
            <w:r>
              <w:rPr>
                <w:rFonts w:ascii="宋体" w:hAnsi="宋体" w:eastAsia="宋体"/>
                <w:b/>
                <w:sz w:val="18"/>
              </w:rPr>
              <w:t>首个拦截层级</w:t>
            </w:r>
          </w:p>
        </w:tc>
        <w:tc>
          <w:tcPr>
            <w:tcW w:type="dxa" w:w="1260"/>
          </w:tcPr>
          <w:p>
            <w:pPr>
              <w:jc w:val="center"/>
            </w:pPr>
            <w:r/>
            <w:r>
              <w:rPr>
                <w:rFonts w:ascii="宋体" w:hAnsi="宋体" w:eastAsia="宋体"/>
                <w:b/>
                <w:sz w:val="18"/>
              </w:rPr>
              <w:t>兜底层级</w:t>
            </w:r>
          </w:p>
        </w:tc>
        <w:tc>
          <w:tcPr>
            <w:tcW w:type="dxa" w:w="1260"/>
          </w:tcPr>
          <w:p>
            <w:pPr>
              <w:jc w:val="center"/>
            </w:pPr>
            <w:r/>
            <w:r>
              <w:rPr>
                <w:rFonts w:ascii="宋体" w:hAnsi="宋体" w:eastAsia="宋体"/>
                <w:b/>
                <w:sz w:val="18"/>
              </w:rPr>
              <w:t>返回/处置</w:t>
            </w:r>
          </w:p>
        </w:tc>
        <w:tc>
          <w:tcPr>
            <w:tcW w:type="dxa" w:w="1260"/>
          </w:tcPr>
          <w:p>
            <w:pPr>
              <w:jc w:val="center"/>
            </w:pPr>
            <w:r/>
            <w:r>
              <w:rPr>
                <w:rFonts w:ascii="宋体" w:hAnsi="宋体" w:eastAsia="宋体"/>
                <w:b/>
                <w:sz w:val="18"/>
              </w:rPr>
              <w:t>系统状态</w:t>
            </w:r>
          </w:p>
        </w:tc>
        <w:tc>
          <w:tcPr>
            <w:tcW w:type="dxa" w:w="1260"/>
          </w:tcPr>
          <w:p>
            <w:pPr>
              <w:jc w:val="center"/>
            </w:pPr>
            <w:r/>
            <w:r>
              <w:rPr>
                <w:rFonts w:ascii="宋体" w:hAnsi="宋体" w:eastAsia="宋体"/>
                <w:b/>
                <w:sz w:val="18"/>
              </w:rPr>
              <w:t>证据来源</w:t>
            </w:r>
          </w:p>
        </w:tc>
      </w:tr>
      <w:tr>
        <w:tc>
          <w:tcPr>
            <w:tcW w:type="dxa" w:w="1260"/>
          </w:tcPr>
          <w:p>
            <w:r/>
            <w:r>
              <w:rPr>
                <w:rFonts w:ascii="宋体" w:hAnsi="宋体" w:eastAsia="宋体"/>
                <w:b w:val="0"/>
                <w:sz w:val="17"/>
              </w:rPr>
              <w:t>Chunked 编码绕过</w:t>
            </w:r>
          </w:p>
        </w:tc>
        <w:tc>
          <w:tcPr>
            <w:tcW w:type="dxa" w:w="1260"/>
          </w:tcPr>
          <w:p>
            <w:r/>
            <w:r>
              <w:rPr>
                <w:rFonts w:ascii="宋体" w:hAnsi="宋体" w:eastAsia="宋体"/>
                <w:b w:val="0"/>
                <w:sz w:val="17"/>
              </w:rPr>
              <w:t>Transfer-Encoding: chunked，绕过 Content-Length</w:t>
            </w:r>
          </w:p>
        </w:tc>
        <w:tc>
          <w:tcPr>
            <w:tcW w:type="dxa" w:w="1260"/>
          </w:tcPr>
          <w:p>
            <w:r/>
            <w:r>
              <w:rPr>
                <w:rFonts w:ascii="宋体" w:hAnsi="宋体" w:eastAsia="宋体"/>
                <w:b w:val="0"/>
                <w:sz w:val="17"/>
              </w:rPr>
              <w:t>HTTP 请求体入口门</w:t>
            </w:r>
          </w:p>
        </w:tc>
        <w:tc>
          <w:tcPr>
            <w:tcW w:type="dxa" w:w="1260"/>
          </w:tcPr>
          <w:p>
            <w:r/>
            <w:r>
              <w:rPr>
                <w:rFonts w:ascii="宋体" w:hAnsi="宋体" w:eastAsia="宋体"/>
                <w:b w:val="0"/>
                <w:sz w:val="17"/>
              </w:rPr>
              <w:t>不适用</w:t>
            </w:r>
          </w:p>
        </w:tc>
        <w:tc>
          <w:tcPr>
            <w:tcW w:type="dxa" w:w="1260"/>
          </w:tcPr>
          <w:p>
            <w:r/>
            <w:r>
              <w:rPr>
                <w:rFonts w:ascii="宋体" w:hAnsi="宋体" w:eastAsia="宋体"/>
                <w:b w:val="0"/>
                <w:sz w:val="17"/>
              </w:rPr>
              <w:t>HTTP 400 / transfer_encoding_not_supported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transfer_encoding_chunked_blocked</w:t>
            </w:r>
          </w:p>
        </w:tc>
      </w:tr>
      <w:tr>
        <w:tc>
          <w:tcPr>
            <w:tcW w:type="dxa" w:w="1260"/>
          </w:tcPr>
          <w:p>
            <w:r/>
            <w:r>
              <w:rPr>
                <w:rFonts w:ascii="宋体" w:hAnsi="宋体" w:eastAsia="宋体"/>
                <w:b w:val="0"/>
                <w:sz w:val="17"/>
              </w:rPr>
              <w:t>超大 Content-Length</w:t>
            </w:r>
          </w:p>
        </w:tc>
        <w:tc>
          <w:tcPr>
            <w:tcW w:type="dxa" w:w="1260"/>
          </w:tcPr>
          <w:p>
            <w:r/>
            <w:r>
              <w:rPr>
                <w:rFonts w:ascii="宋体" w:hAnsi="宋体" w:eastAsia="宋体"/>
                <w:b w:val="0"/>
                <w:sz w:val="17"/>
              </w:rPr>
              <w:t>声明体积超过 5 MiB，验证 413 + 强制阻断</w:t>
            </w:r>
          </w:p>
        </w:tc>
        <w:tc>
          <w:tcPr>
            <w:tcW w:type="dxa" w:w="1260"/>
          </w:tcPr>
          <w:p>
            <w:r/>
            <w:r>
              <w:rPr>
                <w:rFonts w:ascii="宋体" w:hAnsi="宋体" w:eastAsia="宋体"/>
                <w:b w:val="0"/>
                <w:sz w:val="17"/>
              </w:rPr>
              <w:t>Content-Length 头部上限门</w:t>
            </w:r>
          </w:p>
        </w:tc>
        <w:tc>
          <w:tcPr>
            <w:tcW w:type="dxa" w:w="1260"/>
          </w:tcPr>
          <w:p>
            <w:r/>
            <w:r>
              <w:rPr>
                <w:rFonts w:ascii="宋体" w:hAnsi="宋体" w:eastAsia="宋体"/>
                <w:b w:val="0"/>
                <w:sz w:val="17"/>
              </w:rPr>
              <w:t>TCP 强制阻断兜底</w:t>
            </w:r>
          </w:p>
        </w:tc>
        <w:tc>
          <w:tcPr>
            <w:tcW w:type="dxa" w:w="1260"/>
          </w:tcPr>
          <w:p>
            <w:r/>
            <w:r>
              <w:rPr>
                <w:rFonts w:ascii="宋体" w:hAnsi="宋体" w:eastAsia="宋体"/>
                <w:b w:val="0"/>
                <w:sz w:val="17"/>
              </w:rPr>
              <w:t>HTTP 413 / payload_too_large</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oversized_content_length_best_effort_413</w:t>
            </w:r>
          </w:p>
        </w:tc>
      </w:tr>
      <w:tr>
        <w:tc>
          <w:tcPr>
            <w:tcW w:type="dxa" w:w="1260"/>
          </w:tcPr>
          <w:p>
            <w:r/>
            <w:r>
              <w:rPr>
                <w:rFonts w:ascii="宋体" w:hAnsi="宋体" w:eastAsia="宋体"/>
                <w:b w:val="0"/>
                <w:sz w:val="17"/>
              </w:rPr>
              <w:t>重复字段名</w:t>
            </w:r>
          </w:p>
        </w:tc>
        <w:tc>
          <w:tcPr>
            <w:tcW w:type="dxa" w:w="1260"/>
          </w:tcPr>
          <w:p>
            <w:r/>
            <w:r>
              <w:rPr>
                <w:rFonts w:ascii="宋体" w:hAnsi="宋体" w:eastAsia="宋体"/>
                <w:b w:val="0"/>
                <w:sz w:val="17"/>
              </w:rPr>
              <w:t>重复注入 multipart 字段，诱导字段集歧义</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rssΔ=+152KiB, threadΔ=+0</w:t>
            </w:r>
          </w:p>
        </w:tc>
        <w:tc>
          <w:tcPr>
            <w:tcW w:type="dxa" w:w="1260"/>
          </w:tcPr>
          <w:p>
            <w:r/>
            <w:r>
              <w:rPr>
                <w:rFonts w:ascii="宋体" w:hAnsi="宋体" w:eastAsia="宋体"/>
                <w:b w:val="0"/>
                <w:sz w:val="17"/>
              </w:rPr>
              <w:t>web_demo_protocol_fuzz_20260520_1.json / duplicate_field_blocked</w:t>
            </w:r>
          </w:p>
        </w:tc>
      </w:tr>
      <w:tr>
        <w:tc>
          <w:tcPr>
            <w:tcW w:type="dxa" w:w="1260"/>
          </w:tcPr>
          <w:p>
            <w:r/>
            <w:r>
              <w:rPr>
                <w:rFonts w:ascii="宋体" w:hAnsi="宋体" w:eastAsia="宋体"/>
                <w:b w:val="0"/>
                <w:sz w:val="17"/>
              </w:rPr>
              <w:t>Boundary 扇出</w:t>
            </w:r>
          </w:p>
        </w:tc>
        <w:tc>
          <w:tcPr>
            <w:tcW w:type="dxa" w:w="1260"/>
          </w:tcPr>
          <w:p>
            <w:r/>
            <w:r>
              <w:rPr>
                <w:rFonts w:ascii="宋体" w:hAnsi="宋体" w:eastAsia="宋体"/>
                <w:b w:val="0"/>
                <w:sz w:val="17"/>
              </w:rPr>
              <w:t>构造过多分片，放大 MIME 解析树</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boundary_fanout_blocked</w:t>
            </w:r>
          </w:p>
        </w:tc>
      </w:tr>
      <w:tr>
        <w:tc>
          <w:tcPr>
            <w:tcW w:type="dxa" w:w="1260"/>
          </w:tcPr>
          <w:p>
            <w:r/>
            <w:r>
              <w:rPr>
                <w:rFonts w:ascii="宋体" w:hAnsi="宋体" w:eastAsia="宋体"/>
                <w:b w:val="0"/>
                <w:sz w:val="17"/>
              </w:rPr>
              <w:t>嵌套 multipart</w:t>
            </w:r>
          </w:p>
        </w:tc>
        <w:tc>
          <w:tcPr>
            <w:tcW w:type="dxa" w:w="1260"/>
          </w:tcPr>
          <w:p>
            <w:r/>
            <w:r>
              <w:rPr>
                <w:rFonts w:ascii="宋体" w:hAnsi="宋体" w:eastAsia="宋体"/>
                <w:b w:val="0"/>
                <w:sz w:val="17"/>
              </w:rPr>
              <w:t>把 share part 伪装成 multipart/mixed</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rssΔ=+1024KiB, threadΔ=+0</w:t>
            </w:r>
          </w:p>
        </w:tc>
        <w:tc>
          <w:tcPr>
            <w:tcW w:type="dxa" w:w="1260"/>
          </w:tcPr>
          <w:p>
            <w:r/>
            <w:r>
              <w:rPr>
                <w:rFonts w:ascii="宋体" w:hAnsi="宋体" w:eastAsia="宋体"/>
                <w:b w:val="0"/>
                <w:sz w:val="17"/>
              </w:rPr>
              <w:t>web_demo_protocol_fuzz_20260520_1.json / nested_multipart_blocked</w:t>
            </w:r>
          </w:p>
        </w:tc>
      </w:tr>
      <w:tr>
        <w:tc>
          <w:tcPr>
            <w:tcW w:type="dxa" w:w="1260"/>
          </w:tcPr>
          <w:p>
            <w:r/>
            <w:r>
              <w:rPr>
                <w:rFonts w:ascii="宋体" w:hAnsi="宋体" w:eastAsia="宋体"/>
                <w:b w:val="0"/>
                <w:sz w:val="17"/>
              </w:rPr>
              <w:t>超长 JSON</w:t>
            </w:r>
          </w:p>
        </w:tc>
        <w:tc>
          <w:tcPr>
            <w:tcW w:type="dxa" w:w="1260"/>
          </w:tcPr>
          <w:p>
            <w:r/>
            <w:r>
              <w:rPr>
                <w:rFonts w:ascii="宋体" w:hAnsi="宋体" w:eastAsia="宋体"/>
                <w:b w:val="0"/>
                <w:sz w:val="17"/>
              </w:rPr>
              <w:t>client_quality_summary 超过 JSON 字节门</w:t>
            </w:r>
          </w:p>
        </w:tc>
        <w:tc>
          <w:tcPr>
            <w:tcW w:type="dxa" w:w="1260"/>
          </w:tcPr>
          <w:p>
            <w:r/>
            <w:r>
              <w:rPr>
                <w:rFonts w:ascii="宋体" w:hAnsi="宋体" w:eastAsia="宋体"/>
                <w:b w:val="0"/>
                <w:sz w:val="17"/>
              </w:rPr>
              <w:t>JSON 字节长度门</w:t>
            </w:r>
          </w:p>
        </w:tc>
        <w:tc>
          <w:tcPr>
            <w:tcW w:type="dxa" w:w="1260"/>
          </w:tcPr>
          <w:p>
            <w:r/>
            <w:r>
              <w:rPr>
                <w:rFonts w:ascii="宋体" w:hAnsi="宋体" w:eastAsia="宋体"/>
                <w:b w:val="0"/>
                <w:sz w:val="17"/>
              </w:rPr>
              <w:t>严格 JSON 解码钩子</w:t>
            </w:r>
          </w:p>
        </w:tc>
        <w:tc>
          <w:tcPr>
            <w:tcW w:type="dxa" w:w="1260"/>
          </w:tcPr>
          <w:p>
            <w:r/>
            <w:r>
              <w:rPr>
                <w:rFonts w:ascii="宋体" w:hAnsi="宋体" w:eastAsia="宋体"/>
                <w:b w:val="0"/>
                <w:sz w:val="17"/>
              </w:rPr>
              <w:t>HTTP 400 / invalid_control_plane_payload</w:t>
            </w:r>
          </w:p>
        </w:tc>
        <w:tc>
          <w:tcPr>
            <w:tcW w:type="dxa" w:w="1260"/>
          </w:tcPr>
          <w:p>
            <w:r/>
            <w:r>
              <w:rPr>
                <w:rFonts w:ascii="宋体" w:hAnsi="宋体" w:eastAsia="宋体"/>
                <w:b w:val="0"/>
                <w:sz w:val="17"/>
              </w:rPr>
              <w:t>fdΔ=+0, socket_fdΔ=+0, rssΔ=+5120KiB, threadΔ=+0</w:t>
            </w:r>
          </w:p>
        </w:tc>
        <w:tc>
          <w:tcPr>
            <w:tcW w:type="dxa" w:w="1260"/>
          </w:tcPr>
          <w:p>
            <w:r/>
            <w:r>
              <w:rPr>
                <w:rFonts w:ascii="宋体" w:hAnsi="宋体" w:eastAsia="宋体"/>
                <w:b w:val="0"/>
                <w:sz w:val="17"/>
              </w:rPr>
              <w:t>web_demo_protocol_fuzz_20260520_1.json / oversized_json_part_blocked</w:t>
            </w:r>
          </w:p>
        </w:tc>
      </w:tr>
      <w:tr>
        <w:tc>
          <w:tcPr>
            <w:tcW w:type="dxa" w:w="1260"/>
          </w:tcPr>
          <w:p>
            <w:r/>
            <w:r>
              <w:rPr>
                <w:rFonts w:ascii="宋体" w:hAnsi="宋体" w:eastAsia="宋体"/>
                <w:b w:val="0"/>
                <w:sz w:val="17"/>
              </w:rPr>
              <w:t>字段集漂移</w:t>
            </w:r>
          </w:p>
        </w:tc>
        <w:tc>
          <w:tcPr>
            <w:tcW w:type="dxa" w:w="1260"/>
          </w:tcPr>
          <w:p>
            <w:r/>
            <w:r>
              <w:rPr>
                <w:rFonts w:ascii="宋体" w:hAnsi="宋体" w:eastAsia="宋体"/>
                <w:b w:val="0"/>
                <w:sz w:val="17"/>
              </w:rPr>
              <w:t>追加未声明字段，验证精确字段集约束</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精确字段集门</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rssΔ=+192KiB, threadΔ=+0</w:t>
            </w:r>
          </w:p>
        </w:tc>
        <w:tc>
          <w:tcPr>
            <w:tcW w:type="dxa" w:w="1260"/>
          </w:tcPr>
          <w:p>
            <w:r/>
            <w:r>
              <w:rPr>
                <w:rFonts w:ascii="宋体" w:hAnsi="宋体" w:eastAsia="宋体"/>
                <w:b w:val="0"/>
                <w:sz w:val="17"/>
              </w:rPr>
              <w:t>web_demo_protocol_fuzz_20260520_1.json / unexpected_field_set_blocked</w:t>
            </w:r>
          </w:p>
        </w:tc>
      </w:tr>
      <w:tr>
        <w:tc>
          <w:tcPr>
            <w:tcW w:type="dxa" w:w="1260"/>
          </w:tcPr>
          <w:p>
            <w:r/>
            <w:r>
              <w:rPr>
                <w:rFonts w:ascii="宋体" w:hAnsi="宋体" w:eastAsia="宋体"/>
                <w:b w:val="0"/>
                <w:sz w:val="17"/>
              </w:rPr>
              <w:t>Boundary 参数混淆</w:t>
            </w:r>
          </w:p>
        </w:tc>
        <w:tc>
          <w:tcPr>
            <w:tcW w:type="dxa" w:w="1260"/>
          </w:tcPr>
          <w:p>
            <w:r/>
            <w:r>
              <w:rPr>
                <w:rFonts w:ascii="宋体" w:hAnsi="宋体" w:eastAsia="宋体"/>
                <w:b w:val="0"/>
                <w:sz w:val="17"/>
              </w:rPr>
              <w:t>boundary 带空白与引号变体</w:t>
            </w:r>
          </w:p>
        </w:tc>
        <w:tc>
          <w:tcPr>
            <w:tcW w:type="dxa" w:w="1260"/>
          </w:tcPr>
          <w:p>
            <w:r/>
            <w:r>
              <w:rPr>
                <w:rFonts w:ascii="宋体" w:hAnsi="宋体" w:eastAsia="宋体"/>
                <w:b w:val="0"/>
                <w:sz w:val="17"/>
              </w:rPr>
              <w:t>Content-Type boundary 解析</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boundary_param_whitespace_rejected</w:t>
            </w:r>
          </w:p>
        </w:tc>
      </w:tr>
      <w:tr>
        <w:tc>
          <w:tcPr>
            <w:tcW w:type="dxa" w:w="1260"/>
          </w:tcPr>
          <w:p>
            <w:r/>
            <w:r>
              <w:rPr>
                <w:rFonts w:ascii="宋体" w:hAnsi="宋体" w:eastAsia="宋体"/>
                <w:b w:val="0"/>
                <w:sz w:val="17"/>
              </w:rPr>
              <w:t>畸形 Part Header</w:t>
            </w:r>
          </w:p>
        </w:tc>
        <w:tc>
          <w:tcPr>
            <w:tcW w:type="dxa" w:w="1260"/>
          </w:tcPr>
          <w:p>
            <w:r/>
            <w:r>
              <w:rPr>
                <w:rFonts w:ascii="宋体" w:hAnsi="宋体" w:eastAsia="宋体"/>
                <w:b w:val="0"/>
                <w:sz w:val="17"/>
              </w:rPr>
              <w:t>缺失合法头格式，验证 header parser</w:t>
            </w:r>
          </w:p>
        </w:tc>
        <w:tc>
          <w:tcPr>
            <w:tcW w:type="dxa" w:w="1260"/>
          </w:tcPr>
          <w:p>
            <w:r/>
            <w:r>
              <w:rPr>
                <w:rFonts w:ascii="宋体" w:hAnsi="宋体" w:eastAsia="宋体"/>
                <w:b w:val="0"/>
                <w:sz w:val="17"/>
              </w:rPr>
              <w:t>multipart header 解析</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malformed_part_header_blocked</w:t>
            </w:r>
          </w:p>
        </w:tc>
      </w:tr>
      <w:tr>
        <w:tc>
          <w:tcPr>
            <w:tcW w:type="dxa" w:w="1260"/>
          </w:tcPr>
          <w:p>
            <w:r/>
            <w:r>
              <w:rPr>
                <w:rFonts w:ascii="宋体" w:hAnsi="宋体" w:eastAsia="宋体"/>
                <w:b w:val="0"/>
                <w:sz w:val="17"/>
              </w:rPr>
              <w:t>Header 空字节注入</w:t>
            </w:r>
          </w:p>
        </w:tc>
        <w:tc>
          <w:tcPr>
            <w:tcW w:type="dxa" w:w="1260"/>
          </w:tcPr>
          <w:p>
            <w:r/>
            <w:r>
              <w:rPr>
                <w:rFonts w:ascii="宋体" w:hAnsi="宋体" w:eastAsia="宋体"/>
                <w:b w:val="0"/>
                <w:sz w:val="17"/>
              </w:rPr>
              <w:t>在 part header 中注入 NUL / 控制字符</w:t>
            </w:r>
          </w:p>
        </w:tc>
        <w:tc>
          <w:tcPr>
            <w:tcW w:type="dxa" w:w="1260"/>
          </w:tcPr>
          <w:p>
            <w:r/>
            <w:r>
              <w:rPr>
                <w:rFonts w:ascii="宋体" w:hAnsi="宋体" w:eastAsia="宋体"/>
                <w:b w:val="0"/>
                <w:sz w:val="17"/>
              </w:rPr>
              <w:t>multipart header 解析</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multipart_header_null_byte_blocked</w:t>
            </w:r>
          </w:p>
        </w:tc>
      </w:tr>
      <w:tr>
        <w:tc>
          <w:tcPr>
            <w:tcW w:type="dxa" w:w="1260"/>
          </w:tcPr>
          <w:p>
            <w:r/>
            <w:r>
              <w:rPr>
                <w:rFonts w:ascii="宋体" w:hAnsi="宋体" w:eastAsia="宋体"/>
                <w:b w:val="0"/>
                <w:sz w:val="17"/>
              </w:rPr>
              <w:t>非空 Epilogue</w:t>
            </w:r>
          </w:p>
        </w:tc>
        <w:tc>
          <w:tcPr>
            <w:tcW w:type="dxa" w:w="1260"/>
          </w:tcPr>
          <w:p>
            <w:r/>
            <w:r>
              <w:rPr>
                <w:rFonts w:ascii="宋体" w:hAnsi="宋体" w:eastAsia="宋体"/>
                <w:b w:val="0"/>
                <w:sz w:val="17"/>
              </w:rPr>
              <w:t>closing boundary 后继续追加垃圾字节</w:t>
            </w:r>
          </w:p>
        </w:tc>
        <w:tc>
          <w:tcPr>
            <w:tcW w:type="dxa" w:w="1260"/>
          </w:tcPr>
          <w:p>
            <w:r/>
            <w:r>
              <w:rPr>
                <w:rFonts w:ascii="宋体" w:hAnsi="宋体" w:eastAsia="宋体"/>
                <w:b w:val="0"/>
                <w:sz w:val="17"/>
              </w:rPr>
              <w:t>raw multipart 预检</w:t>
            </w:r>
          </w:p>
        </w:tc>
        <w:tc>
          <w:tcPr>
            <w:tcW w:type="dxa" w:w="1260"/>
          </w:tcPr>
          <w:p>
            <w:r/>
            <w:r>
              <w:rPr>
                <w:rFonts w:ascii="宋体" w:hAnsi="宋体" w:eastAsia="宋体"/>
                <w:b w:val="0"/>
                <w:sz w:val="17"/>
              </w:rPr>
              <w:t>MIME 结构校验</w:t>
            </w:r>
          </w:p>
        </w:tc>
        <w:tc>
          <w:tcPr>
            <w:tcW w:type="dxa" w:w="1260"/>
          </w:tcPr>
          <w:p>
            <w:r/>
            <w:r>
              <w:rPr>
                <w:rFonts w:ascii="宋体" w:hAnsi="宋体" w:eastAsia="宋体"/>
                <w:b w:val="0"/>
                <w:sz w:val="17"/>
              </w:rPr>
              <w:t>HTTP 400 / malformed_multipart_precheck_failed</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non_empty_epilogue_blocked</w:t>
            </w:r>
          </w:p>
        </w:tc>
      </w:tr>
      <w:tr>
        <w:tc>
          <w:tcPr>
            <w:tcW w:type="dxa" w:w="1260"/>
          </w:tcPr>
          <w:p>
            <w:r/>
            <w:r>
              <w:rPr>
                <w:rFonts w:ascii="宋体" w:hAnsi="宋体" w:eastAsia="宋体"/>
                <w:b w:val="0"/>
                <w:sz w:val="17"/>
              </w:rPr>
              <w:t>异常 JSON 字符集</w:t>
            </w:r>
          </w:p>
        </w:tc>
        <w:tc>
          <w:tcPr>
            <w:tcW w:type="dxa" w:w="1260"/>
          </w:tcPr>
          <w:p>
            <w:r/>
            <w:r>
              <w:rPr>
                <w:rFonts w:ascii="宋体" w:hAnsi="宋体" w:eastAsia="宋体"/>
                <w:b w:val="0"/>
                <w:sz w:val="17"/>
              </w:rPr>
              <w:t>UTF-16LE 编码结构化元数据，验证严格 UTF-8 约束</w:t>
            </w:r>
          </w:p>
        </w:tc>
        <w:tc>
          <w:tcPr>
            <w:tcW w:type="dxa" w:w="1260"/>
          </w:tcPr>
          <w:p>
            <w:r/>
            <w:r>
              <w:rPr>
                <w:rFonts w:ascii="宋体" w:hAnsi="宋体" w:eastAsia="宋体"/>
                <w:b w:val="0"/>
                <w:sz w:val="17"/>
              </w:rPr>
              <w:t>strict UTF-8 JSON 解码</w:t>
            </w:r>
          </w:p>
        </w:tc>
        <w:tc>
          <w:tcPr>
            <w:tcW w:type="dxa" w:w="1260"/>
          </w:tcPr>
          <w:p>
            <w:r/>
            <w:r>
              <w:rPr>
                <w:rFonts w:ascii="宋体" w:hAnsi="宋体" w:eastAsia="宋体"/>
                <w:b w:val="0"/>
                <w:sz w:val="17"/>
              </w:rPr>
              <w:t>JSON 数值钩子</w:t>
            </w:r>
          </w:p>
        </w:tc>
        <w:tc>
          <w:tcPr>
            <w:tcW w:type="dxa" w:w="1260"/>
          </w:tcPr>
          <w:p>
            <w:r/>
            <w:r>
              <w:rPr>
                <w:rFonts w:ascii="宋体" w:hAnsi="宋体" w:eastAsia="宋体"/>
                <w:b w:val="0"/>
                <w:sz w:val="17"/>
              </w:rPr>
              <w:t>HTTP 400 / invalid_control_plane_payload</w:t>
            </w:r>
          </w:p>
        </w:tc>
        <w:tc>
          <w:tcPr>
            <w:tcW w:type="dxa" w:w="1260"/>
          </w:tcPr>
          <w:p>
            <w:r/>
            <w:r>
              <w:rPr>
                <w:rFonts w:ascii="宋体" w:hAnsi="宋体" w:eastAsia="宋体"/>
                <w:b w:val="0"/>
                <w:sz w:val="17"/>
              </w:rPr>
              <w:t>fdΔ=+0, socket_fdΔ=+0, rssΔ=+6604KiB, threadΔ=+0</w:t>
            </w:r>
          </w:p>
        </w:tc>
        <w:tc>
          <w:tcPr>
            <w:tcW w:type="dxa" w:w="1260"/>
          </w:tcPr>
          <w:p>
            <w:r/>
            <w:r>
              <w:rPr>
                <w:rFonts w:ascii="宋体" w:hAnsi="宋体" w:eastAsia="宋体"/>
                <w:b w:val="0"/>
                <w:sz w:val="17"/>
              </w:rPr>
              <w:t>web_demo_protocol_fuzz_20260520_1.json / utf16_json_charset_blocked</w:t>
            </w:r>
          </w:p>
        </w:tc>
      </w:tr>
      <w:tr>
        <w:tc>
          <w:tcPr>
            <w:tcW w:type="dxa" w:w="1260"/>
          </w:tcPr>
          <w:p>
            <w:r/>
            <w:r>
              <w:rPr>
                <w:rFonts w:ascii="宋体" w:hAnsi="宋体" w:eastAsia="宋体"/>
                <w:b w:val="0"/>
                <w:sz w:val="17"/>
              </w:rPr>
              <w:t>截断请求体</w:t>
            </w:r>
          </w:p>
        </w:tc>
        <w:tc>
          <w:tcPr>
            <w:tcW w:type="dxa" w:w="1260"/>
          </w:tcPr>
          <w:p>
            <w:r/>
            <w:r>
              <w:rPr>
                <w:rFonts w:ascii="宋体" w:hAnsi="宋体" w:eastAsia="宋体"/>
                <w:b w:val="0"/>
                <w:sz w:val="17"/>
              </w:rPr>
              <w:t>提前断流，验证 streaming body reader</w:t>
            </w:r>
          </w:p>
        </w:tc>
        <w:tc>
          <w:tcPr>
            <w:tcW w:type="dxa" w:w="1260"/>
          </w:tcPr>
          <w:p>
            <w:r/>
            <w:r>
              <w:rPr>
                <w:rFonts w:ascii="宋体" w:hAnsi="宋体" w:eastAsia="宋体"/>
                <w:b w:val="0"/>
                <w:sz w:val="17"/>
              </w:rPr>
              <w:t>流式 body 读取器</w:t>
            </w:r>
          </w:p>
        </w:tc>
        <w:tc>
          <w:tcPr>
            <w:tcW w:type="dxa" w:w="1260"/>
          </w:tcPr>
          <w:p>
            <w:r/>
            <w:r>
              <w:rPr>
                <w:rFonts w:ascii="宋体" w:hAnsi="宋体" w:eastAsia="宋体"/>
                <w:b w:val="0"/>
                <w:sz w:val="17"/>
              </w:rPr>
              <w:t>不适用</w:t>
            </w:r>
          </w:p>
        </w:tc>
        <w:tc>
          <w:tcPr>
            <w:tcW w:type="dxa" w:w="1260"/>
          </w:tcPr>
          <w:p>
            <w:r/>
            <w:r>
              <w:rPr>
                <w:rFonts w:ascii="宋体" w:hAnsi="宋体" w:eastAsia="宋体"/>
                <w:b w:val="0"/>
                <w:sz w:val="17"/>
              </w:rPr>
              <w:t>HTTP 400 / truncated_body</w:t>
            </w:r>
          </w:p>
        </w:tc>
        <w:tc>
          <w:tcPr>
            <w:tcW w:type="dxa" w:w="1260"/>
          </w:tcPr>
          <w:p>
            <w:r/>
            <w:r>
              <w:rPr>
                <w:rFonts w:ascii="宋体" w:hAnsi="宋体" w:eastAsia="宋体"/>
                <w:b w:val="0"/>
                <w:sz w:val="17"/>
              </w:rPr>
              <w:t>fdΔ=+0, socket_fdΔ=+0, rssΔ=+0KiB, threadΔ=+0</w:t>
            </w:r>
          </w:p>
        </w:tc>
        <w:tc>
          <w:tcPr>
            <w:tcW w:type="dxa" w:w="1260"/>
          </w:tcPr>
          <w:p>
            <w:r/>
            <w:r>
              <w:rPr>
                <w:rFonts w:ascii="宋体" w:hAnsi="宋体" w:eastAsia="宋体"/>
                <w:b w:val="0"/>
                <w:sz w:val="17"/>
              </w:rPr>
              <w:t>web_demo_protocol_fuzz_20260520_1.json / truncated_body_blocked</w:t>
            </w:r>
          </w:p>
        </w:tc>
      </w:tr>
      <w:tr>
        <w:tc>
          <w:tcPr>
            <w:tcW w:type="dxa" w:w="1260"/>
          </w:tcPr>
          <w:p>
            <w:r/>
            <w:r>
              <w:rPr>
                <w:rFonts w:ascii="宋体" w:hAnsi="宋体" w:eastAsia="宋体"/>
                <w:b w:val="0"/>
                <w:sz w:val="17"/>
              </w:rPr>
              <w:t>重复 Nonce 并发重放</w:t>
            </w:r>
          </w:p>
        </w:tc>
        <w:tc>
          <w:tcPr>
            <w:tcW w:type="dxa" w:w="1260"/>
          </w:tcPr>
          <w:p>
            <w:r/>
            <w:r>
              <w:rPr>
                <w:rFonts w:ascii="宋体" w:hAnsi="宋体" w:eastAsia="宋体"/>
                <w:b w:val="0"/>
                <w:sz w:val="17"/>
              </w:rPr>
              <w:t>同 nonce 并发多发，验证幂等与重放防护</w:t>
            </w:r>
          </w:p>
        </w:tc>
        <w:tc>
          <w:tcPr>
            <w:tcW w:type="dxa" w:w="1260"/>
          </w:tcPr>
          <w:p>
            <w:r/>
            <w:r>
              <w:rPr>
                <w:rFonts w:ascii="宋体" w:hAnsi="宋体" w:eastAsia="宋体"/>
                <w:b w:val="0"/>
                <w:sz w:val="17"/>
              </w:rPr>
              <w:t>Nonce 重放缓存门</w:t>
            </w:r>
          </w:p>
        </w:tc>
        <w:tc>
          <w:tcPr>
            <w:tcW w:type="dxa" w:w="1260"/>
          </w:tcPr>
          <w:p>
            <w:r/>
            <w:r>
              <w:rPr>
                <w:rFonts w:ascii="宋体" w:hAnsi="宋体" w:eastAsia="宋体"/>
                <w:b w:val="0"/>
                <w:sz w:val="17"/>
              </w:rPr>
              <w:t>payload 指纹去重门</w:t>
            </w:r>
          </w:p>
        </w:tc>
        <w:tc>
          <w:tcPr>
            <w:tcW w:type="dxa" w:w="1260"/>
          </w:tcPr>
          <w:p>
            <w:r/>
            <w:r>
              <w:rPr>
                <w:rFonts w:ascii="宋体" w:hAnsi="宋体" w:eastAsia="宋体"/>
                <w:b w:val="0"/>
                <w:sz w:val="17"/>
              </w:rPr>
              <w:t>duplicate_nonce×3；200×1</w:t>
            </w:r>
          </w:p>
        </w:tc>
        <w:tc>
          <w:tcPr>
            <w:tcW w:type="dxa" w:w="1260"/>
          </w:tcPr>
          <w:p>
            <w:r/>
            <w:r>
              <w:rPr>
                <w:rFonts w:ascii="宋体" w:hAnsi="宋体" w:eastAsia="宋体"/>
                <w:b w:val="0"/>
                <w:sz w:val="17"/>
              </w:rPr>
              <w:t>fdΔ=+0, socket_fdΔ=+0, rssΔ=+30632KiB, threadΔ=+0</w:t>
            </w:r>
          </w:p>
        </w:tc>
        <w:tc>
          <w:tcPr>
            <w:tcW w:type="dxa" w:w="1260"/>
          </w:tcPr>
          <w:p>
            <w:r/>
            <w:r>
              <w:rPr>
                <w:rFonts w:ascii="宋体" w:hAnsi="宋体" w:eastAsia="宋体"/>
                <w:b w:val="0"/>
                <w:sz w:val="17"/>
              </w:rPr>
              <w:t>web_demo_guard_stress_20260520_1.json / duplicate_nonce_concurrent</w:t>
            </w:r>
          </w:p>
        </w:tc>
      </w:tr>
      <w:tr>
        <w:tc>
          <w:tcPr>
            <w:tcW w:type="dxa" w:w="1260"/>
          </w:tcPr>
          <w:p>
            <w:r/>
            <w:r>
              <w:rPr>
                <w:rFonts w:ascii="宋体" w:hAnsi="宋体" w:eastAsia="宋体"/>
                <w:b w:val="0"/>
                <w:sz w:val="17"/>
              </w:rPr>
              <w:t>同载荷换 Nonce</w:t>
            </w:r>
          </w:p>
        </w:tc>
        <w:tc>
          <w:tcPr>
            <w:tcW w:type="dxa" w:w="1260"/>
          </w:tcPr>
          <w:p>
            <w:r/>
            <w:r>
              <w:rPr>
                <w:rFonts w:ascii="宋体" w:hAnsi="宋体" w:eastAsia="宋体"/>
                <w:b w:val="0"/>
                <w:sz w:val="17"/>
              </w:rPr>
              <w:t>相同 share 指纹 + 新 nonce，验证 payload 去重</w:t>
            </w:r>
          </w:p>
        </w:tc>
        <w:tc>
          <w:tcPr>
            <w:tcW w:type="dxa" w:w="1260"/>
          </w:tcPr>
          <w:p>
            <w:r/>
            <w:r>
              <w:rPr>
                <w:rFonts w:ascii="宋体" w:hAnsi="宋体" w:eastAsia="宋体"/>
                <w:b w:val="0"/>
                <w:sz w:val="17"/>
              </w:rPr>
              <w:t>载荷重放缓存门</w:t>
            </w:r>
          </w:p>
        </w:tc>
        <w:tc>
          <w:tcPr>
            <w:tcW w:type="dxa" w:w="1260"/>
          </w:tcPr>
          <w:p>
            <w:r/>
            <w:r>
              <w:rPr>
                <w:rFonts w:ascii="宋体" w:hAnsi="宋体" w:eastAsia="宋体"/>
                <w:b w:val="0"/>
                <w:sz w:val="17"/>
              </w:rPr>
              <w:t>IP inflight 配额门</w:t>
            </w:r>
          </w:p>
        </w:tc>
        <w:tc>
          <w:tcPr>
            <w:tcW w:type="dxa" w:w="1260"/>
          </w:tcPr>
          <w:p>
            <w:r/>
            <w:r>
              <w:rPr>
                <w:rFonts w:ascii="宋体" w:hAnsi="宋体" w:eastAsia="宋体"/>
                <w:b w:val="0"/>
                <w:sz w:val="17"/>
              </w:rPr>
              <w:t>首发 200；复发 duplicate_payload</w:t>
            </w:r>
          </w:p>
        </w:tc>
        <w:tc>
          <w:tcPr>
            <w:tcW w:type="dxa" w:w="1260"/>
          </w:tcPr>
          <w:p>
            <w:r/>
            <w:r>
              <w:rPr>
                <w:rFonts w:ascii="宋体" w:hAnsi="宋体" w:eastAsia="宋体"/>
                <w:b w:val="0"/>
                <w:sz w:val="17"/>
              </w:rPr>
              <w:t>fdΔ=+0, socket_fdΔ=+0, rssΔ=+16032KiB, threadΔ=+0</w:t>
            </w:r>
          </w:p>
        </w:tc>
        <w:tc>
          <w:tcPr>
            <w:tcW w:type="dxa" w:w="1260"/>
          </w:tcPr>
          <w:p>
            <w:r/>
            <w:r>
              <w:rPr>
                <w:rFonts w:ascii="宋体" w:hAnsi="宋体" w:eastAsia="宋体"/>
                <w:b w:val="0"/>
                <w:sz w:val="17"/>
              </w:rPr>
              <w:t>web_demo_guard_stress_20260520_1.json / duplicate_payload_different_nonce</w:t>
            </w:r>
          </w:p>
        </w:tc>
      </w:tr>
      <w:tr>
        <w:tc>
          <w:tcPr>
            <w:tcW w:type="dxa" w:w="1260"/>
          </w:tcPr>
          <w:p>
            <w:r/>
            <w:r>
              <w:rPr>
                <w:rFonts w:ascii="宋体" w:hAnsi="宋体" w:eastAsia="宋体"/>
                <w:b w:val="0"/>
                <w:sz w:val="17"/>
              </w:rPr>
              <w:t>同 IP 并发占满</w:t>
            </w:r>
          </w:p>
        </w:tc>
        <w:tc>
          <w:tcPr>
            <w:tcW w:type="dxa" w:w="1260"/>
          </w:tcPr>
          <w:p>
            <w:r/>
            <w:r>
              <w:rPr>
                <w:rFonts w:ascii="宋体" w:hAnsi="宋体" w:eastAsia="宋体"/>
                <w:b w:val="0"/>
                <w:sz w:val="17"/>
              </w:rPr>
              <w:t>单一来源地址并发冲击已通过前置校验的执行配额</w:t>
            </w:r>
          </w:p>
        </w:tc>
        <w:tc>
          <w:tcPr>
            <w:tcW w:type="dxa" w:w="1260"/>
          </w:tcPr>
          <w:p>
            <w:r/>
            <w:r>
              <w:rPr>
                <w:rFonts w:ascii="宋体" w:hAnsi="宋体" w:eastAsia="宋体"/>
                <w:b w:val="0"/>
                <w:sz w:val="17"/>
              </w:rPr>
              <w:t>单 IP inflight 守卫</w:t>
            </w:r>
          </w:p>
        </w:tc>
        <w:tc>
          <w:tcPr>
            <w:tcW w:type="dxa" w:w="1260"/>
          </w:tcPr>
          <w:p>
            <w:r/>
            <w:r>
              <w:rPr>
                <w:rFonts w:ascii="宋体" w:hAnsi="宋体" w:eastAsia="宋体"/>
                <w:b w:val="0"/>
                <w:sz w:val="17"/>
              </w:rPr>
              <w:t>全局 inflight 守卫</w:t>
            </w:r>
          </w:p>
        </w:tc>
        <w:tc>
          <w:tcPr>
            <w:tcW w:type="dxa" w:w="1260"/>
          </w:tcPr>
          <w:p>
            <w:r/>
            <w:r>
              <w:rPr>
                <w:rFonts w:ascii="宋体" w:hAnsi="宋体" w:eastAsia="宋体"/>
                <w:b w:val="0"/>
                <w:sz w:val="17"/>
              </w:rPr>
              <w:t>200×2；busy_retry_later×2</w:t>
            </w:r>
          </w:p>
        </w:tc>
        <w:tc>
          <w:tcPr>
            <w:tcW w:type="dxa" w:w="1260"/>
          </w:tcPr>
          <w:p>
            <w:r/>
            <w:r>
              <w:rPr>
                <w:rFonts w:ascii="宋体" w:hAnsi="宋体" w:eastAsia="宋体"/>
                <w:b w:val="0"/>
                <w:sz w:val="17"/>
              </w:rPr>
              <w:t>fdΔ=+0, socket_fdΔ=+0, rssΔ=+47004KiB, threadΔ=+0</w:t>
            </w:r>
          </w:p>
        </w:tc>
        <w:tc>
          <w:tcPr>
            <w:tcW w:type="dxa" w:w="1260"/>
          </w:tcPr>
          <w:p>
            <w:r/>
            <w:r>
              <w:rPr>
                <w:rFonts w:ascii="宋体" w:hAnsi="宋体" w:eastAsia="宋体"/>
                <w:b w:val="0"/>
                <w:sz w:val="17"/>
              </w:rPr>
              <w:t>web_demo_guard_stress_20260520_1.json / per_ip_inflight_limit</w:t>
            </w:r>
          </w:p>
        </w:tc>
      </w:tr>
      <w:tr>
        <w:tc>
          <w:tcPr>
            <w:tcW w:type="dxa" w:w="1260"/>
          </w:tcPr>
          <w:p>
            <w:r/>
            <w:r>
              <w:rPr>
                <w:rFonts w:ascii="宋体" w:hAnsi="宋体" w:eastAsia="宋体"/>
                <w:b w:val="0"/>
                <w:sz w:val="17"/>
              </w:rPr>
              <w:t>短窗限频</w:t>
            </w:r>
          </w:p>
        </w:tc>
        <w:tc>
          <w:tcPr>
            <w:tcW w:type="dxa" w:w="1260"/>
          </w:tcPr>
          <w:p>
            <w:r/>
            <w:r>
              <w:rPr>
                <w:rFonts w:ascii="宋体" w:hAnsi="宋体" w:eastAsia="宋体"/>
                <w:b w:val="0"/>
                <w:sz w:val="17"/>
              </w:rPr>
              <w:t>同 IP 短时间空载请求探测限流门</w:t>
            </w:r>
          </w:p>
        </w:tc>
        <w:tc>
          <w:tcPr>
            <w:tcW w:type="dxa" w:w="1260"/>
          </w:tcPr>
          <w:p>
            <w:r/>
            <w:r>
              <w:rPr>
                <w:rFonts w:ascii="宋体" w:hAnsi="宋体" w:eastAsia="宋体"/>
                <w:b w:val="0"/>
                <w:sz w:val="17"/>
              </w:rPr>
              <w:t>IP 滑动窗口限频</w:t>
            </w:r>
          </w:p>
        </w:tc>
        <w:tc>
          <w:tcPr>
            <w:tcW w:type="dxa" w:w="1260"/>
          </w:tcPr>
          <w:p>
            <w:r/>
            <w:r>
              <w:rPr>
                <w:rFonts w:ascii="宋体" w:hAnsi="宋体" w:eastAsia="宋体"/>
                <w:b w:val="0"/>
                <w:sz w:val="17"/>
              </w:rPr>
              <w:t>不适用</w:t>
            </w:r>
          </w:p>
        </w:tc>
        <w:tc>
          <w:tcPr>
            <w:tcW w:type="dxa" w:w="1260"/>
          </w:tcPr>
          <w:p>
            <w:r/>
            <w:r>
              <w:rPr>
                <w:rFonts w:ascii="宋体" w:hAnsi="宋体" w:eastAsia="宋体"/>
                <w:b w:val="0"/>
                <w:sz w:val="17"/>
              </w:rPr>
              <w:t>invalid_content_length×6；rate_limited_ip×2</w:t>
            </w:r>
          </w:p>
        </w:tc>
        <w:tc>
          <w:tcPr>
            <w:tcW w:type="dxa" w:w="1260"/>
          </w:tcPr>
          <w:p>
            <w:r/>
            <w:r>
              <w:rPr>
                <w:rFonts w:ascii="宋体" w:hAnsi="宋体" w:eastAsia="宋体"/>
                <w:b w:val="0"/>
                <w:sz w:val="17"/>
              </w:rPr>
              <w:t>fdΔ=+0, socket_fdΔ=+0, rssΔ=+128KiB, threadΔ=+0</w:t>
            </w:r>
          </w:p>
        </w:tc>
        <w:tc>
          <w:tcPr>
            <w:tcW w:type="dxa" w:w="1260"/>
          </w:tcPr>
          <w:p>
            <w:r/>
            <w:r>
              <w:rPr>
                <w:rFonts w:ascii="宋体" w:hAnsi="宋体" w:eastAsia="宋体"/>
                <w:b w:val="0"/>
                <w:sz w:val="17"/>
              </w:rPr>
              <w:t>web_demo_guard_stress_20260520_1.json / ip_window_rate_limit</w:t>
            </w:r>
          </w:p>
        </w:tc>
      </w:tr>
    </w:tbl>
    <w:p>
      <w:pPr>
        <w:spacing w:line="360" w:lineRule="auto"/>
        <w:ind w:firstLine="0"/>
        <w:jc w:val="center"/>
      </w:pPr>
      <w:r>
        <w:drawing>
          <wp:inline xmlns:a="http://schemas.openxmlformats.org/drawingml/2006/main" xmlns:pic="http://schemas.openxmlformats.org/drawingml/2006/picture">
            <wp:extent cx="5852160" cy="3743442"/>
            <wp:docPr id="4" name="Picture 4"/>
            <wp:cNvGraphicFramePr>
              <a:graphicFrameLocks noChangeAspect="1"/>
            </wp:cNvGraphicFramePr>
            <a:graphic>
              <a:graphicData uri="http://schemas.openxmlformats.org/drawingml/2006/picture">
                <pic:pic>
                  <pic:nvPicPr>
                    <pic:cNvPr id="0" name="robustness_guard_matrix.png"/>
                    <pic:cNvPicPr/>
                  </pic:nvPicPr>
                  <pic:blipFill>
                    <a:blip r:embed="rId13"/>
                    <a:stretch>
                      <a:fillRect/>
                    </a:stretch>
                  </pic:blipFill>
                  <pic:spPr>
                    <a:xfrm>
                      <a:off x="0" y="0"/>
                      <a:ext cx="5852160" cy="3743442"/>
                    </a:xfrm>
                    <a:prstGeom prst="rect"/>
                  </pic:spPr>
                </pic:pic>
              </a:graphicData>
            </a:graphic>
          </wp:inline>
        </w:drawing>
      </w:r>
    </w:p>
    <w:p>
      <w:pPr>
        <w:spacing w:line="288"/>
        <w:ind w:firstLine="0"/>
        <w:jc w:val="center"/>
      </w:pPr>
      <w:r>
        <w:rPr>
          <w:rFonts w:ascii="宋体" w:hAnsi="宋体" w:eastAsia="宋体"/>
          <w:b w:val="0"/>
          <w:sz w:val="20"/>
        </w:rPr>
        <w:t>图4-2 协议层异常输入与控制面兜底验证矩阵：同时显示首个拦截层级与文件描述符、套接字及常驻内存回落摘要。</w:t>
      </w:r>
    </w:p>
    <w:p>
      <w:pPr>
        <w:spacing w:line="360" w:lineRule="auto"/>
        <w:ind w:firstLine="480"/>
      </w:pPr>
      <w:r>
        <w:rPr>
          <w:rFonts w:ascii="宋体" w:hAnsi="宋体" w:eastAsia="宋体"/>
          <w:b w:val="0"/>
          <w:sz w:val="24"/>
        </w:rPr>
        <w:t>资源状态采用可观测代理指标描述，而不作无法直接证明的绝对化承诺。本文将“系统仍可服务”限定为：请求结束后 inflight 占用计数回落，文件描述符数量与套接字文件描述符数量回到基线附近，未观察到连接句柄持续泄漏；常驻内存在部分已通过前置校验的压力用例中出现瞬时抬升，但重复异常注入测试后未观察到单调持续增长，因此仅将其表述为原型阶段的瞬时资源成本，而不宣称所有指标完全归零。</w:t>
      </w:r>
    </w:p>
    <w:p>
      <w:pPr>
        <w:spacing w:line="360" w:lineRule="auto"/>
        <w:ind w:firstLine="0"/>
      </w:pPr>
      <w:r>
        <w:rPr>
          <w:rFonts w:ascii="黑体" w:hAnsi="黑体" w:eastAsia="黑体"/>
          <w:b/>
          <w:sz w:val="24"/>
        </w:rPr>
        <w:t>4.7 结果分析</w:t>
      </w:r>
    </w:p>
    <w:p>
      <w:pPr>
        <w:spacing w:line="360" w:lineRule="auto"/>
        <w:ind w:firstLine="480"/>
      </w:pPr>
      <w:r>
        <w:rPr>
          <w:rFonts w:ascii="宋体" w:hAnsi="宋体" w:eastAsia="宋体"/>
          <w:b w:val="0"/>
          <w:sz w:val="24"/>
        </w:rPr>
        <w:t>综合上述结果可以得到三个结论。第一，本作品正式动态主线的主要收益并非体现在超越强明文参考，而是体现在双向隐私约束下保留了可部署的动态剪枝能力，并通过阈值校准把全量验证集精度恢复到 92.7481%。第二，算子级 proxy 对比说明 secure-friendly 算子本身具有明显的通信与时间收益，但结构尺度差异仍然是当前端到端时延偏高的关键原因。第三，协议层异常输入与控制面探针在当前实现下能够被前置阻断，且未观察到文件描述符或套接字句柄的持续泄漏，这为系统的原型级可服务性提供了必要的证据支撑。</w:t>
      </w:r>
    </w:p>
    <w:p>
      <w:pPr>
        <w:pStyle w:val="2"/>
        <w:ind w:firstLine="0"/>
        <w:jc w:val="center"/>
      </w:pPr>
      <w:r>
        <w:rPr>
          <w:rFonts w:ascii="黑体" w:hAnsi="黑体" w:eastAsia="黑体"/>
          <w:b/>
          <w:sz w:val="44"/>
        </w:rPr>
        <w:t>第五章 创新性与局限性</w:t>
      </w:r>
    </w:p>
    <w:p>
      <w:pPr>
        <w:spacing w:line="360" w:lineRule="auto"/>
        <w:ind w:firstLine="0"/>
      </w:pPr>
      <w:r>
        <w:rPr>
          <w:rFonts w:ascii="黑体" w:hAnsi="黑体" w:eastAsia="黑体"/>
          <w:b/>
          <w:sz w:val="24"/>
        </w:rPr>
        <w:t>5.1 算法层创新</w:t>
      </w:r>
    </w:p>
    <w:p>
      <w:pPr>
        <w:spacing w:line="360" w:lineRule="auto"/>
        <w:ind w:firstLine="480"/>
      </w:pPr>
      <w:r>
        <w:rPr>
          <w:rFonts w:ascii="宋体" w:hAnsi="宋体" w:eastAsia="宋体"/>
          <w:b w:val="0"/>
          <w:sz w:val="24"/>
        </w:rPr>
        <w:t>现有问题在于：原始 DynamicViT 的词元删除、阈值比较与数据相关 Top-K 选择依赖明文控制流，直接迁入安全计算图会同时遭遇变长结构、路径泄露和并列分数不稳定三类困难，因此常见方案通常选择放弃动态剪枝，退回固定结构安全推理。</w:t>
      </w:r>
    </w:p>
    <w:p>
      <w:pPr>
        <w:spacing w:line="360" w:lineRule="auto"/>
        <w:ind w:firstLine="480"/>
      </w:pPr>
      <w:r>
        <w:rPr>
          <w:rFonts w:ascii="宋体" w:hAnsi="宋体" w:eastAsia="宋体"/>
          <w:b w:val="0"/>
          <w:sz w:val="24"/>
        </w:rPr>
        <w:t>本作品的做法是把 pruning boundary 从“删除式表达”重写为“掩码化表达”，将词元保留决策改写为基于安全选择函数的 `masking -&gt; F_mux`，将阈值判断改写为基于安全比较函数的 `threshold compare -&gt; F_less`，并结合编码键双调排序（Encoded-Key Bitonic Sort）处理安全 Top-K（前 K 选择）与并列分数决断问题。这样做的意义在于，不仅让动态剪枝能够进入固定图安全执行环境，而且保留了按样本变化的剪枝决策能力，而不是用一个固定结构模型替代原始方法。</w:t>
      </w:r>
    </w:p>
    <w:p>
      <w:pPr>
        <w:spacing w:line="360" w:lineRule="auto"/>
        <w:ind w:firstLine="480"/>
      </w:pPr>
      <w:r>
        <w:rPr>
          <w:rFonts w:ascii="宋体" w:hAnsi="宋体" w:eastAsia="宋体"/>
          <w:b w:val="0"/>
          <w:sz w:val="24"/>
        </w:rPr>
        <w:t>这一层的技术难点在于：既要避免数据相关分支泄露，又要在固定图语义下近似保留原始动态模型的判别边界；同时，排序与并列分数处理必须在安全执行环境内稳定完成，否则最终决策链会因 tie 或索引不稳定而失去可验证性。</w:t>
      </w:r>
    </w:p>
    <w:p>
      <w:pPr>
        <w:spacing w:line="360" w:lineRule="auto"/>
        <w:ind w:firstLine="480"/>
      </w:pPr>
      <w:r>
        <w:rPr>
          <w:rFonts w:ascii="宋体" w:hAnsi="宋体" w:eastAsia="宋体"/>
          <w:b w:val="0"/>
          <w:sz w:val="24"/>
        </w:rPr>
        <w:t>实验证据表明，该改写并未使动态路径退化为不可部署状态：正式动态主线相较固定结构静态对照线的阈值精度提升 0.7634 个百分点，相较未经安全化边界重写的原始 DynamicViT 提升 12.0181 个百分点。该层内容由第 2.4 节密态改写表、第 4.2 节基线对比、第 4.3 节医疗主线结果与第 4.7 节结果分析共同支撑。</w:t>
      </w:r>
    </w:p>
    <w:p>
      <w:pPr>
        <w:spacing w:line="360" w:lineRule="auto"/>
        <w:ind w:firstLine="0"/>
      </w:pPr>
      <w:r>
        <w:rPr>
          <w:rFonts w:ascii="黑体" w:hAnsi="黑体" w:eastAsia="黑体"/>
          <w:b/>
          <w:sz w:val="24"/>
        </w:rPr>
        <w:t>5.2 系统层创新</w:t>
      </w:r>
    </w:p>
    <w:p>
      <w:pPr>
        <w:spacing w:line="360" w:lineRule="auto"/>
        <w:ind w:firstLine="480"/>
      </w:pPr>
      <w:r>
        <w:rPr>
          <w:rFonts w:ascii="宋体" w:hAnsi="宋体" w:eastAsia="宋体"/>
          <w:b w:val="0"/>
          <w:sz w:val="24"/>
        </w:rPr>
        <w:t>现有问题在于，不少安全推理系统虽然使用了密态执行框架，但会在外部明文环境中预先决定剪枝路径，再把结果送入密态推理后端。这类做法虽然降低了工程难度，却使动态状态、路径信息甚至部分模型行为暴露在安全执行域之外，本质上仍属于半隐私运行。</w:t>
      </w:r>
    </w:p>
    <w:p>
      <w:pPr>
        <w:spacing w:line="360" w:lineRule="auto"/>
        <w:ind w:firstLine="480"/>
      </w:pPr>
      <w:r>
        <w:rPr>
          <w:rFonts w:ascii="宋体" w:hAnsi="宋体" w:eastAsia="宋体"/>
          <w:b w:val="0"/>
          <w:sz w:val="24"/>
        </w:rPr>
        <w:t>本作品的做法是将动态剪枝预测器 PredictorLG、阈值判断与并列分数决断保留在安全执行域内，并以 SPU 与 OpenBumbleBee 组成两方安全计算链路，对输入数据、模型参数和中间动态决策状态同时进行保护。这样，系统不再依赖“外部先算路径、内部只回放”的简化策略，而是在双向隐私前提下完成完整的动态决策链执行。</w:t>
      </w:r>
    </w:p>
    <w:p>
      <w:pPr>
        <w:spacing w:line="360" w:lineRule="auto"/>
        <w:ind w:firstLine="480"/>
      </w:pPr>
      <w:r>
        <w:rPr>
          <w:rFonts w:ascii="宋体" w:hAnsi="宋体" w:eastAsia="宋体"/>
          <w:b w:val="0"/>
          <w:sz w:val="24"/>
        </w:rPr>
        <w:t>这一层的技术难点在于：既要在两方半诚实模型下维持输入与参数的双向隐私边界，又要让动态路径的关键控制流保留在密态环境内执行；如果处理不当，系统很容易退化为只保护输入或只保护模型的单向隐私方案。</w:t>
      </w:r>
    </w:p>
    <w:p>
      <w:pPr>
        <w:spacing w:line="360" w:lineRule="auto"/>
        <w:ind w:firstLine="480"/>
      </w:pPr>
      <w:r>
        <w:rPr>
          <w:rFonts w:ascii="宋体" w:hAnsi="宋体" w:eastAsia="宋体"/>
          <w:b w:val="0"/>
          <w:sz w:val="24"/>
        </w:rPr>
        <w:t>实验证据方面，当前端到端原型在 32 条医疗部署验证样本上的双向总通信量为 84.47 GiB，且服务端不接收明文像素值、模型参数不以明文暴露，对外仅返回最终分类结果；金融边界压力样本 8/8 与明文参考逐样本一致。该层内容由第 2.1 节总体架构、第 2.2 节威胁模型与安全边界、第 3.1 节两方安全推理链路、第 4.3 节医疗结果与第 4.5 节金融边界验证共同支撑。</w:t>
      </w:r>
    </w:p>
    <w:p>
      <w:pPr>
        <w:spacing w:line="360" w:lineRule="auto"/>
        <w:ind w:firstLine="0"/>
      </w:pPr>
      <w:r>
        <w:rPr>
          <w:rFonts w:ascii="黑体" w:hAnsi="黑体" w:eastAsia="黑体"/>
          <w:b/>
          <w:sz w:val="24"/>
        </w:rPr>
        <w:t>5.3 工程层特色与可验证交付能力</w:t>
      </w:r>
    </w:p>
    <w:p>
      <w:pPr>
        <w:spacing w:line="360" w:lineRule="auto"/>
        <w:ind w:firstLine="480"/>
      </w:pPr>
      <w:r>
        <w:rPr>
          <w:rFonts w:ascii="宋体" w:hAnsi="宋体" w:eastAsia="宋体"/>
          <w:b w:val="0"/>
          <w:sz w:val="24"/>
        </w:rPr>
        <w:t>现有问题在于，很多 Web 演示只展示模型输出结果，默认将输入视为天然可信，缺少协议层异常输入阻断、审计链、资源状态回落记录和可复现实验入口。对于信息安全类作品而言，这类展示很难支撑“系统已形成工程闭环”的判断。</w:t>
      </w:r>
    </w:p>
    <w:p>
      <w:pPr>
        <w:spacing w:line="360" w:lineRule="auto"/>
        <w:ind w:firstLine="480"/>
      </w:pPr>
      <w:r>
        <w:rPr>
          <w:rFonts w:ascii="宋体" w:hAnsi="宋体" w:eastAsia="宋体"/>
          <w:b w:val="0"/>
          <w:sz w:val="24"/>
        </w:rPr>
        <w:t>本作品的做法是把浏览器工作线程、本地数据质量评估、审计哈希链、服务端权威快检、协议层异常输入模糊测试、重放与并发守卫、以及图件与报告自动重建链条一起纳入交付范围。这里的重点不是把工程实现拔高为核心算法创新，而是保证评审能够看到：系统不仅能给出分类结果，还能证明输入经过了哪些检查、异常请求在何处被阻断、资源是否回到稳态，以及报告中的叙述是否能由脚本与证据反向重建。</w:t>
      </w:r>
    </w:p>
    <w:p>
      <w:pPr>
        <w:spacing w:line="360" w:lineRule="auto"/>
        <w:ind w:firstLine="480"/>
      </w:pPr>
      <w:r>
        <w:rPr>
          <w:rFonts w:ascii="宋体" w:hAnsi="宋体" w:eastAsia="宋体"/>
          <w:b w:val="0"/>
          <w:sz w:val="24"/>
        </w:rPr>
        <w:t>这一层的技术难点在于：前端要在不阻塞主线程的前提下完成高开销预处理与审计摘要生成，服务端要在进入 SPU 前完成原始报文、JSON 元数据、share 字节流和张量层的多级快检，同时还要把异常输入、重放与并发探针的结果转化为可复核的证据文件。</w:t>
      </w:r>
    </w:p>
    <w:p>
      <w:pPr>
        <w:spacing w:line="360" w:lineRule="auto"/>
        <w:ind w:firstLine="480"/>
      </w:pPr>
      <w:r>
        <w:rPr>
          <w:rFonts w:ascii="宋体" w:hAnsi="宋体" w:eastAsia="宋体"/>
          <w:b w:val="0"/>
          <w:sz w:val="24"/>
        </w:rPr>
        <w:t>实验证据方面，本作品已覆盖 17 类协议层与控制面黑盒用例，17/17 按预期返回，且采样窗口内未观察到文件描述符或套接字文件描述符净增长；同时仓内提供 10–20 分钟最低可复现路径与报告重建链。该层内容由第 3.3 节前端控制面、第 3.4 节服务端权威快检与审计、第 4.6 节鲁棒性矩阵、第 6.1 节复现路径和 `README_REPRODUCE.md` 共同支撑。</w:t>
      </w:r>
    </w:p>
    <w:p>
      <w:pPr>
        <w:spacing w:line="360" w:lineRule="auto"/>
        <w:ind w:firstLine="0"/>
      </w:pPr>
      <w:r>
        <w:rPr>
          <w:rFonts w:ascii="黑体" w:hAnsi="黑体" w:eastAsia="黑体"/>
          <w:b/>
          <w:sz w:val="24"/>
        </w:rPr>
        <w:t>5.4 与常见方案对比</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对比对象</w:t>
            </w:r>
          </w:p>
        </w:tc>
        <w:tc>
          <w:tcPr>
            <w:tcW w:type="dxa" w:w="2940"/>
          </w:tcPr>
          <w:p>
            <w:pPr>
              <w:jc w:val="center"/>
            </w:pPr>
            <w:r/>
            <w:r>
              <w:rPr>
                <w:rFonts w:ascii="宋体" w:hAnsi="宋体" w:eastAsia="宋体"/>
                <w:b/>
                <w:sz w:val="18"/>
              </w:rPr>
              <w:t>常见做法</w:t>
            </w:r>
          </w:p>
        </w:tc>
        <w:tc>
          <w:tcPr>
            <w:tcW w:type="dxa" w:w="2940"/>
          </w:tcPr>
          <w:p>
            <w:pPr>
              <w:jc w:val="center"/>
            </w:pPr>
            <w:r/>
            <w:r>
              <w:rPr>
                <w:rFonts w:ascii="宋体" w:hAnsi="宋体" w:eastAsia="宋体"/>
                <w:b/>
                <w:sz w:val="18"/>
              </w:rPr>
              <w:t>本作品差异</w:t>
            </w:r>
          </w:p>
        </w:tc>
      </w:tr>
      <w:tr>
        <w:tc>
          <w:tcPr>
            <w:tcW w:type="dxa" w:w="2940"/>
          </w:tcPr>
          <w:p>
            <w:r/>
            <w:r>
              <w:rPr>
                <w:rFonts w:ascii="宋体" w:hAnsi="宋体" w:eastAsia="宋体"/>
                <w:b w:val="0"/>
                <w:sz w:val="18"/>
              </w:rPr>
              <w:t>固定结构安全推理</w:t>
            </w:r>
          </w:p>
        </w:tc>
        <w:tc>
          <w:tcPr>
            <w:tcW w:type="dxa" w:w="2940"/>
          </w:tcPr>
          <w:p>
            <w:r/>
            <w:r>
              <w:rPr>
                <w:rFonts w:ascii="宋体" w:hAnsi="宋体" w:eastAsia="宋体"/>
                <w:b w:val="0"/>
                <w:sz w:val="18"/>
              </w:rPr>
              <w:t>放弃动态剪枝，直接改为固定结构模型</w:t>
            </w:r>
          </w:p>
        </w:tc>
        <w:tc>
          <w:tcPr>
            <w:tcW w:type="dxa" w:w="2940"/>
          </w:tcPr>
          <w:p>
            <w:r/>
            <w:r>
              <w:rPr>
                <w:rFonts w:ascii="宋体" w:hAnsi="宋体" w:eastAsia="宋体"/>
                <w:b w:val="0"/>
                <w:sz w:val="18"/>
              </w:rPr>
              <w:t>保留按样本变化的剪枝决策，并把边界重写为可密态执行语义</w:t>
            </w:r>
          </w:p>
        </w:tc>
      </w:tr>
      <w:tr>
        <w:tc>
          <w:tcPr>
            <w:tcW w:type="dxa" w:w="2940"/>
          </w:tcPr>
          <w:p>
            <w:r/>
            <w:r>
              <w:rPr>
                <w:rFonts w:ascii="宋体" w:hAnsi="宋体" w:eastAsia="宋体"/>
                <w:b w:val="0"/>
                <w:sz w:val="18"/>
              </w:rPr>
              <w:t>明文剪枝 + 密态推理</w:t>
            </w:r>
          </w:p>
        </w:tc>
        <w:tc>
          <w:tcPr>
            <w:tcW w:type="dxa" w:w="2940"/>
          </w:tcPr>
          <w:p>
            <w:r/>
            <w:r>
              <w:rPr>
                <w:rFonts w:ascii="宋体" w:hAnsi="宋体" w:eastAsia="宋体"/>
                <w:b w:val="0"/>
                <w:sz w:val="18"/>
              </w:rPr>
              <w:t>外部明文环境先决定路径，密态后端仅回放结果</w:t>
            </w:r>
          </w:p>
        </w:tc>
        <w:tc>
          <w:tcPr>
            <w:tcW w:type="dxa" w:w="2940"/>
          </w:tcPr>
          <w:p>
            <w:r/>
            <w:r>
              <w:rPr>
                <w:rFonts w:ascii="宋体" w:hAnsi="宋体" w:eastAsia="宋体"/>
                <w:b w:val="0"/>
                <w:sz w:val="18"/>
              </w:rPr>
              <w:t>剪枝决策链保留在安全执行域内完成，避免半隐私运行</w:t>
            </w:r>
          </w:p>
        </w:tc>
      </w:tr>
      <w:tr>
        <w:tc>
          <w:tcPr>
            <w:tcW w:type="dxa" w:w="2940"/>
          </w:tcPr>
          <w:p>
            <w:r/>
            <w:r>
              <w:rPr>
                <w:rFonts w:ascii="宋体" w:hAnsi="宋体" w:eastAsia="宋体"/>
                <w:b w:val="0"/>
                <w:sz w:val="18"/>
              </w:rPr>
              <w:t>单向隐私推理</w:t>
            </w:r>
          </w:p>
        </w:tc>
        <w:tc>
          <w:tcPr>
            <w:tcW w:type="dxa" w:w="2940"/>
          </w:tcPr>
          <w:p>
            <w:r/>
            <w:r>
              <w:rPr>
                <w:rFonts w:ascii="宋体" w:hAnsi="宋体" w:eastAsia="宋体"/>
                <w:b w:val="0"/>
                <w:sz w:val="18"/>
              </w:rPr>
              <w:t>只保护输入或只保护模型参数</w:t>
            </w:r>
          </w:p>
        </w:tc>
        <w:tc>
          <w:tcPr>
            <w:tcW w:type="dxa" w:w="2940"/>
          </w:tcPr>
          <w:p>
            <w:r/>
            <w:r>
              <w:rPr>
                <w:rFonts w:ascii="宋体" w:hAnsi="宋体" w:eastAsia="宋体"/>
                <w:b w:val="0"/>
                <w:sz w:val="18"/>
              </w:rPr>
              <w:t>同时保护输入数据、模型参数和动态中间状态</w:t>
            </w:r>
          </w:p>
        </w:tc>
      </w:tr>
      <w:tr>
        <w:tc>
          <w:tcPr>
            <w:tcW w:type="dxa" w:w="2940"/>
          </w:tcPr>
          <w:p>
            <w:r/>
            <w:r>
              <w:rPr>
                <w:rFonts w:ascii="宋体" w:hAnsi="宋体" w:eastAsia="宋体"/>
                <w:b w:val="0"/>
                <w:sz w:val="18"/>
              </w:rPr>
              <w:t>普通 Web 演示</w:t>
            </w:r>
          </w:p>
        </w:tc>
        <w:tc>
          <w:tcPr>
            <w:tcW w:type="dxa" w:w="2940"/>
          </w:tcPr>
          <w:p>
            <w:r/>
            <w:r>
              <w:rPr>
                <w:rFonts w:ascii="宋体" w:hAnsi="宋体" w:eastAsia="宋体"/>
                <w:b w:val="0"/>
                <w:sz w:val="18"/>
              </w:rPr>
              <w:t>只展示结果页面，不提供输入守卫与异常验证</w:t>
            </w:r>
          </w:p>
        </w:tc>
        <w:tc>
          <w:tcPr>
            <w:tcW w:type="dxa" w:w="2940"/>
          </w:tcPr>
          <w:p>
            <w:r/>
            <w:r>
              <w:rPr>
                <w:rFonts w:ascii="宋体" w:hAnsi="宋体" w:eastAsia="宋体"/>
                <w:b w:val="0"/>
                <w:sz w:val="18"/>
              </w:rPr>
              <w:t>加入服务端快检、审计链、模糊测试与重放/并发守卫证据</w:t>
            </w:r>
          </w:p>
        </w:tc>
      </w:tr>
    </w:tbl>
    <w:p>
      <w:pPr>
        <w:spacing w:line="360" w:lineRule="auto"/>
        <w:ind w:firstLine="480"/>
      </w:pPr>
      <w:r>
        <w:rPr>
          <w:rFonts w:ascii="宋体" w:hAnsi="宋体" w:eastAsia="宋体"/>
          <w:b w:val="0"/>
          <w:sz w:val="24"/>
        </w:rPr>
        <w:t>这组对比说明，本作品的主要价值不在于简单地“再做一条安全推理链”，而在于同时解决了动态剪枝保留、双向隐私成立、动态决策链不外泄以及工程交付可验证四个问题。</w:t>
      </w:r>
    </w:p>
    <w:p>
      <w:pPr>
        <w:spacing w:line="360" w:lineRule="auto"/>
        <w:ind w:firstLine="0"/>
      </w:pPr>
      <w:r>
        <w:rPr>
          <w:rFonts w:ascii="黑体" w:hAnsi="黑体" w:eastAsia="黑体"/>
          <w:b/>
          <w:sz w:val="24"/>
        </w:rPr>
        <w:t>5.5 当前局限性</w:t>
      </w:r>
    </w:p>
    <w:p>
      <w:pPr>
        <w:spacing w:line="360" w:lineRule="auto"/>
        <w:ind w:firstLine="480"/>
      </w:pPr>
      <w:r>
        <w:rPr>
          <w:rFonts w:ascii="宋体" w:hAnsi="宋体" w:eastAsia="宋体"/>
          <w:b w:val="0"/>
          <w:sz w:val="24"/>
        </w:rPr>
        <w:t>本作品当前仍有五点需要明确说明的边界。第一，Web 演示后端采用同步阻塞式 `ThreadingHTTPServer` 原型，进入长耗时 SPU 计算后的主动断连感知与任务取消能力尚未具备，因此现有并发守卫不能等价替代生产级拒绝服务防护。第二，当前仓内仅固化了端到端通信量与算子级代理基准证据，未单独落盘正式医疗主线的阶段级时延剖面，因此尚不能给出更细粒度的性能分解。第三，金融任务当前只覆盖 8 条边界压力样本，足以支撑稳定性验证，但不足以单独构成第二应用主线。第四，当前安全模型主要建立在两方半诚实假设上，不覆盖恶意参与方串谋、模型抽取和更强侧信道对抗场景。第五，当前系统尚未系统评估输出结果本身可能带来的反推风险，因此输出侧隐私仍需在后续工作中单独建模与验证。</w:t>
      </w:r>
    </w:p>
    <w:p>
      <w:pPr>
        <w:pStyle w:val="2"/>
        <w:ind w:firstLine="0"/>
        <w:jc w:val="center"/>
      </w:pPr>
      <w:r>
        <w:rPr>
          <w:rFonts w:ascii="黑体" w:hAnsi="黑体" w:eastAsia="黑体"/>
          <w:b/>
          <w:sz w:val="44"/>
        </w:rPr>
        <w:t>第六章 复现与参赛声明</w:t>
      </w:r>
    </w:p>
    <w:p>
      <w:pPr>
        <w:spacing w:line="360" w:lineRule="auto"/>
        <w:ind w:firstLine="0"/>
      </w:pPr>
      <w:r>
        <w:rPr>
          <w:rFonts w:ascii="黑体" w:hAnsi="黑体" w:eastAsia="黑体"/>
          <w:b/>
          <w:sz w:val="24"/>
        </w:rPr>
        <w:t>6.1 最低可复现路径（10–20 分钟）</w:t>
      </w:r>
    </w:p>
    <w:p>
      <w:pPr>
        <w:spacing w:line="360" w:lineRule="auto"/>
        <w:ind w:firstLine="480"/>
      </w:pPr>
      <w:r>
        <w:rPr>
          <w:rFonts w:ascii="宋体" w:hAnsi="宋体" w:eastAsia="宋体"/>
          <w:b w:val="0"/>
          <w:sz w:val="24"/>
        </w:rPr>
        <w:t>在模型目录、手工图件与基础 Python 环境已就位的前提下，评审可在 10–20 分钟内完成最小闭环验证：先启动 Web 演示并在浏览器端加载一张本地医疗样本，确认系统在本地完成预处理与分片后返回分类、质量保障结论、审计摘要与控制面耗时；再运行协议层异常输入脚本与至少一项控制面守卫检查，验证异常输入阻断与并发/重放防护；若需要检查交付一致性，再重建图件与报告。完整命令与故障排查说明见 `README_REPRODUCE.md`。</w:t>
      </w:r>
    </w:p>
    <w:tbl>
      <w:tblPr>
        <w:tblW w:type="auto" w:w="0"/>
        <w:tblLook w:firstColumn="1" w:firstRow="1" w:lastColumn="0" w:lastRow="0" w:noHBand="0" w:noVBand="1" w:val="04A0"/>
      </w:tblPr>
      <w:tblGrid>
        <w:gridCol w:w="2205"/>
        <w:gridCol w:w="2205"/>
        <w:gridCol w:w="2205"/>
        <w:gridCol w:w="2205"/>
      </w:tblGrid>
      <w:tr>
        <w:tc>
          <w:tcPr>
            <w:tcW w:type="dxa" w:w="2205"/>
          </w:tcPr>
          <w:p>
            <w:pPr>
              <w:jc w:val="center"/>
            </w:pPr>
            <w:r/>
            <w:r>
              <w:rPr>
                <w:rFonts w:ascii="宋体" w:hAnsi="宋体" w:eastAsia="宋体"/>
                <w:b/>
                <w:sz w:val="18"/>
              </w:rPr>
              <w:t>步骤</w:t>
            </w:r>
          </w:p>
        </w:tc>
        <w:tc>
          <w:tcPr>
            <w:tcW w:type="dxa" w:w="2205"/>
          </w:tcPr>
          <w:p>
            <w:pPr>
              <w:jc w:val="center"/>
            </w:pPr>
            <w:r/>
            <w:r>
              <w:rPr>
                <w:rFonts w:ascii="宋体" w:hAnsi="宋体" w:eastAsia="宋体"/>
                <w:b/>
                <w:sz w:val="18"/>
              </w:rPr>
              <w:t>预估耗时</w:t>
            </w:r>
          </w:p>
        </w:tc>
        <w:tc>
          <w:tcPr>
            <w:tcW w:type="dxa" w:w="2205"/>
          </w:tcPr>
          <w:p>
            <w:pPr>
              <w:jc w:val="center"/>
            </w:pPr>
            <w:r/>
            <w:r>
              <w:rPr>
                <w:rFonts w:ascii="宋体" w:hAnsi="宋体" w:eastAsia="宋体"/>
                <w:b/>
                <w:sz w:val="18"/>
              </w:rPr>
              <w:t>入口</w:t>
            </w:r>
          </w:p>
        </w:tc>
        <w:tc>
          <w:tcPr>
            <w:tcW w:type="dxa" w:w="2205"/>
          </w:tcPr>
          <w:p>
            <w:pPr>
              <w:jc w:val="center"/>
            </w:pPr>
            <w:r/>
            <w:r>
              <w:rPr>
                <w:rFonts w:ascii="宋体" w:hAnsi="宋体" w:eastAsia="宋体"/>
                <w:b/>
                <w:sz w:val="18"/>
              </w:rPr>
              <w:t>预期输出</w:t>
            </w:r>
          </w:p>
        </w:tc>
      </w:tr>
      <w:tr>
        <w:tc>
          <w:tcPr>
            <w:tcW w:type="dxa" w:w="2205"/>
          </w:tcPr>
          <w:p>
            <w:r/>
            <w:r>
              <w:rPr>
                <w:rFonts w:ascii="宋体" w:hAnsi="宋体" w:eastAsia="宋体"/>
                <w:b w:val="0"/>
                <w:sz w:val="18"/>
              </w:rPr>
              <w:t>启动 Web 演示并加载一张本地医疗样本</w:t>
            </w:r>
          </w:p>
        </w:tc>
        <w:tc>
          <w:tcPr>
            <w:tcW w:type="dxa" w:w="2205"/>
          </w:tcPr>
          <w:p>
            <w:r/>
            <w:r>
              <w:rPr>
                <w:rFonts w:ascii="宋体" w:hAnsi="宋体" w:eastAsia="宋体"/>
                <w:b w:val="0"/>
                <w:sz w:val="18"/>
              </w:rPr>
              <w:t>3–8 分钟</w:t>
            </w:r>
          </w:p>
        </w:tc>
        <w:tc>
          <w:tcPr>
            <w:tcW w:type="dxa" w:w="2205"/>
          </w:tcPr>
          <w:p>
            <w:r/>
            <w:r>
              <w:rPr>
                <w:rFonts w:ascii="宋体" w:hAnsi="宋体" w:eastAsia="宋体"/>
                <w:b w:val="0"/>
                <w:sz w:val="18"/>
              </w:rPr>
              <w:t>artifacts/server_inference_friendly_pack/run_web_demo.sh</w:t>
            </w:r>
          </w:p>
        </w:tc>
        <w:tc>
          <w:tcPr>
            <w:tcW w:type="dxa" w:w="2205"/>
          </w:tcPr>
          <w:p>
            <w:r/>
            <w:r>
              <w:rPr>
                <w:rFonts w:ascii="宋体" w:hAnsi="宋体" w:eastAsia="宋体"/>
                <w:b w:val="0"/>
                <w:sz w:val="18"/>
              </w:rPr>
              <w:t>浏览器在本地完成预处理与分片后返回分类结果、质量保障结论、审计摘要与控制面耗时</w:t>
            </w:r>
          </w:p>
        </w:tc>
      </w:tr>
      <w:tr>
        <w:tc>
          <w:tcPr>
            <w:tcW w:type="dxa" w:w="2205"/>
          </w:tcPr>
          <w:p>
            <w:r/>
            <w:r>
              <w:rPr>
                <w:rFonts w:ascii="宋体" w:hAnsi="宋体" w:eastAsia="宋体"/>
                <w:b w:val="0"/>
                <w:sz w:val="18"/>
              </w:rPr>
              <w:t>运行协议层异常输入验证</w:t>
            </w:r>
          </w:p>
        </w:tc>
        <w:tc>
          <w:tcPr>
            <w:tcW w:type="dxa" w:w="2205"/>
          </w:tcPr>
          <w:p>
            <w:r/>
            <w:r>
              <w:rPr>
                <w:rFonts w:ascii="宋体" w:hAnsi="宋体" w:eastAsia="宋体"/>
                <w:b w:val="0"/>
                <w:sz w:val="18"/>
              </w:rPr>
              <w:t>2–4 分钟</w:t>
            </w:r>
          </w:p>
        </w:tc>
        <w:tc>
          <w:tcPr>
            <w:tcW w:type="dxa" w:w="2205"/>
          </w:tcPr>
          <w:p>
            <w:r/>
            <w:r>
              <w:rPr>
                <w:rFonts w:ascii="宋体" w:hAnsi="宋体" w:eastAsia="宋体"/>
                <w:b w:val="0"/>
                <w:sz w:val="18"/>
              </w:rPr>
              <w:t>tools/web_demo_protocol_fuzz.py</w:t>
            </w:r>
          </w:p>
        </w:tc>
        <w:tc>
          <w:tcPr>
            <w:tcW w:type="dxa" w:w="2205"/>
          </w:tcPr>
          <w:p>
            <w:r/>
            <w:r>
              <w:rPr>
                <w:rFonts w:ascii="宋体" w:hAnsi="宋体" w:eastAsia="宋体"/>
                <w:b w:val="0"/>
                <w:sz w:val="18"/>
              </w:rPr>
              <w:t>生成 `web_demo_protocol_fuzz_*.json`，验证 multipart/JSON/截断请求体阻断</w:t>
            </w:r>
          </w:p>
        </w:tc>
      </w:tr>
      <w:tr>
        <w:tc>
          <w:tcPr>
            <w:tcW w:type="dxa" w:w="2205"/>
          </w:tcPr>
          <w:p>
            <w:r/>
            <w:r>
              <w:rPr>
                <w:rFonts w:ascii="宋体" w:hAnsi="宋体" w:eastAsia="宋体"/>
                <w:b w:val="0"/>
                <w:sz w:val="18"/>
              </w:rPr>
              <w:t>运行至少一项控制面守卫检查</w:t>
            </w:r>
          </w:p>
        </w:tc>
        <w:tc>
          <w:tcPr>
            <w:tcW w:type="dxa" w:w="2205"/>
          </w:tcPr>
          <w:p>
            <w:r/>
            <w:r>
              <w:rPr>
                <w:rFonts w:ascii="宋体" w:hAnsi="宋体" w:eastAsia="宋体"/>
                <w:b w:val="0"/>
                <w:sz w:val="18"/>
              </w:rPr>
              <w:t>2–6 分钟</w:t>
            </w:r>
          </w:p>
        </w:tc>
        <w:tc>
          <w:tcPr>
            <w:tcW w:type="dxa" w:w="2205"/>
          </w:tcPr>
          <w:p>
            <w:r/>
            <w:r>
              <w:rPr>
                <w:rFonts w:ascii="宋体" w:hAnsi="宋体" w:eastAsia="宋体"/>
                <w:b w:val="0"/>
                <w:sz w:val="18"/>
              </w:rPr>
              <w:t>tools/web_demo_guard_stress.py --checks duplicate_nonce 或 inflight</w:t>
            </w:r>
          </w:p>
        </w:tc>
        <w:tc>
          <w:tcPr>
            <w:tcW w:type="dxa" w:w="2205"/>
          </w:tcPr>
          <w:p>
            <w:r/>
            <w:r>
              <w:rPr>
                <w:rFonts w:ascii="宋体" w:hAnsi="宋体" w:eastAsia="宋体"/>
                <w:b w:val="0"/>
                <w:sz w:val="18"/>
              </w:rPr>
              <w:t>验证重复 nonce、重复载荷或并发占满守卫</w:t>
            </w:r>
          </w:p>
        </w:tc>
      </w:tr>
      <w:tr>
        <w:tc>
          <w:tcPr>
            <w:tcW w:type="dxa" w:w="2205"/>
          </w:tcPr>
          <w:p>
            <w:r/>
            <w:r>
              <w:rPr>
                <w:rFonts w:ascii="宋体" w:hAnsi="宋体" w:eastAsia="宋体"/>
                <w:b w:val="0"/>
                <w:sz w:val="18"/>
              </w:rPr>
              <w:t>可选：重建图件与报告</w:t>
            </w:r>
          </w:p>
        </w:tc>
        <w:tc>
          <w:tcPr>
            <w:tcW w:type="dxa" w:w="2205"/>
          </w:tcPr>
          <w:p>
            <w:r/>
            <w:r>
              <w:rPr>
                <w:rFonts w:ascii="宋体" w:hAnsi="宋体" w:eastAsia="宋体"/>
                <w:b w:val="0"/>
                <w:sz w:val="18"/>
              </w:rPr>
              <w:t>3–5 分钟</w:t>
            </w:r>
          </w:p>
        </w:tc>
        <w:tc>
          <w:tcPr>
            <w:tcW w:type="dxa" w:w="2205"/>
          </w:tcPr>
          <w:p>
            <w:r/>
            <w:r>
              <w:rPr>
                <w:rFonts w:ascii="宋体" w:hAnsi="宋体" w:eastAsia="宋体"/>
                <w:b w:val="0"/>
                <w:sz w:val="18"/>
              </w:rPr>
              <w:t>tools/generate_report_figures.py；tools/generate_rebuild_20260519_report.py</w:t>
            </w:r>
          </w:p>
        </w:tc>
        <w:tc>
          <w:tcPr>
            <w:tcW w:type="dxa" w:w="2205"/>
          </w:tcPr>
          <w:p>
            <w:r/>
            <w:r>
              <w:rPr>
                <w:rFonts w:ascii="宋体" w:hAnsi="宋体" w:eastAsia="宋体"/>
                <w:b w:val="0"/>
                <w:sz w:val="18"/>
              </w:rPr>
              <w:t>更新图件并生成正式报告文件</w:t>
            </w:r>
          </w:p>
        </w:tc>
      </w:tr>
    </w:tbl>
    <w:p>
      <w:pPr>
        <w:spacing w:line="360" w:lineRule="auto"/>
        <w:ind w:firstLine="0"/>
      </w:pPr>
      <w:r>
        <w:rPr>
          <w:rFonts w:ascii="黑体" w:hAnsi="黑体" w:eastAsia="黑体"/>
          <w:b/>
          <w:sz w:val="24"/>
        </w:rPr>
        <w:t>6.2 数据、模型与权重合规声明</w:t>
      </w:r>
    </w:p>
    <w:p>
      <w:pPr>
        <w:spacing w:line="360" w:lineRule="auto"/>
        <w:ind w:firstLine="480"/>
      </w:pPr>
      <w:r>
        <w:rPr>
          <w:rFonts w:ascii="宋体" w:hAnsi="宋体" w:eastAsia="宋体"/>
          <w:b w:val="0"/>
          <w:sz w:val="24"/>
        </w:rPr>
        <w:t>本作品对数据、模型结构与权重文件分别采用分层合规声明。数据层面，报告与演示不包含真实、未经授权的患者隐私信息；医疗结果仅用于研究验证与竞赛展示，不作为临床诊断依据；金融压力样本仅承担方法边界验证职责。模型层面，公开仓库保留模型结构、运行脚本、图件与报告生成链；权重层面，仓库当前不默认随 Git 分发全部完整权重文件，仅保留必要的 bundle 元数据与加载入口，完整权重需在授权范围内单独提供。</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对象</w:t>
            </w:r>
          </w:p>
        </w:tc>
        <w:tc>
          <w:tcPr>
            <w:tcW w:type="dxa" w:w="2940"/>
          </w:tcPr>
          <w:p>
            <w:pPr>
              <w:jc w:val="center"/>
            </w:pPr>
            <w:r/>
            <w:r>
              <w:rPr>
                <w:rFonts w:ascii="宋体" w:hAnsi="宋体" w:eastAsia="宋体"/>
                <w:b/>
                <w:sz w:val="18"/>
              </w:rPr>
              <w:t>当前做法</w:t>
            </w:r>
          </w:p>
        </w:tc>
        <w:tc>
          <w:tcPr>
            <w:tcW w:type="dxa" w:w="2940"/>
          </w:tcPr>
          <w:p>
            <w:pPr>
              <w:jc w:val="center"/>
            </w:pPr>
            <w:r/>
            <w:r>
              <w:rPr>
                <w:rFonts w:ascii="宋体" w:hAnsi="宋体" w:eastAsia="宋体"/>
                <w:b/>
                <w:sz w:val="18"/>
              </w:rPr>
              <w:t>合规边界</w:t>
            </w:r>
          </w:p>
        </w:tc>
      </w:tr>
      <w:tr>
        <w:tc>
          <w:tcPr>
            <w:tcW w:type="dxa" w:w="2940"/>
          </w:tcPr>
          <w:p>
            <w:r/>
            <w:r>
              <w:rPr>
                <w:rFonts w:ascii="宋体" w:hAnsi="宋体" w:eastAsia="宋体"/>
                <w:b w:val="0"/>
                <w:sz w:val="18"/>
              </w:rPr>
              <w:t>测试数据</w:t>
            </w:r>
          </w:p>
        </w:tc>
        <w:tc>
          <w:tcPr>
            <w:tcW w:type="dxa" w:w="2940"/>
          </w:tcPr>
          <w:p>
            <w:r/>
            <w:r>
              <w:rPr>
                <w:rFonts w:ascii="宋体" w:hAnsi="宋体" w:eastAsia="宋体"/>
                <w:b w:val="0"/>
                <w:sz w:val="18"/>
              </w:rPr>
              <w:t>仅使用仓内声明范围内的验证数据与压力样本</w:t>
            </w:r>
          </w:p>
        </w:tc>
        <w:tc>
          <w:tcPr>
            <w:tcW w:type="dxa" w:w="2940"/>
          </w:tcPr>
          <w:p>
            <w:r/>
            <w:r>
              <w:rPr>
                <w:rFonts w:ascii="宋体" w:hAnsi="宋体" w:eastAsia="宋体"/>
                <w:b w:val="0"/>
                <w:sz w:val="18"/>
              </w:rPr>
              <w:t>不对外分发未经授权的原始敏感数据</w:t>
            </w:r>
          </w:p>
        </w:tc>
      </w:tr>
      <w:tr>
        <w:tc>
          <w:tcPr>
            <w:tcW w:type="dxa" w:w="2940"/>
          </w:tcPr>
          <w:p>
            <w:r/>
            <w:r>
              <w:rPr>
                <w:rFonts w:ascii="宋体" w:hAnsi="宋体" w:eastAsia="宋体"/>
                <w:b w:val="0"/>
                <w:sz w:val="18"/>
              </w:rPr>
              <w:t>模型结构代码</w:t>
            </w:r>
          </w:p>
        </w:tc>
        <w:tc>
          <w:tcPr>
            <w:tcW w:type="dxa" w:w="2940"/>
          </w:tcPr>
          <w:p>
            <w:r/>
            <w:r>
              <w:rPr>
                <w:rFonts w:ascii="宋体" w:hAnsi="宋体" w:eastAsia="宋体"/>
                <w:b w:val="0"/>
                <w:sz w:val="18"/>
              </w:rPr>
              <w:t>随仓保留并可复现运行链</w:t>
            </w:r>
          </w:p>
        </w:tc>
        <w:tc>
          <w:tcPr>
            <w:tcW w:type="dxa" w:w="2940"/>
          </w:tcPr>
          <w:p>
            <w:r/>
            <w:r>
              <w:rPr>
                <w:rFonts w:ascii="宋体" w:hAnsi="宋体" w:eastAsia="宋体"/>
                <w:b w:val="0"/>
                <w:sz w:val="18"/>
              </w:rPr>
              <w:t>遵循仓内第三方来源与修改映射说明</w:t>
            </w:r>
          </w:p>
        </w:tc>
      </w:tr>
      <w:tr>
        <w:tc>
          <w:tcPr>
            <w:tcW w:type="dxa" w:w="2940"/>
          </w:tcPr>
          <w:p>
            <w:r/>
            <w:r>
              <w:rPr>
                <w:rFonts w:ascii="宋体" w:hAnsi="宋体" w:eastAsia="宋体"/>
                <w:b w:val="0"/>
                <w:sz w:val="18"/>
              </w:rPr>
              <w:t>模型权重</w:t>
            </w:r>
          </w:p>
        </w:tc>
        <w:tc>
          <w:tcPr>
            <w:tcW w:type="dxa" w:w="2940"/>
          </w:tcPr>
          <w:p>
            <w:r/>
            <w:r>
              <w:rPr>
                <w:rFonts w:ascii="宋体" w:hAnsi="宋体" w:eastAsia="宋体"/>
                <w:b w:val="0"/>
                <w:sz w:val="18"/>
              </w:rPr>
              <w:t>默认不随 Git 完整分发，仅保留 bundle 元数据与加载入口</w:t>
            </w:r>
          </w:p>
        </w:tc>
        <w:tc>
          <w:tcPr>
            <w:tcW w:type="dxa" w:w="2940"/>
          </w:tcPr>
          <w:p>
            <w:r/>
            <w:r>
              <w:rPr>
                <w:rFonts w:ascii="宋体" w:hAnsi="宋体" w:eastAsia="宋体"/>
                <w:b w:val="0"/>
                <w:sz w:val="18"/>
              </w:rPr>
              <w:t>需由维护方按授权边界单独提供</w:t>
            </w:r>
          </w:p>
        </w:tc>
      </w:tr>
      <w:tr>
        <w:tc>
          <w:tcPr>
            <w:tcW w:type="dxa" w:w="2940"/>
          </w:tcPr>
          <w:p>
            <w:r/>
            <w:r>
              <w:rPr>
                <w:rFonts w:ascii="宋体" w:hAnsi="宋体" w:eastAsia="宋体"/>
                <w:b w:val="0"/>
                <w:sz w:val="18"/>
              </w:rPr>
              <w:t>第三方预训练/上游组件</w:t>
            </w:r>
          </w:p>
        </w:tc>
        <w:tc>
          <w:tcPr>
            <w:tcW w:type="dxa" w:w="2940"/>
          </w:tcPr>
          <w:p>
            <w:r/>
            <w:r>
              <w:rPr>
                <w:rFonts w:ascii="宋体" w:hAnsi="宋体" w:eastAsia="宋体"/>
                <w:b w:val="0"/>
                <w:sz w:val="18"/>
              </w:rPr>
              <w:t>按原许可证与来源映射保留</w:t>
            </w:r>
          </w:p>
        </w:tc>
        <w:tc>
          <w:tcPr>
            <w:tcW w:type="dxa" w:w="2940"/>
          </w:tcPr>
          <w:p>
            <w:r/>
            <w:r>
              <w:rPr>
                <w:rFonts w:ascii="宋体" w:hAnsi="宋体" w:eastAsia="宋体"/>
                <w:b w:val="0"/>
                <w:sz w:val="18"/>
              </w:rPr>
              <w:t>不对上游本体主张排他性知识产权</w:t>
            </w:r>
          </w:p>
        </w:tc>
      </w:tr>
    </w:tbl>
    <w:p>
      <w:pPr>
        <w:spacing w:line="360" w:lineRule="auto"/>
        <w:ind w:firstLine="0"/>
      </w:pPr>
      <w:r>
        <w:rPr>
          <w:rFonts w:ascii="黑体" w:hAnsi="黑体" w:eastAsia="黑体"/>
          <w:b/>
          <w:sz w:val="24"/>
        </w:rPr>
        <w:t>6.3 第三方许可、原创边界与技术公开范围</w:t>
      </w:r>
    </w:p>
    <w:p>
      <w:pPr>
        <w:spacing w:line="360" w:lineRule="auto"/>
        <w:ind w:firstLine="480"/>
      </w:pPr>
      <w:r>
        <w:rPr>
          <w:rFonts w:ascii="宋体" w:hAnsi="宋体" w:eastAsia="宋体"/>
          <w:b w:val="0"/>
          <w:sz w:val="24"/>
        </w:rPr>
        <w:t>本作品的知识产权声明按“上游底座、基于 Apache 2.0 的本地适配、团队原创部分”三层边界撰写。报告只描述仓内已实际完成的物理映射，不对未存在的许可证分发项或未落地的文件头声明作超前表述。</w:t>
      </w:r>
    </w:p>
    <w:tbl>
      <w:tblPr>
        <w:tblW w:type="auto" w:w="0"/>
        <w:tblLook w:firstColumn="1" w:firstRow="1" w:lastColumn="0" w:lastRow="0" w:noHBand="0" w:noVBand="1" w:val="04A0"/>
      </w:tblPr>
      <w:tblGrid>
        <w:gridCol w:w="2940"/>
        <w:gridCol w:w="2940"/>
        <w:gridCol w:w="2940"/>
      </w:tblGrid>
      <w:tr>
        <w:tc>
          <w:tcPr>
            <w:tcW w:type="dxa" w:w="2940"/>
          </w:tcPr>
          <w:p>
            <w:pPr>
              <w:jc w:val="center"/>
            </w:pPr>
            <w:r/>
            <w:r>
              <w:rPr>
                <w:rFonts w:ascii="宋体" w:hAnsi="宋体" w:eastAsia="宋体"/>
                <w:b/>
                <w:sz w:val="18"/>
              </w:rPr>
              <w:t>物理映射项</w:t>
            </w:r>
          </w:p>
        </w:tc>
        <w:tc>
          <w:tcPr>
            <w:tcW w:type="dxa" w:w="2940"/>
          </w:tcPr>
          <w:p>
            <w:pPr>
              <w:jc w:val="center"/>
            </w:pPr>
            <w:r/>
            <w:r>
              <w:rPr>
                <w:rFonts w:ascii="宋体" w:hAnsi="宋体" w:eastAsia="宋体"/>
                <w:b/>
                <w:sz w:val="18"/>
              </w:rPr>
              <w:t>仓内落点</w:t>
            </w:r>
          </w:p>
        </w:tc>
        <w:tc>
          <w:tcPr>
            <w:tcW w:type="dxa" w:w="2940"/>
          </w:tcPr>
          <w:p>
            <w:pPr>
              <w:jc w:val="center"/>
            </w:pPr>
            <w:r/>
            <w:r>
              <w:rPr>
                <w:rFonts w:ascii="宋体" w:hAnsi="宋体" w:eastAsia="宋体"/>
                <w:b/>
                <w:sz w:val="18"/>
              </w:rPr>
              <w:t>当前事实</w:t>
            </w:r>
          </w:p>
        </w:tc>
      </w:tr>
      <w:tr>
        <w:tc>
          <w:tcPr>
            <w:tcW w:type="dxa" w:w="2940"/>
          </w:tcPr>
          <w:p>
            <w:r/>
            <w:r>
              <w:rPr>
                <w:rFonts w:ascii="宋体" w:hAnsi="宋体" w:eastAsia="宋体"/>
                <w:b w:val="0"/>
                <w:sz w:val="18"/>
              </w:rPr>
              <w:t>上游许可证文本</w:t>
            </w:r>
          </w:p>
        </w:tc>
        <w:tc>
          <w:tcPr>
            <w:tcW w:type="dxa" w:w="2940"/>
          </w:tcPr>
          <w:p>
            <w:r/>
            <w:r>
              <w:rPr>
                <w:rFonts w:ascii="宋体" w:hAnsi="宋体" w:eastAsia="宋体"/>
                <w:b w:val="0"/>
                <w:sz w:val="18"/>
              </w:rPr>
              <w:t>spu_vendored/LICENSE</w:t>
            </w:r>
          </w:p>
        </w:tc>
        <w:tc>
          <w:tcPr>
            <w:tcW w:type="dxa" w:w="2940"/>
          </w:tcPr>
          <w:p>
            <w:r/>
            <w:r>
              <w:rPr>
                <w:rFonts w:ascii="宋体" w:hAnsi="宋体" w:eastAsia="宋体"/>
                <w:b w:val="0"/>
                <w:sz w:val="18"/>
              </w:rPr>
              <w:t>已保留 Apache License 2.0 文本</w:t>
            </w:r>
          </w:p>
        </w:tc>
      </w:tr>
      <w:tr>
        <w:tc>
          <w:tcPr>
            <w:tcW w:type="dxa" w:w="2940"/>
          </w:tcPr>
          <w:p>
            <w:r/>
            <w:r>
              <w:rPr>
                <w:rFonts w:ascii="宋体" w:hAnsi="宋体" w:eastAsia="宋体"/>
                <w:b w:val="0"/>
                <w:sz w:val="18"/>
              </w:rPr>
              <w:t>vendored 变更总说明</w:t>
            </w:r>
          </w:p>
        </w:tc>
        <w:tc>
          <w:tcPr>
            <w:tcW w:type="dxa" w:w="2940"/>
          </w:tcPr>
          <w:p>
            <w:r/>
            <w:r>
              <w:rPr>
                <w:rFonts w:ascii="宋体" w:hAnsi="宋体" w:eastAsia="宋体"/>
                <w:b w:val="0"/>
                <w:sz w:val="18"/>
              </w:rPr>
              <w:t>spu_vendored/MODIFICATIONS.md</w:t>
            </w:r>
          </w:p>
        </w:tc>
        <w:tc>
          <w:tcPr>
            <w:tcW w:type="dxa" w:w="2940"/>
          </w:tcPr>
          <w:p>
            <w:r/>
            <w:r>
              <w:rPr>
                <w:rFonts w:ascii="宋体" w:hAnsi="宋体" w:eastAsia="宋体"/>
                <w:b w:val="0"/>
                <w:sz w:val="18"/>
              </w:rPr>
              <w:t>已列出当前交付版明确引用的本地适配文件</w:t>
            </w:r>
          </w:p>
        </w:tc>
      </w:tr>
      <w:tr>
        <w:tc>
          <w:tcPr>
            <w:tcW w:type="dxa" w:w="2940"/>
          </w:tcPr>
          <w:p>
            <w:r/>
            <w:r>
              <w:rPr>
                <w:rFonts w:ascii="宋体" w:hAnsi="宋体" w:eastAsia="宋体"/>
                <w:b w:val="0"/>
                <w:sz w:val="18"/>
              </w:rPr>
              <w:t>修改文件头声明 1</w:t>
            </w:r>
          </w:p>
        </w:tc>
        <w:tc>
          <w:tcPr>
            <w:tcW w:type="dxa" w:w="2940"/>
          </w:tcPr>
          <w:p>
            <w:r/>
            <w:r>
              <w:rPr>
                <w:rFonts w:ascii="宋体" w:hAnsi="宋体" w:eastAsia="宋体"/>
                <w:b w:val="0"/>
                <w:sz w:val="18"/>
              </w:rPr>
              <w:t>spu_vendored/libspu/spu.proto</w:t>
            </w:r>
          </w:p>
        </w:tc>
        <w:tc>
          <w:tcPr>
            <w:tcW w:type="dxa" w:w="2940"/>
          </w:tcPr>
          <w:p>
            <w:r/>
            <w:r>
              <w:rPr>
                <w:rFonts w:ascii="宋体" w:hAnsi="宋体" w:eastAsia="宋体"/>
                <w:b w:val="0"/>
                <w:sz w:val="18"/>
              </w:rPr>
              <w:t>文件头含 TransShield local modification notice</w:t>
            </w:r>
          </w:p>
        </w:tc>
      </w:tr>
      <w:tr>
        <w:tc>
          <w:tcPr>
            <w:tcW w:type="dxa" w:w="2940"/>
          </w:tcPr>
          <w:p>
            <w:r/>
            <w:r>
              <w:rPr>
                <w:rFonts w:ascii="宋体" w:hAnsi="宋体" w:eastAsia="宋体"/>
                <w:b w:val="0"/>
                <w:sz w:val="18"/>
              </w:rPr>
              <w:t>修改文件头声明 2</w:t>
            </w:r>
          </w:p>
        </w:tc>
        <w:tc>
          <w:tcPr>
            <w:tcW w:type="dxa" w:w="2940"/>
          </w:tcPr>
          <w:p>
            <w:r/>
            <w:r>
              <w:rPr>
                <w:rFonts w:ascii="宋体" w:hAnsi="宋体" w:eastAsia="宋体"/>
                <w:b w:val="0"/>
                <w:sz w:val="18"/>
              </w:rPr>
              <w:t>spu_vendored/libspu/mpc/cheetah/arithmetic.h</w:t>
            </w:r>
          </w:p>
        </w:tc>
        <w:tc>
          <w:tcPr>
            <w:tcW w:type="dxa" w:w="2940"/>
          </w:tcPr>
          <w:p>
            <w:r/>
            <w:r>
              <w:rPr>
                <w:rFonts w:ascii="宋体" w:hAnsi="宋体" w:eastAsia="宋体"/>
                <w:b w:val="0"/>
                <w:sz w:val="18"/>
              </w:rPr>
              <w:t>文件头含 TransShield local vendor notice</w:t>
            </w:r>
          </w:p>
        </w:tc>
      </w:tr>
      <w:tr>
        <w:tc>
          <w:tcPr>
            <w:tcW w:type="dxa" w:w="2940"/>
          </w:tcPr>
          <w:p>
            <w:r/>
            <w:r>
              <w:rPr>
                <w:rFonts w:ascii="宋体" w:hAnsi="宋体" w:eastAsia="宋体"/>
                <w:b w:val="0"/>
                <w:sz w:val="18"/>
              </w:rPr>
              <w:t>修改文件头声明 3</w:t>
            </w:r>
          </w:p>
        </w:tc>
        <w:tc>
          <w:tcPr>
            <w:tcW w:type="dxa" w:w="2940"/>
          </w:tcPr>
          <w:p>
            <w:r/>
            <w:r>
              <w:rPr>
                <w:rFonts w:ascii="宋体" w:hAnsi="宋体" w:eastAsia="宋体"/>
                <w:b w:val="0"/>
                <w:sz w:val="18"/>
              </w:rPr>
              <w:t>spu_vendored/libspu/mpc/cheetah/arithmetic.cc</w:t>
            </w:r>
          </w:p>
        </w:tc>
        <w:tc>
          <w:tcPr>
            <w:tcW w:type="dxa" w:w="2940"/>
          </w:tcPr>
          <w:p>
            <w:r/>
            <w:r>
              <w:rPr>
                <w:rFonts w:ascii="宋体" w:hAnsi="宋体" w:eastAsia="宋体"/>
                <w:b w:val="0"/>
                <w:sz w:val="18"/>
              </w:rPr>
              <w:t>文件头含 TransShield local vendor notice</w:t>
            </w:r>
          </w:p>
        </w:tc>
      </w:tr>
      <w:tr>
        <w:tc>
          <w:tcPr>
            <w:tcW w:type="dxa" w:w="2940"/>
          </w:tcPr>
          <w:p>
            <w:r/>
            <w:r>
              <w:rPr>
                <w:rFonts w:ascii="宋体" w:hAnsi="宋体" w:eastAsia="宋体"/>
                <w:b w:val="0"/>
                <w:sz w:val="18"/>
              </w:rPr>
              <w:t>修改文件头声明 4</w:t>
            </w:r>
          </w:p>
        </w:tc>
        <w:tc>
          <w:tcPr>
            <w:tcW w:type="dxa" w:w="2940"/>
          </w:tcPr>
          <w:p>
            <w:r/>
            <w:r>
              <w:rPr>
                <w:rFonts w:ascii="宋体" w:hAnsi="宋体" w:eastAsia="宋体"/>
                <w:b w:val="0"/>
                <w:sz w:val="18"/>
              </w:rPr>
              <w:t>spu_vendored/libspu/mpc/cheetah/protocol.cc</w:t>
            </w:r>
          </w:p>
        </w:tc>
        <w:tc>
          <w:tcPr>
            <w:tcW w:type="dxa" w:w="2940"/>
          </w:tcPr>
          <w:p>
            <w:r/>
            <w:r>
              <w:rPr>
                <w:rFonts w:ascii="宋体" w:hAnsi="宋体" w:eastAsia="宋体"/>
                <w:b w:val="0"/>
                <w:sz w:val="18"/>
              </w:rPr>
              <w:t>文件头含 TransShield local vendor notice</w:t>
            </w:r>
          </w:p>
        </w:tc>
      </w:tr>
      <w:tr>
        <w:tc>
          <w:tcPr>
            <w:tcW w:type="dxa" w:w="2940"/>
          </w:tcPr>
          <w:p>
            <w:r/>
            <w:r>
              <w:rPr>
                <w:rFonts w:ascii="宋体" w:hAnsi="宋体" w:eastAsia="宋体"/>
                <w:b w:val="0"/>
                <w:sz w:val="18"/>
              </w:rPr>
              <w:t>第三方来源总表</w:t>
            </w:r>
          </w:p>
        </w:tc>
        <w:tc>
          <w:tcPr>
            <w:tcW w:type="dxa" w:w="2940"/>
          </w:tcPr>
          <w:p>
            <w:r/>
            <w:r>
              <w:rPr>
                <w:rFonts w:ascii="宋体" w:hAnsi="宋体" w:eastAsia="宋体"/>
                <w:b w:val="0"/>
                <w:sz w:val="18"/>
              </w:rPr>
              <w:t>THIRD_PARTY.md</w:t>
            </w:r>
          </w:p>
        </w:tc>
        <w:tc>
          <w:tcPr>
            <w:tcW w:type="dxa" w:w="2940"/>
          </w:tcPr>
          <w:p>
            <w:r/>
            <w:r>
              <w:rPr>
                <w:rFonts w:ascii="宋体" w:hAnsi="宋体" w:eastAsia="宋体"/>
                <w:b w:val="0"/>
                <w:sz w:val="18"/>
              </w:rPr>
              <w:t>已保留 DynamicViT / OpenBumbleBee 来源与许可证映射</w:t>
            </w:r>
          </w:p>
        </w:tc>
      </w:tr>
    </w:tbl>
    <w:p>
      <w:pPr>
        <w:spacing w:line="360" w:lineRule="auto"/>
        <w:ind w:firstLine="480"/>
      </w:pPr>
      <w:r>
        <w:rPr>
          <w:rFonts w:ascii="宋体" w:hAnsi="宋体" w:eastAsia="宋体"/>
          <w:b w:val="0"/>
          <w:sz w:val="24"/>
        </w:rPr>
        <w:t>本作品的安全计算底座基于 SecretFlow SPU，当前已核对上游分发许可为 Apache License 2.0。当前核对到的上游分发物保留了许可证文件（LICENSE），未发现独立的 NOTICE 分发文件，因此交付物按事实保留许可证文本和本地修改说明，不虚构并不存在的附加分发项。本作品不对上游 SPU、OpenBumbleBee 与相关协议实现本体主张排他性知识产权。</w:t>
      </w:r>
    </w:p>
    <w:p>
      <w:pPr>
        <w:spacing w:line="360" w:lineRule="auto"/>
        <w:ind w:firstLine="480"/>
      </w:pPr>
      <w:r>
        <w:rPr>
          <w:rFonts w:ascii="宋体" w:hAnsi="宋体" w:eastAsia="宋体"/>
          <w:b w:val="0"/>
          <w:sz w:val="24"/>
        </w:rPr>
        <w:t>本作品的原创贡献主要集中在动态控制流映射策略、浏览器工作线程控制面、服务端权威快检、前后端审计链闭环、演示程序集成以及报告与图件生成链。当前交付物公开代码、图件、报告与运行脚本；涉及完整模型权重和数据集的部分，按授权边界与来源限制单独管理，不在公开仓库中默认再分发。</w:t>
      </w:r>
    </w:p>
    <w:p>
      <w:pPr>
        <w:pStyle w:val="2"/>
        <w:ind w:firstLine="0"/>
        <w:jc w:val="center"/>
      </w:pPr>
      <w:r>
        <w:rPr>
          <w:rFonts w:ascii="黑体" w:hAnsi="黑体" w:eastAsia="黑体"/>
          <w:b/>
          <w:sz w:val="44"/>
        </w:rPr>
        <w:t>参考文献</w:t>
      </w:r>
    </w:p>
    <w:p>
      <w:pPr>
        <w:spacing w:line="288"/>
        <w:ind w:left="360" w:hanging="360"/>
      </w:pPr>
      <w:r>
        <w:rPr>
          <w:rFonts w:ascii="宋体" w:hAnsi="宋体" w:eastAsia="宋体"/>
          <w:b w:val="0"/>
          <w:sz w:val="21"/>
        </w:rPr>
        <w:t>[1] Dosovitskiy A, Beyer L, Kolesnikov A, et al. An Image is Worth 16x16 Words: Transformers for Image Recognition at Scale[C]//International Conference on Learning Representations (ICLR). 2021.</w:t>
      </w:r>
    </w:p>
    <w:p>
      <w:pPr>
        <w:spacing w:line="288"/>
        <w:ind w:left="360" w:hanging="360"/>
      </w:pPr>
      <w:r>
        <w:rPr>
          <w:rFonts w:ascii="宋体" w:hAnsi="宋体" w:eastAsia="宋体"/>
          <w:b w:val="0"/>
          <w:sz w:val="21"/>
        </w:rPr>
        <w:t>[2] Rao Y, et al. DynamicViT: Efficient Vision Transformers with Dynamic Token Sparsification[C]//Advances in Neural Information Processing Systems (NeurIPS). 2021.</w:t>
      </w:r>
    </w:p>
    <w:p>
      <w:pPr>
        <w:spacing w:line="288"/>
        <w:ind w:left="360" w:hanging="360"/>
      </w:pPr>
      <w:r>
        <w:rPr>
          <w:rFonts w:ascii="宋体" w:hAnsi="宋体" w:eastAsia="宋体"/>
          <w:b w:val="0"/>
          <w:sz w:val="21"/>
        </w:rPr>
        <w:t>[3] Zeng W, et al. MPCViT: Searching for Accurate and Efficient MPC-Friendly Vision Transformer with Heterogeneous Attention[C]//Proceedings of the IEEE/CVF International Conference on Computer Vision (ICCV). 2023.</w:t>
      </w:r>
    </w:p>
    <w:p>
      <w:pPr>
        <w:spacing w:line="288"/>
        <w:ind w:left="360" w:hanging="360"/>
      </w:pPr>
      <w:r>
        <w:rPr>
          <w:rFonts w:ascii="宋体" w:hAnsi="宋体" w:eastAsia="宋体"/>
          <w:b w:val="0"/>
          <w:sz w:val="21"/>
        </w:rPr>
        <w:t>[4] Touvron H, Cord M, Douze M, Massa F, Sablayrolles A, Jégou H. Training data-efficient image transformers &amp; distillation through attention[C]//Proceedings of the 38th International Conference on Machine Learning (ICML). 2021.</w:t>
      </w:r>
    </w:p>
    <w:p>
      <w:pPr>
        <w:spacing w:line="288"/>
        <w:ind w:left="360" w:hanging="360"/>
      </w:pPr>
      <w:r>
        <w:rPr>
          <w:rFonts w:ascii="宋体" w:hAnsi="宋体" w:eastAsia="宋体"/>
          <w:b w:val="0"/>
          <w:sz w:val="21"/>
        </w:rPr>
        <w:t>[5] Huang G, Liu Z, van der Maaten L, Weinberger K Q. Densely Connected Convolutional Networks[C]//Proceedings of the IEEE Conference on Computer Vision and Pattern Recognition (CVPR). 2017.</w:t>
      </w:r>
    </w:p>
    <w:p>
      <w:pPr>
        <w:spacing w:line="288"/>
        <w:ind w:left="360" w:hanging="360"/>
      </w:pPr>
      <w:r>
        <w:rPr>
          <w:rFonts w:ascii="宋体" w:hAnsi="宋体" w:eastAsia="宋体"/>
          <w:b w:val="0"/>
          <w:sz w:val="21"/>
        </w:rPr>
        <w:t>[6] Ma J, et al. SecretFlow-SPU: A Performant and User-Friendly Framework for Privacy-Preserving Machine Learning[C]//USENIX Annual Technical Conference (USENIX ATC). 2023.</w:t>
      </w:r>
    </w:p>
    <w:p>
      <w:pPr>
        <w:spacing w:line="288"/>
        <w:ind w:left="360" w:hanging="360"/>
      </w:pPr>
      <w:r>
        <w:rPr>
          <w:rFonts w:ascii="宋体" w:hAnsi="宋体" w:eastAsia="宋体"/>
          <w:b w:val="0"/>
          <w:sz w:val="21"/>
        </w:rPr>
        <w:t>[7] Lu W, et al. BumbleBee: Secure Two-party Inference Framework for Large Transformers[C]//Network and Distributed System Security Symposium (NDSS). 2025.</w:t>
      </w:r>
    </w:p>
    <w:p>
      <w:pPr>
        <w:spacing w:line="288"/>
        <w:ind w:left="360" w:hanging="360"/>
      </w:pPr>
      <w:r>
        <w:rPr>
          <w:rFonts w:ascii="宋体" w:hAnsi="宋体" w:eastAsia="宋体"/>
          <w:b w:val="0"/>
          <w:sz w:val="21"/>
        </w:rPr>
        <w:t>[8] Batcher K E. Sorting Networks and Their Applications[C]//Proceedings of the AFIPS Spring Joint Computer Conference. 1968: 307-314.</w:t>
      </w:r>
    </w:p>
    <w:p>
      <w:pPr>
        <w:spacing w:line="288"/>
        <w:ind w:left="360" w:hanging="360"/>
      </w:pPr>
      <w:r>
        <w:rPr>
          <w:rFonts w:ascii="宋体" w:hAnsi="宋体" w:eastAsia="宋体"/>
          <w:b w:val="0"/>
          <w:sz w:val="21"/>
        </w:rPr>
        <w:t>[9] Yao A C. Protocols for Secure Computations[C]//23rd Annual Symposium on Foundations of Computer Science (FOCS). 1982: 160-164.</w:t>
      </w:r>
    </w:p>
    <w:p>
      <w:pPr>
        <w:spacing w:line="288"/>
        <w:ind w:left="360" w:hanging="360"/>
      </w:pPr>
      <w:r>
        <w:rPr>
          <w:rFonts w:ascii="宋体" w:hAnsi="宋体" w:eastAsia="宋体"/>
          <w:b w:val="0"/>
          <w:sz w:val="21"/>
        </w:rPr>
        <w:t>[10] Masinter L. Returning Values from Forms: multipart/form-data[S]. RFC 7578. IETF, 2015.</w:t>
      </w:r>
    </w:p>
    <w:p>
      <w:pPr>
        <w:spacing w:line="288"/>
        <w:ind w:left="360" w:hanging="360"/>
      </w:pPr>
      <w:r>
        <w:rPr>
          <w:rFonts w:ascii="宋体" w:hAnsi="宋体" w:eastAsia="宋体"/>
          <w:b w:val="0"/>
          <w:sz w:val="21"/>
        </w:rPr>
        <w:t>[11] National Institute of Standards and Technology. Secure Hash Standard (SHS)[S]. FIPS PUB 180-4. Gaithersburg, MD: NIST, 2015.</w:t>
      </w:r>
    </w:p>
    <w:p>
      <w:pPr>
        <w:spacing w:line="288"/>
        <w:ind w:left="360" w:hanging="360"/>
      </w:pPr>
      <w:r>
        <w:rPr>
          <w:rFonts w:ascii="宋体" w:hAnsi="宋体" w:eastAsia="宋体"/>
          <w:b w:val="0"/>
          <w:sz w:val="21"/>
        </w:rPr>
        <w:t>[12] WHATWG. HTML Living Standard: Web Workers[EB/OL]. https://html.spec.whatwg.org/dev/workers.html, 2026-05-20.</w:t>
      </w:r>
    </w:p>
    <w:p>
      <w:pPr>
        <w:pStyle w:val="2"/>
        <w:ind w:firstLine="0"/>
        <w:jc w:val="center"/>
      </w:pPr>
      <w:r>
        <w:rPr>
          <w:rFonts w:ascii="黑体" w:hAnsi="黑体" w:eastAsia="黑体"/>
          <w:b/>
          <w:sz w:val="44"/>
        </w:rPr>
        <w:t>附录A 关键代码实现</w:t>
      </w:r>
    </w:p>
    <w:p>
      <w:pPr>
        <w:spacing w:line="360" w:lineRule="auto"/>
        <w:ind w:firstLine="0"/>
      </w:pPr>
      <w:r>
        <w:rPr>
          <w:rFonts w:ascii="宋体" w:hAnsi="宋体" w:eastAsia="宋体"/>
          <w:b w:val="0"/>
          <w:sz w:val="24"/>
        </w:rPr>
        <w:t>本附录不再罗列完整源文件，而是按“公式—机制—证据”对应关系摘录最能代表系统实现要点的局部代码，用于说明浏览器端 little-endian share 序列化、SPU 内部安全排序与 keep-mask 构造、结构化元数据长度门以及黑盒 fuzz 用例构造等核心实现。</w:t>
      </w:r>
    </w:p>
    <w:p>
      <w:pPr>
        <w:spacing w:line="360" w:lineRule="auto"/>
        <w:ind w:firstLine="0"/>
      </w:pPr>
      <w:r>
        <w:rPr>
          <w:rFonts w:ascii="黑体" w:hAnsi="黑体" w:eastAsia="黑体"/>
          <w:b/>
          <w:sz w:val="24"/>
        </w:rPr>
        <w:t>A.1 浏览器 Worker 中的 little-endian share 序列化</w:t>
      </w:r>
    </w:p>
    <w:p>
      <w:pPr>
        <w:spacing w:line="360" w:lineRule="auto"/>
        <w:ind w:firstLine="0"/>
      </w:pPr>
      <w:r>
        <w:rPr>
          <w:rFonts w:ascii="宋体" w:hAnsi="宋体" w:eastAsia="宋体"/>
          <w:b w:val="0"/>
          <w:sz w:val="24"/>
        </w:rPr>
        <w:t>代码位置：web_demo/control_plane_worker.js:142</w:t>
      </w:r>
    </w:p>
    <w:p>
      <w:pPr>
        <w:spacing w:line="360" w:lineRule="auto"/>
        <w:ind w:firstLine="480"/>
      </w:pPr>
      <w:r>
        <w:rPr>
          <w:rFonts w:ascii="宋体" w:hAnsi="宋体" w:eastAsia="宋体"/>
          <w:b w:val="0"/>
          <w:sz w:val="24"/>
        </w:rPr>
        <w:t>该段代码展示了浏览器 Worker 如何显式使用 little-endian 方式写入 Float32 share，避免异构环境的字节序歧义。</w:t>
      </w:r>
    </w:p>
    <w:p>
      <w:pPr>
        <w:spacing w:line="360" w:lineRule="auto"/>
        <w:ind w:firstLine="0"/>
      </w:pPr>
      <w:r>
        <w:rPr>
          <w:rFonts w:ascii="宋体" w:hAnsi="宋体" w:eastAsia="宋体"/>
          <w:b w:val="0"/>
          <w:sz w:val="24"/>
        </w:rPr>
        <w:t>以下仅保留与正文论证直接相关的关键代码节选，已省略无关分支、重复检查与通用异常处理。</w:t>
      </w:r>
    </w:p>
    <w:p>
      <w:pPr>
        <w:spacing w:line="259" w:before="20" w:after="80"/>
        <w:ind w:firstLine="0" w:left="317"/>
      </w:pPr>
      <w:r>
        <w:rPr>
          <w:rFonts w:ascii="Consolas" w:hAnsi="Consolas" w:eastAsia="Consolas"/>
          <w:b w:val="0"/>
          <w:sz w:val="16"/>
        </w:rPr>
        <w:t>function packFloat32LE(values) {</w:t>
        <w:br/>
        <w:t xml:space="preserve">  const bytes = new Uint8Array(values.length * 4);</w:t>
        <w:br/>
        <w:t xml:space="preserve">  const view = new DataView(bytes.buffer);</w:t>
        <w:br/>
        <w:t xml:space="preserve">  for (let index = 0; index &lt; values.length; index += 1) {</w:t>
        <w:br/>
        <w:t xml:space="preserve">    const value = values[index];</w:t>
        <w:br/>
        <w:t xml:space="preserve">    if (!Number.isFinite(value)) throw new Error(`Non-finite float at ${index}`);</w:t>
        <w:br/>
        <w:t xml:space="preserve">    view.setFloat32(index * 4, Math.fround(value), true);</w:t>
        <w:br/>
        <w:t xml:space="preserve">  }</w:t>
        <w:br/>
        <w:t xml:space="preserve">  return bytes;</w:t>
        <w:br/>
        <w:t>}</w:t>
      </w:r>
    </w:p>
    <w:p>
      <w:pPr>
        <w:spacing w:line="360" w:lineRule="auto"/>
        <w:ind w:firstLine="0"/>
      </w:pPr>
      <w:r>
        <w:rPr>
          <w:rFonts w:ascii="黑体" w:hAnsi="黑体" w:eastAsia="黑体"/>
          <w:b/>
          <w:sz w:val="24"/>
        </w:rPr>
        <w:t>A.2 安全选择与双调排序的核心 SPU 实现</w:t>
      </w:r>
    </w:p>
    <w:p>
      <w:pPr>
        <w:spacing w:line="360" w:lineRule="auto"/>
        <w:ind w:firstLine="0"/>
      </w:pPr>
      <w:r>
        <w:rPr>
          <w:rFonts w:ascii="宋体" w:hAnsi="宋体" w:eastAsia="宋体"/>
          <w:b w:val="0"/>
          <w:sz w:val="24"/>
        </w:rPr>
        <w:t>代码位置：integrations/openbumblebee/e2e_secure_vit/spu_static_vit.py:639</w:t>
      </w:r>
    </w:p>
    <w:p>
      <w:pPr>
        <w:spacing w:line="360" w:lineRule="auto"/>
        <w:ind w:firstLine="480"/>
      </w:pPr>
      <w:r>
        <w:rPr>
          <w:rFonts w:ascii="宋体" w:hAnsi="宋体" w:eastAsia="宋体"/>
          <w:b w:val="0"/>
          <w:sz w:val="24"/>
        </w:rPr>
        <w:t>该段代码展示了 JAX/SPU 路径如何通过编码键、按索引跟踪的双调排序和向量化 keep-mask 构造，稳定处理安全 Top-K 与并列分数决断问题。</w:t>
      </w:r>
    </w:p>
    <w:p>
      <w:pPr>
        <w:spacing w:line="360" w:lineRule="auto"/>
        <w:ind w:firstLine="0"/>
      </w:pPr>
      <w:r>
        <w:rPr>
          <w:rFonts w:ascii="宋体" w:hAnsi="宋体" w:eastAsia="宋体"/>
          <w:b w:val="0"/>
          <w:sz w:val="24"/>
        </w:rPr>
        <w:t>以下仅保留与正文论证直接相关的关键代码节选，已省略无关分支、重复检查与通用异常处理。</w:t>
      </w:r>
    </w:p>
    <w:p>
      <w:pPr>
        <w:spacing w:line="259" w:before="20" w:after="80"/>
        <w:ind w:firstLine="0" w:left="317"/>
      </w:pPr>
      <w:r>
        <w:rPr>
          <w:rFonts w:ascii="Consolas" w:hAnsi="Consolas" w:eastAsia="Consolas"/>
          <w:b w:val="0"/>
          <w:sz w:val="16"/>
        </w:rPr>
        <w:t>def _bitonic_sort_desc_with_indices(values):</w:t>
        <w:br/>
        <w:t xml:space="preserve">    indices = jnp.broadcast_to(jnp.arange(N, dtype=jnp.int32), values.shape)</w:t>
        <w:br/>
        <w:t xml:space="preserve">    ...</w:t>
        <w:br/>
        <w:t xml:space="preserve">    left_index = jnp.where(is_left, p_arr, p_partner)</w:t>
        <w:br/>
        <w:t xml:space="preserve">    is_desc = (left_index &amp; k) == 0</w:t>
        <w:br/>
        <w:t xml:space="preserve">    ...</w:t>
        <w:br/>
        <w:t xml:space="preserve">    indices = jnp.where(has_partner, new_idx, indices)</w:t>
        <w:br/>
        <w:t xml:space="preserve">    return x, indices</w:t>
        <w:br/>
        <w:br/>
        <w:t>def _secure_build_keep_decision(score, prev_decision_2d, keep_count):</w:t>
        <w:br/>
        <w:t xml:space="preserve">    active_before = prev_decision_2d.squeeze(-1) &gt; 0</w:t>
        <w:br/>
        <w:t xml:space="preserve">    encoded_key = score - jnp.arange(N, dtype=score.dtype) * 1e-6</w:t>
        <w:br/>
        <w:t xml:space="preserve">    encoded_masked = jnp.where(active_before, encoded_key, float('-inf'))</w:t>
        <w:br/>
        <w:t xml:space="preserve">    ...</w:t>
        <w:br/>
        <w:t xml:space="preserve">    sorted_keys, sorted_indices = _bitonic_sort_desc_with_indices(sortable)</w:t>
        <w:br/>
        <w:t xml:space="preserve">    top_k_indices = sorted_indices[:, :keep_count]</w:t>
        <w:br/>
        <w:t xml:space="preserve">    keep_mask = jnp.any(top_k_indices[:, :, None] == pos[None, None, :], axis=1)</w:t>
        <w:br/>
        <w:t xml:space="preserve">    return (keep_mask[:, :N] &amp; active_before)[:, :, None]</w:t>
      </w:r>
    </w:p>
    <w:p>
      <w:pPr>
        <w:spacing w:line="360" w:lineRule="auto"/>
        <w:ind w:firstLine="0"/>
      </w:pPr>
      <w:r>
        <w:rPr>
          <w:rFonts w:ascii="黑体" w:hAnsi="黑体" w:eastAsia="黑体"/>
          <w:b/>
          <w:sz w:val="24"/>
        </w:rPr>
        <w:t>A.3 JSON 字节长度门与 strict json.loads 钩子</w:t>
      </w:r>
    </w:p>
    <w:p>
      <w:pPr>
        <w:spacing w:line="360" w:lineRule="auto"/>
        <w:ind w:firstLine="0"/>
      </w:pPr>
      <w:r>
        <w:rPr>
          <w:rFonts w:ascii="宋体" w:hAnsi="宋体" w:eastAsia="宋体"/>
          <w:b w:val="0"/>
          <w:sz w:val="24"/>
        </w:rPr>
        <w:t>代码位置：tools/transshield_chat_demo.py:2626</w:t>
      </w:r>
    </w:p>
    <w:p>
      <w:pPr>
        <w:spacing w:line="360" w:lineRule="auto"/>
        <w:ind w:firstLine="480"/>
      </w:pPr>
      <w:r>
        <w:rPr>
          <w:rFonts w:ascii="宋体" w:hAnsi="宋体" w:eastAsia="宋体"/>
          <w:b w:val="0"/>
          <w:sz w:val="24"/>
        </w:rPr>
        <w:t>该段代码展示了在 `json.loads` 前先执行字节长度门，并为整数、浮点和常量解析分别挂接严格钩子。</w:t>
      </w:r>
    </w:p>
    <w:p>
      <w:pPr>
        <w:spacing w:line="360" w:lineRule="auto"/>
        <w:ind w:firstLine="0"/>
      </w:pPr>
      <w:r>
        <w:rPr>
          <w:rFonts w:ascii="宋体" w:hAnsi="宋体" w:eastAsia="宋体"/>
          <w:b w:val="0"/>
          <w:sz w:val="24"/>
        </w:rPr>
        <w:t>以下仅保留与正文论证直接相关的关键代码节选，已省略无关分支、重复检查与通用异常处理。</w:t>
      </w:r>
    </w:p>
    <w:p>
      <w:pPr>
        <w:spacing w:line="259" w:before="20" w:after="80"/>
        <w:ind w:firstLine="0" w:left="317"/>
      </w:pPr>
      <w:r>
        <w:rPr>
          <w:rFonts w:ascii="Consolas" w:hAnsi="Consolas" w:eastAsia="Consolas"/>
          <w:b w:val="0"/>
          <w:sz w:val="16"/>
        </w:rPr>
        <w:t>def _load_json_part(self, raw_body: bytes, part: RawPart):</w:t>
        <w:br/>
        <w:t xml:space="preserve">    part_view = memoryview(raw_body)[part.body_start:part.body_end]</w:t>
        <w:br/>
        <w:t xml:space="preserve">    body_len = len(part_view)</w:t>
        <w:br/>
        <w:t xml:space="preserve">    if body_len &gt; JSON_PART_MAX_BYTES:</w:t>
        <w:br/>
        <w:t xml:space="preserve">        raise ValueError('json part exceeds global size limit')</w:t>
        <w:br/>
        <w:t xml:space="preserve">    field_limit = {...}.get(part.name, JSON_PART_MAX_BYTES)</w:t>
        <w:br/>
        <w:t xml:space="preserve">    if body_len &gt; field_limit:</w:t>
        <w:br/>
        <w:t xml:space="preserve">        raise ValueError(f'{part.name} exceeds field size limit')</w:t>
        <w:br/>
        <w:t xml:space="preserve">    decoded = bytes(part_view).decode('utf-8', 'strict')</w:t>
        <w:br/>
        <w:t xml:space="preserve">    return json.loads(decoded, parse_int=strict_json_int,</w:t>
        <w:br/>
        <w:t xml:space="preserve">                      parse_float=strict_json_float,</w:t>
        <w:br/>
        <w:t xml:space="preserve">                      parse_constant=strict_json_constant)</w:t>
      </w:r>
    </w:p>
    <w:p>
      <w:pPr>
        <w:spacing w:line="360" w:lineRule="auto"/>
        <w:ind w:firstLine="0"/>
      </w:pPr>
      <w:r>
        <w:rPr>
          <w:rFonts w:ascii="黑体" w:hAnsi="黑体" w:eastAsia="黑体"/>
          <w:b/>
          <w:sz w:val="24"/>
        </w:rPr>
        <w:t>A.4 协议层异常输入黑盒验证样例</w:t>
      </w:r>
    </w:p>
    <w:p>
      <w:pPr>
        <w:spacing w:line="360" w:lineRule="auto"/>
        <w:ind w:firstLine="0"/>
      </w:pPr>
      <w:r>
        <w:rPr>
          <w:rFonts w:ascii="宋体" w:hAnsi="宋体" w:eastAsia="宋体"/>
          <w:b w:val="0"/>
          <w:sz w:val="24"/>
        </w:rPr>
        <w:t>代码位置：tools/web_demo_protocol_fuzz.py:308</w:t>
      </w:r>
    </w:p>
    <w:p>
      <w:pPr>
        <w:spacing w:line="360" w:lineRule="auto"/>
        <w:ind w:firstLine="480"/>
      </w:pPr>
      <w:r>
        <w:rPr>
          <w:rFonts w:ascii="宋体" w:hAnsi="宋体" w:eastAsia="宋体"/>
          <w:b w:val="0"/>
          <w:sz w:val="24"/>
        </w:rPr>
        <w:t>该段代码展示了针对 multipart header 空字节注入的黑盒测试用例，以及脚本对拦截层级和资源状态的记录方式。</w:t>
      </w:r>
    </w:p>
    <w:p>
      <w:pPr>
        <w:spacing w:line="360" w:lineRule="auto"/>
        <w:ind w:firstLine="0"/>
      </w:pPr>
      <w:r>
        <w:rPr>
          <w:rFonts w:ascii="宋体" w:hAnsi="宋体" w:eastAsia="宋体"/>
          <w:b w:val="0"/>
          <w:sz w:val="24"/>
        </w:rPr>
        <w:t>以下仅保留与正文论证直接相关的关键代码节选，已省略无关分支、重复检查与通用异常处理。</w:t>
      </w:r>
    </w:p>
    <w:p>
      <w:pPr>
        <w:spacing w:line="259" w:before="20" w:after="80"/>
        <w:ind w:firstLine="0" w:left="317"/>
      </w:pPr>
      <w:r>
        <w:rPr>
          <w:rFonts w:ascii="Consolas" w:hAnsi="Consolas" w:eastAsia="Consolas"/>
          <w:b w:val="0"/>
          <w:sz w:val="16"/>
        </w:rPr>
        <w:t>def case_header_null_byte(base_url: str, timeout: float, server_pid: int | None):</w:t>
        <w:br/>
        <w:t xml:space="preserve">    boundary = f'nullbyte-{uuid.uuid4().hex}'</w:t>
        <w:br/>
        <w:t xml:space="preserve">    header = (</w:t>
        <w:br/>
        <w:t xml:space="preserve">        b'Content-Disposition: form-data; '</w:t>
        <w:br/>
        <w:t xml:space="preserve">        b'name="domai\x00n"'</w:t>
        <w:br/>
        <w:t xml:space="preserve">    )</w:t>
        <w:br/>
        <w:t xml:space="preserve">    body = build_custom_body(boundary, header, b'medical')</w:t>
        <w:br/>
        <w:t xml:space="preserve">    raw = build_raw_multipart_request(</w:t>
        <w:br/>
        <w:t xml:space="preserve">        base_url, boundary_param=f'boundary={boundary}', body=body</w:t>
        <w:br/>
        <w:t xml:space="preserve">    )</w:t>
        <w:br/>
        <w:t xml:space="preserve">    return capture_case(</w:t>
        <w:br/>
        <w:t xml:space="preserve">        name='multipart_header_null_byte_blocked',</w:t>
        <w:br/>
        <w:t xml:space="preserve">        action=lambda: send_raw_http(base_url, raw, timeout),</w:t>
        <w:br/>
        <w:t xml:space="preserve">        interception_layer='multipart_header_parser',</w:t>
        <w:br/>
        <w:t xml:space="preserve">        fallback_layer='mime_tree_validation',</w:t>
        <w:br/>
        <w:t xml:space="preserve">    )</w:t>
      </w:r>
    </w:p>
    <w:sectPr>
      <w:pgSz w:w="11906" w:h="16838"/>
      <w:pgMar w:top="1440" w:right="1466" w:bottom="1440" w:left="16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EB5D">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2C04EB5E">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83AEB"/>
    <w:rsid w:val="002D2C68"/>
    <w:rsid w:val="003E28F4"/>
    <w:rsid w:val="004017A4"/>
    <w:rsid w:val="00404C1B"/>
    <w:rsid w:val="00424691"/>
    <w:rsid w:val="004C302D"/>
    <w:rsid w:val="004C3E11"/>
    <w:rsid w:val="005011AC"/>
    <w:rsid w:val="005706DD"/>
    <w:rsid w:val="00575B69"/>
    <w:rsid w:val="00594406"/>
    <w:rsid w:val="00626450"/>
    <w:rsid w:val="00676CF0"/>
    <w:rsid w:val="00685973"/>
    <w:rsid w:val="006D00F8"/>
    <w:rsid w:val="006E4B47"/>
    <w:rsid w:val="00735E04"/>
    <w:rsid w:val="007A0845"/>
    <w:rsid w:val="007E7F65"/>
    <w:rsid w:val="00804CF0"/>
    <w:rsid w:val="008233AA"/>
    <w:rsid w:val="00840819"/>
    <w:rsid w:val="00847112"/>
    <w:rsid w:val="0087039D"/>
    <w:rsid w:val="00882AD1"/>
    <w:rsid w:val="009A0979"/>
    <w:rsid w:val="009C1255"/>
    <w:rsid w:val="009F377B"/>
    <w:rsid w:val="00A247AB"/>
    <w:rsid w:val="00A77804"/>
    <w:rsid w:val="00B36150"/>
    <w:rsid w:val="00B4751C"/>
    <w:rsid w:val="00B62FE5"/>
    <w:rsid w:val="00B74C5D"/>
    <w:rsid w:val="00BB4589"/>
    <w:rsid w:val="00BD34E2"/>
    <w:rsid w:val="00BE16EA"/>
    <w:rsid w:val="00C56672"/>
    <w:rsid w:val="00CE5C25"/>
    <w:rsid w:val="00D570F5"/>
    <w:rsid w:val="00DC1EF7"/>
    <w:rsid w:val="00E47070"/>
    <w:rsid w:val="00E94B67"/>
    <w:rsid w:val="00EB12B1"/>
    <w:rsid w:val="00F72284"/>
    <w:rsid w:val="00F7709C"/>
    <w:rsid w:val="00F85321"/>
    <w:rsid w:val="00F913E8"/>
    <w:rsid w:val="11F76ABC"/>
    <w:rsid w:val="29D87370"/>
    <w:rsid w:val="343447A0"/>
    <w:rsid w:val="381A18D8"/>
    <w:rsid w:val="4A9A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lang w:val="zh-CN"/>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qFormat/>
    <w:uiPriority w:val="0"/>
    <w:pPr>
      <w:tabs>
        <w:tab w:val="center" w:pos="4153"/>
        <w:tab w:val="right" w:pos="8306"/>
      </w:tabs>
      <w:snapToGrid w:val="0"/>
      <w:jc w:val="left"/>
    </w:pPr>
    <w:rPr>
      <w:sz w:val="18"/>
      <w:szCs w:val="18"/>
      <w:lang w:val="zh-CN"/>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lang w:val="zh-CN"/>
    </w:rPr>
  </w:style>
  <w:style w:type="paragraph" w:styleId="5">
    <w:name w:val="toc 1"/>
    <w:basedOn w:val="1"/>
    <w:next w:val="1"/>
    <w:qFormat/>
    <w:uiPriority w:val="39"/>
    <w:rPr>
      <w:sz w:val="28"/>
    </w:rPr>
  </w:style>
  <w:style w:type="character" w:styleId="8">
    <w:name w:val="page number"/>
    <w:basedOn w:val="7"/>
    <w:qFormat/>
    <w:uiPriority w:val="0"/>
  </w:style>
  <w:style w:type="character" w:styleId="9">
    <w:name w:val="Hyperlink"/>
    <w:qFormat/>
    <w:uiPriority w:val="99"/>
    <w:rPr>
      <w:color w:val="000066"/>
      <w:u w:val="none"/>
    </w:rPr>
  </w:style>
  <w:style w:type="character" w:customStyle="1" w:styleId="10">
    <w:name w:val="页眉 字符"/>
    <w:link w:val="4"/>
    <w:qFormat/>
    <w:uiPriority w:val="0"/>
    <w:rPr>
      <w:kern w:val="2"/>
      <w:sz w:val="18"/>
      <w:szCs w:val="18"/>
    </w:rPr>
  </w:style>
  <w:style w:type="character" w:customStyle="1" w:styleId="11">
    <w:name w:val="页脚 字符"/>
    <w:link w:val="3"/>
    <w:qFormat/>
    <w:uiPriority w:val="0"/>
    <w:rPr>
      <w:kern w:val="2"/>
      <w:sz w:val="18"/>
      <w:szCs w:val="18"/>
    </w:rPr>
  </w:style>
  <w:style w:type="character" w:customStyle="1" w:styleId="12">
    <w:name w:val="标题 1 字符"/>
    <w:link w:val="2"/>
    <w:uiPriority w:val="0"/>
    <w:rPr>
      <w:b/>
      <w:bCs/>
      <w:kern w:val="44"/>
      <w:sz w:val="44"/>
      <w:szCs w:val="44"/>
    </w:rPr>
  </w:style>
  <w:style w:type="paragraph" w:customStyle="1" w:styleId="13">
    <w:name w:val="正文1"/>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EA83B-8138-47F9-9BC9-779B2DCA4A02}">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3138</Words>
  <Characters>3597</Characters>
  <Lines>9</Lines>
  <Paragraphs>2</Paragraphs>
  <TotalTime>7</TotalTime>
  <ScaleCrop>false</ScaleCrop>
  <LinksUpToDate>false</LinksUpToDate>
  <CharactersWithSpaces>3719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2024-04-05T12:59:00Z</dcterms:created>
  <dc:creator>lukeyoyo</dc:creator>
  <cp:lastModifiedBy>一把懒骨头</cp:lastModifiedBy>
  <dcterms:modified xsi:type="dcterms:W3CDTF">2026-05-21T10:12:15Z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F554248EBB504349A01BAC644687F4BA_12</vt:lpwstr>
  </property>
  <property fmtid="{D5CDD505-2E9C-101B-9397-08002B2CF9AE}" pid="4" name="KSOTemplateDocerSaveRecord">
    <vt:lpwstr>eyJoZGlkIjoiYjkyZmNhZmMwYTRkMzdjNDc0ZDBiODA4ZTNmNjg2YzYiLCJ1c2VySWQiOiIxMjY2MjgyODU3In0=</vt:lpwstr>
  </property>
</Properties>
</file>