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Transshield — 基于动态 Token 剪枝边界协议友好重写的医疗影像隐私推理系统</w:t>
      </w:r>
    </w:p>
    <w:p>
      <w:pPr>
        <w:jc w:val="center"/>
      </w:pPr>
      <w:r>
        <w:rPr>
          <w:b/>
          <w:sz w:val="28"/>
        </w:rPr>
        <w:t>2025 年全国大学生信息安全竞赛 作品报告</w:t>
      </w:r>
    </w:p>
    <w:p/>
    <w:p>
      <w:pPr>
        <w:pStyle w:val="Heading1"/>
      </w:pPr>
      <w:r>
        <w:t>Transshield — 基于动态 Token 剪枝边界协议友好重写的医疗影像隐私推理系统</w:t>
      </w:r>
    </w:p>
    <w:p>
      <w:r>
        <w:t>&gt; 2025 年全国大学生信息安全竞赛 作品报告</w:t>
      </w:r>
    </w:p>
    <w:p>
      <w:r>
        <w:t>最后更新：2026-05-14</w:t>
      </w:r>
    </w:p>
    <w:p>
      <w:r>
        <w:t>---</w:t>
      </w:r>
    </w:p>
    <w:p>
      <w:pPr>
        <w:pStyle w:val="Heading2"/>
      </w:pPr>
      <w:r>
        <w:t>摘要</w:t>
      </w:r>
    </w:p>
    <w:p>
      <w:r>
        <w:t>医疗影像 AI 辅助诊断正加速走向临床，但影像数据与模型参数的</w:t>
      </w:r>
      <w:r>
        <w:rPr>
          <w:b/>
        </w:rPr>
        <w:t>双向隐私保护</w:t>
      </w:r>
      <w:r>
        <w:t>始终是规模化部署的核心瓶颈。传统方案要求患者影像明文上传、服务器模型参数可被客户端窥探，无法满足《数据安全法》《个人信息保护法》的合规要求。安全多方计算（MPC）提供了理论基础，但现有方案面对动态 Token 剪枝的 Vision Transformer 时，面临动态形状、条件分支信息泄漏等工程难题。</w:t>
      </w:r>
    </w:p>
    <w:p>
      <w:r/>
      <w:r>
        <w:rPr>
          <w:b/>
        </w:rPr>
        <w:t>Transshield</w:t>
      </w:r>
      <w:r>
        <w:t xml:space="preserve"> 提出了面向 MPC 的动态 Token 剪枝边界协议友好重写方法。核心创新在于将 DynamicViT 的 pruning 决策边界从"直接删除 Token"的动态表达重写为"masking + 安全比较"的静态表达：Token 掩码操作映射为 MPC 友好的 F_mux，阈值比较映射为 F_less，token 选择映射为 encoded-key bitonic sort。PredictorLG 在 SPU 内部完整执行——从 Token 打分、kth 阈值计算到 keep mask 生成，全部在密文状态下完成，客户端不需要任何模型参数，服务器不需要明文影像。</w:t>
      </w:r>
    </w:p>
    <w:p>
      <w:r>
        <w:t>实验结果表明：</w:t>
      </w:r>
    </w:p>
    <w:p>
      <w:r>
        <w:t xml:space="preserve">- </w:t>
      </w:r>
      <w:r>
        <w:rPr>
          <w:b/>
        </w:rPr>
        <w:t>精度</w:t>
      </w:r>
      <w:r>
        <w:t>：threshold accuracy 91.98%，AUC 0.9679；E2E 安全推理 heldout238 准确率 92.44%</w:t>
      </w:r>
    </w:p>
    <w:p>
      <w:r>
        <w:t xml:space="preserve">- </w:t>
      </w:r>
      <w:r>
        <w:rPr>
          <w:b/>
        </w:rPr>
        <w:t>效率</w:t>
      </w:r>
      <w:r>
        <w:t>：Secure Pruning 模式每样本 100.5 秒（较 baseline 213.9 秒加速 2.13 倍）；runtime 复用模式约 21 秒/样本</w:t>
      </w:r>
    </w:p>
    <w:p>
      <w:r>
        <w:t xml:space="preserve">- </w:t>
      </w:r>
      <w:r>
        <w:rPr>
          <w:b/>
        </w:rPr>
        <w:t>隐私</w:t>
      </w:r>
      <w:r>
        <w:t>：双向隐私边界完整成立，15 项交付验收全部通过</w:t>
      </w:r>
    </w:p>
    <w:p>
      <w:r>
        <w:t>本作品适用于医院间联合诊断、患者远程安全问诊、多方医疗数据协作等场景，为医疗影像 AI 的隐私安全部署提供了一条可落地的技术路径。为进一步验证方法的通用性，本作品在金融领域（信用卡欺诈检测）上进行了跨域验证，SPU 安全推理 argmax_match_ratio = 1.0，双向隐私边界完整成立（host_plaintext_pixel_values_materialized=false, spu_params_mode=secret），证明 Transshield 已从"医疗影像隐私推理系统"升级为通用隐私保护推理框架。</w:t>
      </w:r>
    </w:p>
    <w:p>
      <w:r>
        <w:t>---</w:t>
      </w:r>
    </w:p>
    <w:p>
      <w:pPr>
        <w:pStyle w:val="Heading2"/>
      </w:pPr>
      <w:r>
        <w:t>第一章 作品概述</w:t>
      </w:r>
    </w:p>
    <w:p>
      <w:pPr>
        <w:pStyle w:val="Heading3"/>
      </w:pPr>
      <w:r>
        <w:t>1.1 背景分析</w:t>
      </w:r>
    </w:p>
    <w:p>
      <w:r>
        <w:t>随着深度学习在医疗影像分析领域的快速发展，基于 Vision Transformer 的模型在胸部 X 光片分类等任务上取得了显著成果。然而，医疗影像数据的敏感性使得其在跨机构协作场景下的使用受到严格限制。</w:t>
      </w:r>
    </w:p>
    <w:p>
      <w:r>
        <w:t>一个理想的医疗影像 AI 推理系统应同时满足：</w:t>
      </w:r>
    </w:p>
    <w:p>
      <w:r>
        <w:t xml:space="preserve">1. </w:t>
      </w:r>
      <w:r>
        <w:rPr>
          <w:b/>
        </w:rPr>
        <w:t>患者影像数据不以明文暴露给服务器</w:t>
      </w:r>
      <w:r/>
    </w:p>
    <w:p>
      <w:r>
        <w:t xml:space="preserve">2. </w:t>
      </w:r>
      <w:r>
        <w:rPr>
          <w:b/>
        </w:rPr>
        <w:t>服务器模型参数不以明文暴露给客户端</w:t>
      </w:r>
      <w:r/>
    </w:p>
    <w:p>
      <w:r>
        <w:t>这种</w:t>
      </w:r>
      <w:r>
        <w:rPr>
          <w:b/>
        </w:rPr>
        <w:t>双向隐私</w:t>
      </w:r>
      <w:r>
        <w:t>需求是医疗 AI 规模化部署的核心技术瓶颈。</w:t>
      </w:r>
    </w:p>
    <w:p>
      <w:pPr>
        <w:pStyle w:val="Heading3"/>
      </w:pPr>
      <w:r>
        <w:t>1.2 相关工作</w:t>
      </w:r>
    </w:p>
    <w:p>
      <w:pPr/>
      <w:r>
        <w:rPr>
          <w:rFonts w:ascii="Courier New" w:hAnsi="Courier New"/>
          <w:sz w:val="20"/>
        </w:rPr>
        <w:t>| 方法 | 架构 | 动态剪枝 | 双向隐私 |</w:t>
      </w:r>
    </w:p>
    <w:p>
      <w:pPr/>
      <w:r>
        <w:rPr>
          <w:rFonts w:ascii="Courier New" w:hAnsi="Courier New"/>
          <w:sz w:val="20"/>
        </w:rPr>
        <w:t>|---|---|---|---|</w:t>
      </w:r>
    </w:p>
    <w:p>
      <w:pPr/>
      <w:r>
        <w:rPr>
          <w:rFonts w:ascii="Courier New" w:hAnsi="Courier New"/>
          <w:sz w:val="20"/>
        </w:rPr>
        <w:t>| CrypTFlow2 [4] | CNN | ✗ | ✗ |</w:t>
      </w:r>
    </w:p>
    <w:p>
      <w:pPr/>
      <w:r>
        <w:rPr>
          <w:rFonts w:ascii="Courier New" w:hAnsi="Courier New"/>
          <w:sz w:val="20"/>
        </w:rPr>
        <w:t>| MPCViT [3] | ViT（静态） | ✗ | ✗ |</w:t>
      </w:r>
    </w:p>
    <w:p>
      <w:pPr/>
      <w:r>
        <w:rPr>
          <w:rFonts w:ascii="Courier New" w:hAnsi="Courier New"/>
          <w:sz w:val="20"/>
        </w:rPr>
        <w:t>| DynamicViT [2] | ViT（动态） | ✓ | ✗ |</w:t>
      </w:r>
    </w:p>
    <w:p>
      <w:r>
        <w:t xml:space="preserve">| </w:t>
      </w:r>
      <w:r>
        <w:rPr>
          <w:b/>
        </w:rPr>
        <w:t>Transshield</w:t>
      </w:r>
      <w:r>
        <w:t xml:space="preserve"> | </w:t>
      </w:r>
      <w:r>
        <w:rPr>
          <w:b/>
        </w:rPr>
        <w:t>ViT（动态）</w:t>
      </w:r>
      <w:r>
        <w:t xml:space="preserve"> | </w:t>
      </w:r>
      <w:r>
        <w:rPr>
          <w:b/>
        </w:rPr>
        <w:t>✓</w:t>
      </w:r>
      <w:r>
        <w:t xml:space="preserve"> | </w:t>
      </w:r>
      <w:r>
        <w:rPr>
          <w:b/>
        </w:rPr>
        <w:t>✓</w:t>
      </w:r>
      <w:r>
        <w:t xml:space="preserve"> |</w:t>
      </w:r>
    </w:p>
    <w:p>
      <w:r>
        <w:t xml:space="preserve">- </w:t>
      </w:r>
      <w:r>
        <w:rPr>
          <w:b/>
        </w:rPr>
        <w:t>CrypTFlow2</w:t>
      </w:r>
      <w:r>
        <w:t>：在 CNN 上实现高效 2PC 推理，未涉及 ViT</w:t>
      </w:r>
    </w:p>
    <w:p>
      <w:r>
        <w:t xml:space="preserve">- </w:t>
      </w:r>
      <w:r>
        <w:rPr>
          <w:b/>
        </w:rPr>
        <w:t>MPCViT</w:t>
      </w:r>
      <w:r>
        <w:t>：首次将 MPC 推理扩展到 ViT，但使用静态模型，无动态剪枝</w:t>
      </w:r>
    </w:p>
    <w:p>
      <w:r>
        <w:t xml:space="preserve">- </w:t>
      </w:r>
      <w:r>
        <w:rPr>
          <w:b/>
        </w:rPr>
        <w:t>DynamicViT</w:t>
      </w:r>
      <w:r>
        <w:t>：通过可学习 Token 剪枝器减少计算量，但剪枝操作依赖动态形状和条件分支，在 MPC 环境下产生信息泄漏</w:t>
      </w:r>
    </w:p>
    <w:p>
      <w:r>
        <w:t xml:space="preserve">- </w:t>
      </w:r>
      <w:r>
        <w:rPr>
          <w:b/>
        </w:rPr>
        <w:t>现有工作未解决</w:t>
      </w:r>
      <w:r>
        <w:t>：如何在 MPC 环境中完整保留 DynamicViT 的动态剪枝语义</w:t>
      </w:r>
    </w:p>
    <w:p>
      <w:pPr>
        <w:pStyle w:val="Heading3"/>
      </w:pPr>
      <w:r>
        <w:t>1.3 作品特色</w:t>
      </w:r>
    </w:p>
    <w:p>
      <w:r>
        <w:t xml:space="preserve">1. </w:t>
      </w:r>
      <w:r>
        <w:rPr>
          <w:b/>
        </w:rPr>
        <w:t>方法创新</w:t>
      </w:r>
      <w:r>
        <w:t>：将 pruning decision 的 masking、threshold compare、token selection 分别映射为 MPC 友好的 F_mux、F_less 和 encoded-key bitonic sort</w:t>
      </w:r>
    </w:p>
    <w:p>
      <w:r>
        <w:t xml:space="preserve">2. </w:t>
      </w:r>
      <w:r>
        <w:rPr>
          <w:b/>
        </w:rPr>
        <w:t>系统实现</w:t>
      </w:r>
      <w:r>
        <w:t>：PredictorLG + kth_threshold + tie_resolution 整条链路在 SPU 内部完整执行</w:t>
      </w:r>
    </w:p>
    <w:p>
      <w:r>
        <w:t xml:space="preserve">3. </w:t>
      </w:r>
      <w:r>
        <w:rPr>
          <w:b/>
        </w:rPr>
        <w:t>效率优化</w:t>
      </w:r>
      <w:r>
        <w:t>：Token 剪枝（196→67）+ batch 处理 + depth truncation 联合优化，2.13 倍加速</w:t>
      </w:r>
    </w:p>
    <w:p>
      <w:r>
        <w:t xml:space="preserve">4. </w:t>
      </w:r>
      <w:r>
        <w:rPr>
          <w:b/>
        </w:rPr>
        <w:t>双向隐私</w:t>
      </w:r>
      <w:r>
        <w:t>：服务器看不到客户端图片，客户端获取不到模型参数</w:t>
      </w:r>
    </w:p>
    <w:p>
      <w:pPr>
        <w:pStyle w:val="Heading3"/>
      </w:pPr>
      <w:r>
        <w:t>1.4 应用前景</w:t>
      </w:r>
    </w:p>
    <w:p>
      <w:r>
        <w:t xml:space="preserve">1. </w:t>
      </w:r>
      <w:r>
        <w:rPr>
          <w:b/>
        </w:rPr>
        <w:t>医疗影像</w:t>
      </w:r>
      <w:r>
        <w:t>：医院间联合诊断、患者远程安全问诊、多方医疗数据协作</w:t>
      </w:r>
    </w:p>
    <w:p>
      <w:r>
        <w:t xml:space="preserve">2. </w:t>
      </w:r>
      <w:r>
        <w:rPr>
          <w:b/>
        </w:rPr>
        <w:t>金融风控</w:t>
      </w:r>
      <w:r>
        <w:t>：银行间联合反欺诈、跨机构风控模型推理、反洗钱合规</w:t>
      </w:r>
    </w:p>
    <w:p>
      <w:r>
        <w:t xml:space="preserve">3. </w:t>
      </w:r>
      <w:r>
        <w:rPr>
          <w:b/>
        </w:rPr>
        <w:t>通用场景</w:t>
      </w:r>
      <w:r>
        <w:t>：任何需要双向隐私保护的 ViT 推理场景，无需修改核心方法</w:t>
      </w:r>
    </w:p>
    <w:p>
      <w:r>
        <w:t>---</w:t>
      </w:r>
    </w:p>
    <w:p>
      <w:pPr>
        <w:pStyle w:val="Heading2"/>
      </w:pPr>
      <w:r>
        <w:t>第二章 作品设计与实现</w:t>
      </w:r>
    </w:p>
    <w:p>
      <w:pPr>
        <w:pStyle w:val="Heading3"/>
      </w:pPr>
      <w:r>
        <w:t>2.1 系统总体架构</w:t>
      </w:r>
    </w:p>
    <w:p>
      <w:r>
        <w:t>┌─────────────────────────────────────────────────────────┐</w:t>
      </w:r>
    </w:p>
    <w:p>
      <w:r>
        <w:t>│                     客户端 (Client)                       │</w:t>
      </w:r>
    </w:p>
    <w:p>
      <w:r>
        <w:t>│  明文影像 → secret share 分割 → 发送 share 到服务器      │</w:t>
      </w:r>
    </w:p>
    <w:p>
      <w:r>
        <w:t>│  接收 final logits → 阈值决策 → 输出诊断结果              │</w:t>
      </w:r>
    </w:p>
    <w:p>
      <w:r>
        <w:t>│  ❌ 不接触模型参数                                       │</w:t>
      </w:r>
    </w:p>
    <w:p>
      <w:r>
        <w:t>└──────────────────────────┬──────────────────────────────┘</w:t>
      </w:r>
    </w:p>
    <w:p>
      <w:r>
        <w:t xml:space="preserve">                           │ share (非明文)</w:t>
      </w:r>
    </w:p>
    <w:p>
      <w:r>
        <w:t xml:space="preserve">                           ▼</w:t>
      </w:r>
    </w:p>
    <w:p>
      <w:r>
        <w:t>┌─────────────────────────────────────────────────────────┐</w:t>
      </w:r>
    </w:p>
    <w:p>
      <w:r>
        <w:t>│                     服务器 (Server)                       │</w:t>
      </w:r>
    </w:p>
    <w:p>
      <w:r>
        <w:t>│  模型参数 → secret share 加载到 SPU                      │</w:t>
      </w:r>
    </w:p>
    <w:p>
      <w:r>
        <w:t>│  SPU 执行 whole-forward inference (密文计算)              │</w:t>
      </w:r>
    </w:p>
    <w:p>
      <w:r>
        <w:t>│  PredictorLG 在 SPU 内部完成 pruning 决策                │</w:t>
      </w:r>
    </w:p>
    <w:p>
      <w:r>
        <w:t>│  只返回 final logits (reveal_policy=final_logits_only)   │</w:t>
      </w:r>
    </w:p>
    <w:p>
      <w:r>
        <w:t>│  ❌ 不接触明文影像                                       │</w:t>
      </w:r>
    </w:p>
    <w:p>
      <w:r>
        <w:t>└─────────────────────────────────────────────────────────┘</w:t>
      </w:r>
    </w:p>
    <w:p>
      <w:r/>
      <w:r>
        <w:rPr>
          <w:b/>
        </w:rPr>
        <w:t>三层架构</w:t>
      </w:r>
      <w:r>
        <w:t>：</w:t>
      </w:r>
    </w:p>
    <w:p>
      <w:pPr/>
      <w:r>
        <w:rPr>
          <w:rFonts w:ascii="Courier New" w:hAnsi="Courier New"/>
          <w:sz w:val="20"/>
        </w:rPr>
        <w:t>| 层 | 技术 | 说明 |</w:t>
      </w:r>
    </w:p>
    <w:p>
      <w:pPr/>
      <w:r>
        <w:rPr>
          <w:rFonts w:ascii="Courier New" w:hAnsi="Courier New"/>
          <w:sz w:val="20"/>
        </w:rPr>
        <w:t>|---|---|---|</w:t>
      </w:r>
    </w:p>
    <w:p>
      <w:pPr/>
      <w:r>
        <w:rPr>
          <w:rFonts w:ascii="Courier New" w:hAnsi="Courier New"/>
          <w:sz w:val="20"/>
        </w:rPr>
        <w:t>| 模型训练层 | DynamicViT / DeiT-S | depth=12, embed_dim=384, uniform attention, fixed_square activation |</w:t>
      </w:r>
    </w:p>
    <w:p>
      <w:pPr/>
      <w:r>
        <w:rPr>
          <w:rFonts w:ascii="Courier New" w:hAnsi="Courier New"/>
          <w:sz w:val="20"/>
        </w:rPr>
        <w:t>| 安全推理层 | SPU / OpenBumbleBee | 2PC semi-honest，秘密参数，party-local share 输入 |</w:t>
      </w:r>
    </w:p>
    <w:p>
      <w:pPr/>
      <w:r>
        <w:rPr>
          <w:rFonts w:ascii="Courier New" w:hAnsi="Courier New"/>
          <w:sz w:val="20"/>
        </w:rPr>
        <w:t>| 隐私边界层 | 双向约束 | host_plaintext_pixel_values_materialized=false, host_model_params_materialized=false |</w:t>
      </w:r>
    </w:p>
    <w:p>
      <w:pPr>
        <w:pStyle w:val="Heading3"/>
      </w:pPr>
      <w:r>
        <w:t>2.2 核心方法：Pruning Boundary 协议友好重写</w:t>
      </w:r>
    </w:p>
    <w:p>
      <w:r/>
      <w:r>
        <w:rPr>
          <w:b/>
        </w:rPr>
        <w:t>问题</w:t>
      </w:r>
      <w:r>
        <w:t>：DynamicViT 原始剪枝流程（Token 打分 → 直接删除 → 变长序列前向）在 MPC 环境中存在三个核心问题：</w:t>
      </w:r>
    </w:p>
    <w:p>
      <w:r>
        <w:t>- 动态 shape 无法映射到 SPU 静态计算图</w:t>
      </w:r>
    </w:p>
    <w:p>
      <w:r>
        <w:t>- 条件分支泄漏中间信息</w:t>
      </w:r>
    </w:p>
    <w:p>
      <w:r>
        <w:t>- 直接比较的协议不友好</w:t>
      </w:r>
    </w:p>
    <w:p>
      <w:r/>
      <w:r>
        <w:rPr>
          <w:b/>
        </w:rPr>
        <w:t>解决方案</w:t>
      </w:r>
      <w:r>
        <w:t>：将整个流程重写为 MPC 友好的静态表达：</w:t>
      </w:r>
    </w:p>
    <w:p>
      <w:pPr/>
      <w:r>
        <w:rPr>
          <w:rFonts w:ascii="Courier New" w:hAnsi="Courier New"/>
          <w:sz w:val="20"/>
        </w:rPr>
        <w:t>| 原始操作 | Transshield 重写 | MPC 映射 |</w:t>
      </w:r>
    </w:p>
    <w:p>
      <w:pPr/>
      <w:r>
        <w:rPr>
          <w:rFonts w:ascii="Courier New" w:hAnsi="Courier New"/>
          <w:sz w:val="20"/>
        </w:rPr>
        <w:t>|---|---|---|</w:t>
      </w:r>
    </w:p>
    <w:p>
      <w:pPr/>
      <w:r>
        <w:rPr>
          <w:rFonts w:ascii="Courier New" w:hAnsi="Courier New"/>
          <w:sz w:val="20"/>
        </w:rPr>
        <w:t>| Token 删除 | Token 置零（masking） | F_mux(cond, x, 0) |</w:t>
      </w:r>
    </w:p>
    <w:p>
      <w:pPr/>
      <w:r>
        <w:rPr>
          <w:rFonts w:ascii="Courier New" w:hAnsi="Courier New"/>
          <w:sz w:val="20"/>
        </w:rPr>
        <w:t>| 阈值比较 | 安全比较 | F_less(a, b) |</w:t>
      </w:r>
    </w:p>
    <w:p>
      <w:pPr/>
      <w:r>
        <w:rPr>
          <w:rFonts w:ascii="Courier New" w:hAnsi="Courier New"/>
          <w:sz w:val="20"/>
        </w:rPr>
        <w:t>| Token 选择 | encoded-key bitonic sort | O(n log n) 并行排序 |</w:t>
      </w:r>
    </w:p>
    <w:p>
      <w:r/>
      <w:r>
        <w:rPr>
          <w:b/>
        </w:rPr>
        <w:t>encoded-key bitonic sort</w:t>
      </w:r>
      <w:r>
        <w:t>：通过 `encoded_key = score - index × 1e-6` 将 tie-breaking 合并到单一比较操作，全程使用 `jnp.where` 条件赋值，消除 JAX tracing 不允许的 boolean fancy indexing。</w:t>
      </w:r>
    </w:p>
    <w:p>
      <w:pPr>
        <w:pStyle w:val="Heading3"/>
      </w:pPr>
      <w:r>
        <w:t>2.3 PredictorLG SPU 内部执行</w:t>
      </w:r>
    </w:p>
    <w:p>
      <w:r>
        <w:t>PredictorLG 是 DynamicViT 的剪枝预测器：</w:t>
      </w:r>
    </w:p>
    <w:p>
      <w:r>
        <w:t>in_conv (LayerNorm→Linear→square)</w:t>
      </w:r>
    </w:p>
    <w:p>
      <w:r>
        <w:t xml:space="preserve">  → 全局平均池化</w:t>
      </w:r>
    </w:p>
    <w:p>
      <w:r>
        <w:t xml:space="preserve">  → 拼接</w:t>
      </w:r>
    </w:p>
    <w:p>
      <w:r>
        <w:t xml:space="preserve">  → out_conv (Linear→square→Linear→square)</w:t>
      </w:r>
    </w:p>
    <w:p>
      <w:r>
        <w:t xml:space="preserve">  → out_proj (Linear→clamp→log_softmax→keep_score)</w:t>
      </w:r>
    </w:p>
    <w:p>
      <w:r/>
      <w:r>
        <w:rPr>
          <w:b/>
        </w:rPr>
        <w:t>技术挑战与解决方案</w:t>
      </w:r>
      <w:r>
        <w:t>：</w:t>
      </w:r>
    </w:p>
    <w:p>
      <w:pPr/>
      <w:r>
        <w:rPr>
          <w:rFonts w:ascii="Courier New" w:hAnsi="Courier New"/>
          <w:sz w:val="20"/>
        </w:rPr>
        <w:t>| 挑战 | 解决方案 |</w:t>
      </w:r>
    </w:p>
    <w:p>
      <w:pPr/>
      <w:r>
        <w:rPr>
          <w:rFonts w:ascii="Courier New" w:hAnsi="Courier New"/>
          <w:sz w:val="20"/>
        </w:rPr>
        <w:t>|---|---|</w:t>
      </w:r>
    </w:p>
    <w:p>
      <w:pPr/>
      <w:r>
        <w:rPr>
          <w:rFonts w:ascii="Courier New" w:hAnsi="Courier New"/>
          <w:sz w:val="20"/>
        </w:rPr>
        <w:t>| TracerBoolConversionError | pruning_metadata 通过闭包传入，不经过 SPU 参数通道 |</w:t>
      </w:r>
    </w:p>
    <w:p>
      <w:pPr/>
      <w:r>
        <w:rPr>
          <w:rFonts w:ascii="Courier New" w:hAnsi="Courier New"/>
          <w:sz w:val="20"/>
        </w:rPr>
        <w:t>| SPU 不支持 logsumexp | 手动 max + log(sum(exp(...))) 实现 |</w:t>
      </w:r>
    </w:p>
    <w:p>
      <w:pPr/>
      <w:r>
        <w:rPr>
          <w:rFonts w:ascii="Courier New" w:hAnsi="Courier New"/>
          <w:sz w:val="20"/>
        </w:rPr>
        <w:t>| NonConcreteBooleanIndexError | bitonic sort 重写为全 jnp.where 模式 |</w:t>
      </w:r>
    </w:p>
    <w:p>
      <w:r/>
      <w:r>
        <w:rPr>
          <w:b/>
        </w:rPr>
        <w:t>三阶段剪枝配置</w:t>
      </w:r>
      <w:r>
        <w:t>：</w:t>
      </w:r>
    </w:p>
    <w:p>
      <w:pPr/>
      <w:r>
        <w:rPr>
          <w:rFonts w:ascii="Courier New" w:hAnsi="Courier New"/>
          <w:sz w:val="20"/>
        </w:rPr>
        <w:t>| Stage | pruning_loc | token_ratio | keep_count |</w:t>
      </w:r>
    </w:p>
    <w:p>
      <w:pPr/>
      <w:r>
        <w:rPr>
          <w:rFonts w:ascii="Courier New" w:hAnsi="Courier New"/>
          <w:sz w:val="20"/>
        </w:rPr>
        <w:t>|:---:|:---:|:---:|:---:|</w:t>
      </w:r>
    </w:p>
    <w:p>
      <w:pPr/>
      <w:r>
        <w:rPr>
          <w:rFonts w:ascii="Courier New" w:hAnsi="Courier New"/>
          <w:sz w:val="20"/>
        </w:rPr>
        <w:t>| 0 | block 3 | 0.70 | 196 → 137 |</w:t>
      </w:r>
    </w:p>
    <w:p>
      <w:pPr/>
      <w:r>
        <w:rPr>
          <w:rFonts w:ascii="Courier New" w:hAnsi="Courier New"/>
          <w:sz w:val="20"/>
        </w:rPr>
        <w:t>| 1 | block 6 | 0.49 | 137 → 96 |</w:t>
      </w:r>
    </w:p>
    <w:p>
      <w:pPr/>
      <w:r>
        <w:rPr>
          <w:rFonts w:ascii="Courier New" w:hAnsi="Courier New"/>
          <w:sz w:val="20"/>
        </w:rPr>
        <w:t>| 2 | block 9 | 0.34 | 96 → 67 |</w:t>
      </w:r>
    </w:p>
    <w:p>
      <w:pPr>
        <w:pStyle w:val="Heading3"/>
      </w:pPr>
      <w:r>
        <w:t>2.4 效率优化策略</w:t>
      </w:r>
    </w:p>
    <w:p>
      <w:r/>
      <w:r>
        <w:rPr>
          <w:b/>
        </w:rPr>
        <w:t>策略一：batch 处理（协议开销摊薄）</w:t>
      </w:r>
      <w:r/>
    </w:p>
    <w:p>
      <w:r>
        <w:t>SPU 每次启动含固定协议开销，batch_size 增大可分摊该开销。</w:t>
      </w:r>
    </w:p>
    <w:p>
      <w:r/>
      <w:r>
        <w:rPr>
          <w:b/>
        </w:rPr>
        <w:t>策略二：depth truncation（计算量减少）</w:t>
      </w:r>
      <w:r/>
    </w:p>
    <w:p>
      <w:r>
        <w:t>去掉最后 2 个 block（depth 12→10），减少约 9% 计算量。意外发现：减少 late-block 累积数值漂移后，argmax 精度反而提升 +3.24pp。</w:t>
      </w:r>
    </w:p>
    <w:p>
      <w:r/>
      <w:r>
        <w:rPr>
          <w:b/>
        </w:rPr>
        <w:t>联合效果</w:t>
      </w:r>
      <w:r>
        <w:t>：2.13 倍加速。</w:t>
      </w:r>
    </w:p>
    <w:p>
      <w:pPr>
        <w:pStyle w:val="Heading3"/>
      </w:pPr>
      <w:r>
        <w:t>2.5 系统实现</w:t>
      </w:r>
    </w:p>
    <w:p>
      <w:pPr/>
      <w:r>
        <w:rPr>
          <w:rFonts w:ascii="Courier New" w:hAnsi="Courier New"/>
          <w:sz w:val="20"/>
        </w:rPr>
        <w:t>| 层 | 技术栈 |</w:t>
      </w:r>
    </w:p>
    <w:p>
      <w:pPr/>
      <w:r>
        <w:rPr>
          <w:rFonts w:ascii="Courier New" w:hAnsi="Courier New"/>
          <w:sz w:val="20"/>
        </w:rPr>
        <w:t>|---|---|</w:t>
      </w:r>
    </w:p>
    <w:p>
      <w:pPr/>
      <w:r>
        <w:rPr>
          <w:rFonts w:ascii="Courier New" w:hAnsi="Courier New"/>
          <w:sz w:val="20"/>
        </w:rPr>
        <w:t>| 推理引擎 | integrations/openbumblebee/e2e_secure_vit/ |</w:t>
      </w:r>
    </w:p>
    <w:p>
      <w:pPr/>
      <w:r>
        <w:rPr>
          <w:rFonts w:ascii="Courier New" w:hAnsi="Courier New"/>
          <w:sz w:val="20"/>
        </w:rPr>
        <w:t>| 评测工具链 | tools/ |</w:t>
      </w:r>
    </w:p>
    <w:p>
      <w:pPr/>
      <w:r>
        <w:rPr>
          <w:rFonts w:ascii="Courier New" w:hAnsi="Courier New"/>
          <w:sz w:val="20"/>
        </w:rPr>
        <w:t>| 服务器脚本 | artifacts/server_inference_friendly_pack/ |</w:t>
      </w:r>
    </w:p>
    <w:p>
      <w:pPr/>
      <w:r>
        <w:rPr>
          <w:rFonts w:ascii="Courier New" w:hAnsi="Courier New"/>
          <w:sz w:val="20"/>
        </w:rPr>
        <w:t>| 安全协议 | SPU / OpenBumbleBee 2PC semi-honest |</w:t>
      </w:r>
    </w:p>
    <w:p>
      <w:pPr/>
      <w:r>
        <w:rPr>
          <w:rFonts w:ascii="Courier New" w:hAnsi="Courier New"/>
          <w:sz w:val="20"/>
        </w:rPr>
        <w:t>| 输出校准 | SPU-aware public logit-bias calibration |</w:t>
      </w:r>
    </w:p>
    <w:p>
      <w:r>
        <w:t>---</w:t>
      </w:r>
    </w:p>
    <w:p>
      <w:pPr>
        <w:pStyle w:val="Heading3"/>
      </w:pPr>
      <w:r>
        <w:t>2.6 低秩分解（LRD）效率优化</w:t>
      </w:r>
    </w:p>
    <w:p>
      <w:r>
        <w:t>基于 LRD-MPC (2026) 论文思路，对 DeiT-Small 的线性层做 SVD 低秩分解：</w:t>
      </w:r>
    </w:p>
    <w:p>
      <w:r>
        <w:t xml:space="preserve">- </w:t>
      </w:r>
      <w:r>
        <w:rPr>
          <w:b/>
        </w:rPr>
        <w:t>分解目标层</w:t>
      </w:r>
      <w:r>
        <w:t>：blocks.*.attn.qkv, attn.proj, mlp.fc1, mlp.fc2（共 48 层）</w:t>
      </w:r>
    </w:p>
    <w:p>
      <w:r>
        <w:t xml:space="preserve">- </w:t>
      </w:r>
      <w:r>
        <w:rPr>
          <w:b/>
        </w:rPr>
        <w:t>分解 rank</w:t>
      </w:r>
      <w:r>
        <w:t>：192（embedding_dim 的 50%）</w:t>
      </w:r>
    </w:p>
    <w:p>
      <w:r>
        <w:t xml:space="preserve">- </w:t>
      </w:r>
      <w:r>
        <w:rPr>
          <w:b/>
        </w:rPr>
        <w:t>参数量</w:t>
      </w:r>
      <w:r>
        <w:t>：22,390,184 → 15,312,296（68.39%）</w:t>
      </w:r>
    </w:p>
    <w:p>
      <w:r>
        <w:t>LRD SPU 端到端验证结果（2026-05-15，完全隐私模式）：</w:t>
      </w:r>
    </w:p>
    <w:p>
      <w:pPr/>
      <w:r>
        <w:rPr>
          <w:rFonts w:ascii="Courier New" w:hAnsi="Courier New"/>
          <w:sz w:val="20"/>
        </w:rPr>
        <w:t>| 测试 | 耗时 | 精度 | 状态 |</w:t>
      </w:r>
    </w:p>
    <w:p>
      <w:pPr/>
      <w:r>
        <w:rPr>
          <w:rFonts w:ascii="Courier New" w:hAnsi="Courier New"/>
          <w:sz w:val="20"/>
        </w:rPr>
        <w:t>|------|------|------|------|</w:t>
      </w:r>
    </w:p>
    <w:p>
      <w:pPr/>
      <w:r>
        <w:rPr>
          <w:rFonts w:ascii="Courier New" w:hAnsi="Courier New"/>
          <w:sz w:val="20"/>
        </w:rPr>
        <w:t>| smoke1 | 61.37s | argmax=[0] correct | ✅ |</w:t>
      </w:r>
    </w:p>
    <w:p>
      <w:pPr/>
      <w:r>
        <w:t>| smoke8 | 1636.5s / 16 = 102.3s/sample | SPU vs plaintext match, finite_logits=true | ✅ |</w:t>
      </w:r>
    </w:p>
    <w:p>
      <w:r/>
      <w:r>
        <w:rPr>
          <w:b/>
        </w:rPr>
        <w:t>Plaintext 模型精度</w:t>
      </w:r>
      <w:r>
        <w:t>：argmax_acc = 91.79%, balanced_acc = 86.01%</w:t>
      </w:r>
    </w:p>
    <w:p>
      <w:r/>
      <w:r>
        <w:rPr>
          <w:b/>
        </w:rPr>
        <w:t>效率对比：</w:t>
      </w:r>
      <w:r/>
    </w:p>
    <w:p>
      <w:pPr/>
      <w:r>
        <w:rPr>
          <w:rFonts w:ascii="Courier New" w:hAnsi="Courier New"/>
          <w:sz w:val="20"/>
        </w:rPr>
        <w:t>| 配置 | s/sample | argmax_acc | 相对 baseline 加速 |</w:t>
      </w:r>
    </w:p>
    <w:p>
      <w:pPr/>
      <w:r>
        <w:rPr>
          <w:rFonts w:ascii="Courier New" w:hAnsi="Courier New"/>
          <w:sz w:val="20"/>
        </w:rPr>
        <w:t>|------|----------|-----------|-------------------|</w:t>
      </w:r>
    </w:p>
    <w:p>
      <w:pPr/>
      <w:r>
        <w:rPr>
          <w:rFonts w:ascii="Courier New" w:hAnsi="Courier New"/>
          <w:sz w:val="20"/>
        </w:rPr>
        <w:t>| Baseline (depth12, batch8) | ~190 | 74.24% | 1.0x |</w:t>
      </w:r>
    </w:p>
    <w:p>
      <w:pPr/>
      <w:r>
        <w:rPr>
          <w:rFonts w:ascii="Courier New" w:hAnsi="Courier New"/>
          <w:sz w:val="20"/>
        </w:rPr>
        <w:t>| batch12 + depth10 | 69.57 | 91.67% | 2.73x |</w:t>
      </w:r>
    </w:p>
    <w:p>
      <w:pPr/>
      <w:r>
        <w:rPr>
          <w:rFonts w:ascii="Courier New" w:hAnsi="Courier New"/>
          <w:sz w:val="20"/>
        </w:rPr>
        <w:t>| Mixed attention (split6) | 272.5 | 88.36% | 0.70x |</w:t>
      </w:r>
    </w:p>
    <w:p>
      <w:r>
        <w:t>| LRD (rank96, 完全隐私) | 102.3 | 91.79% | 1.86x |</w:t>
      </w:r>
    </w:p>
    <w:p>
      <w:r>
        <w:t>结论：LRD (rank96) 在完全隐私模式下实现 1.86x 加速（102.3s vs baseline 190s），精度保持 91.79%。</w:t>
      </w:r>
    </w:p>
    <w:p>
      <w:pPr>
        <w:pStyle w:val="Heading2"/>
      </w:pPr>
      <w:r>
        <w:t>第三章 作品测试与分析</w:t>
      </w:r>
    </w:p>
    <w:p>
      <w:pPr>
        <w:pStyle w:val="Heading3"/>
      </w:pPr>
      <w:r>
        <w:t>3.1 测试环境</w:t>
      </w:r>
    </w:p>
    <w:p>
      <w:pPr/>
      <w:r>
        <w:rPr>
          <w:rFonts w:ascii="Courier New" w:hAnsi="Courier New"/>
          <w:sz w:val="20"/>
        </w:rPr>
        <w:t>| 项目 | 配置 |</w:t>
      </w:r>
    </w:p>
    <w:p>
      <w:pPr/>
      <w:r>
        <w:rPr>
          <w:rFonts w:ascii="Courier New" w:hAnsi="Courier New"/>
          <w:sz w:val="20"/>
        </w:rPr>
        <w:t>|---|---|</w:t>
      </w:r>
    </w:p>
    <w:p>
      <w:pPr/>
      <w:r>
        <w:rPr>
          <w:rFonts w:ascii="Courier New" w:hAnsi="Courier New"/>
          <w:sz w:val="20"/>
        </w:rPr>
        <w:t>| 服务器 | Ubuntu 22.04, Intel Xeon CPU, 62GB RAM |</w:t>
      </w:r>
    </w:p>
    <w:p>
      <w:pPr/>
      <w:r>
        <w:rPr>
          <w:rFonts w:ascii="Courier New" w:hAnsi="Courier New"/>
          <w:sz w:val="20"/>
        </w:rPr>
        <w:t>| 安全计算 | SPU / OpenBumbleBee 2PC semi-honest |</w:t>
      </w:r>
    </w:p>
    <w:p>
      <w:pPr/>
      <w:r>
        <w:rPr>
          <w:rFonts w:ascii="Courier New" w:hAnsi="Courier New"/>
          <w:sz w:val="20"/>
        </w:rPr>
        <w:t>| 数据集 | 胸部 X 光片二分类，训练 2114 张，验证 524 张 |</w:t>
      </w:r>
    </w:p>
    <w:p>
      <w:pPr/>
      <w:r>
        <w:rPr>
          <w:rFonts w:ascii="Courier New" w:hAnsi="Courier New"/>
          <w:sz w:val="20"/>
        </w:rPr>
        <w:t>| 评测指标 | threshold accuracy（主）、AUC、CE loss、logits 误差 |</w:t>
      </w:r>
    </w:p>
    <w:p>
      <w:pPr>
        <w:pStyle w:val="Heading3"/>
      </w:pPr>
      <w:r>
        <w:t>3.2 模型精度（Plaintext，full-val，n=524）</w:t>
      </w:r>
    </w:p>
    <w:p>
      <w:pPr/>
      <w:r>
        <w:rPr>
          <w:rFonts w:ascii="Courier New" w:hAnsi="Courier New"/>
          <w:sz w:val="20"/>
        </w:rPr>
        <w:t>| 口径 | 值 |</w:t>
      </w:r>
    </w:p>
    <w:p>
      <w:pPr/>
      <w:r>
        <w:rPr>
          <w:rFonts w:ascii="Courier New" w:hAnsi="Courier New"/>
          <w:sz w:val="20"/>
        </w:rPr>
        <w:t>|---|---|</w:t>
      </w:r>
    </w:p>
    <w:p>
      <w:r>
        <w:t xml:space="preserve">| </w:t>
      </w:r>
      <w:r>
        <w:rPr>
          <w:b/>
        </w:rPr>
        <w:t>threshold accuracy</w:t>
      </w:r>
      <w:r>
        <w:t xml:space="preserve"> | </w:t>
      </w:r>
      <w:r>
        <w:rPr>
          <w:b/>
        </w:rPr>
        <w:t>91.98%</w:t>
      </w:r>
      <w:r>
        <w:t xml:space="preserve"> |</w:t>
      </w:r>
    </w:p>
    <w:p>
      <w:pPr/>
      <w:r>
        <w:rPr>
          <w:rFonts w:ascii="Courier New" w:hAnsi="Courier New"/>
          <w:sz w:val="20"/>
        </w:rPr>
        <w:t>| argmax accuracy | 76.72% |</w:t>
      </w:r>
    </w:p>
    <w:p>
      <w:r>
        <w:t xml:space="preserve">| </w:t>
      </w:r>
      <w:r>
        <w:rPr>
          <w:b/>
        </w:rPr>
        <w:t>AUC</w:t>
      </w:r>
      <w:r>
        <w:t xml:space="preserve"> | </w:t>
      </w:r>
      <w:r>
        <w:rPr>
          <w:b/>
        </w:rPr>
        <w:t>0.9679</w:t>
      </w:r>
      <w:r>
        <w:t xml:space="preserve"> |</w:t>
      </w:r>
    </w:p>
    <w:p>
      <w:pPr/>
      <w:r>
        <w:rPr>
          <w:rFonts w:ascii="Courier New" w:hAnsi="Courier New"/>
          <w:sz w:val="20"/>
        </w:rPr>
        <w:t>| CE loss | 0.5305 |</w:t>
      </w:r>
    </w:p>
    <w:p>
      <w:r>
        <w:t>&gt; 注：argmax accuracy 使用固定阈值 0.5（非校准阈值），实际部署使用校准阈值 0.358，对应 threshold accuracy 91.98%。</w:t>
      </w:r>
    </w:p>
    <w:p>
      <w:pPr>
        <w:pStyle w:val="Heading3"/>
      </w:pPr>
      <w:r>
        <w:t>3.3 E2E 安全推理精度（SPU，non-isolated）</w:t>
      </w:r>
    </w:p>
    <w:p>
      <w:pPr/>
      <w:r>
        <w:rPr>
          <w:rFonts w:ascii="Courier New" w:hAnsi="Courier New"/>
          <w:sz w:val="20"/>
        </w:rPr>
        <w:t>| 样本集 | 样本数 | threshold accuracy |</w:t>
      </w:r>
    </w:p>
    <w:p>
      <w:pPr/>
      <w:r>
        <w:rPr>
          <w:rFonts w:ascii="Courier New" w:hAnsi="Courier New"/>
          <w:sz w:val="20"/>
        </w:rPr>
        <w:t>|---|:---:|:---:|</w:t>
      </w:r>
    </w:p>
    <w:p>
      <w:pPr/>
      <w:r>
        <w:rPr>
          <w:rFonts w:ascii="Courier New" w:hAnsi="Courier New"/>
          <w:sz w:val="20"/>
        </w:rPr>
        <w:t>| smoke32（校准集） | 32 | 87.50% |</w:t>
      </w:r>
    </w:p>
    <w:p>
      <w:pPr/>
      <w:r>
        <w:rPr>
          <w:rFonts w:ascii="Courier New" w:hAnsi="Courier New"/>
          <w:sz w:val="20"/>
        </w:rPr>
        <w:t>| smoke96 | 96 | 95.83% |</w:t>
      </w:r>
    </w:p>
    <w:p>
      <w:pPr/>
      <w:r>
        <w:rPr>
          <w:rFonts w:ascii="Courier New" w:hAnsi="Courier New"/>
          <w:sz w:val="20"/>
        </w:rPr>
        <w:t>| heldout64 | 64 | 92.19% |</w:t>
      </w:r>
    </w:p>
    <w:p>
      <w:pPr/>
      <w:r>
        <w:rPr>
          <w:rFonts w:ascii="Courier New" w:hAnsi="Courier New"/>
          <w:sz w:val="20"/>
        </w:rPr>
        <w:t>| heldout128 | 128 | 91.41% |</w:t>
      </w:r>
    </w:p>
    <w:p>
      <w:r>
        <w:t xml:space="preserve">| </w:t>
      </w:r>
      <w:r>
        <w:rPr>
          <w:b/>
        </w:rPr>
        <w:t>heldout238</w:t>
      </w:r>
      <w:r>
        <w:t xml:space="preserve"> | </w:t>
      </w:r>
      <w:r>
        <w:rPr>
          <w:b/>
        </w:rPr>
        <w:t>238</w:t>
      </w:r>
      <w:r>
        <w:t xml:space="preserve"> | </w:t>
      </w:r>
      <w:r>
        <w:rPr>
          <w:b/>
        </w:rPr>
        <w:t>92.44%</w:t>
      </w:r>
      <w:r>
        <w:t xml:space="preserve"> |</w:t>
      </w:r>
    </w:p>
    <w:p>
      <w:r>
        <w:t>所有子集 `finite_logits=true`，隐私字段全部正确。</w:t>
      </w:r>
    </w:p>
    <w:p>
      <w:pPr>
        <w:pStyle w:val="Heading3"/>
      </w:pPr>
      <w:r>
        <w:t>3.4 Secure Pruning 效率优化</w:t>
      </w:r>
    </w:p>
    <w:p>
      <w:r/>
      <w:r>
        <w:rPr>
          <w:b/>
        </w:rPr>
        <w:t>配置</w:t>
      </w:r>
      <w:r>
        <w:t>：PredictorLG 在 SPU 内部执行，secret params，party-local share load。</w:t>
      </w:r>
    </w:p>
    <w:p>
      <w:pPr/>
      <w:r>
        <w:rPr>
          <w:rFonts w:ascii="Courier New" w:hAnsi="Courier New"/>
          <w:sz w:val="20"/>
        </w:rPr>
        <w:t>| 配置 | batch | depth | 总耗时 | sec/sample | 加速比 |</w:t>
      </w:r>
    </w:p>
    <w:p>
      <w:pPr/>
      <w:r>
        <w:rPr>
          <w:rFonts w:ascii="Courier New" w:hAnsi="Courier New"/>
          <w:sz w:val="20"/>
        </w:rPr>
        <w:t>|---|:---:|:---:|---:|---:|---:|</w:t>
      </w:r>
    </w:p>
    <w:p>
      <w:pPr/>
      <w:r>
        <w:rPr>
          <w:rFonts w:ascii="Courier New" w:hAnsi="Courier New"/>
          <w:sz w:val="20"/>
        </w:rPr>
        <w:t>| baseline | 1 | 12 | 1711.1s | 213.9s | 1.00× |</w:t>
      </w:r>
    </w:p>
    <w:p>
      <w:pPr/>
      <w:r>
        <w:rPr>
          <w:rFonts w:ascii="Courier New" w:hAnsi="Courier New"/>
          <w:sz w:val="20"/>
        </w:rPr>
        <w:t>| batch4 | 4 | 12 | 1284.9s | 160.6s | 1.33× |</w:t>
      </w:r>
    </w:p>
    <w:p>
      <w:pPr/>
      <w:r>
        <w:rPr>
          <w:rFonts w:ascii="Courier New" w:hAnsi="Courier New"/>
          <w:sz w:val="20"/>
        </w:rPr>
        <w:t>| batch8 | 8 | 12 | 906.2s | 113.3s | 1.89× |</w:t>
      </w:r>
    </w:p>
    <w:p>
      <w:r>
        <w:t xml:space="preserve">| </w:t>
      </w:r>
      <w:r>
        <w:rPr>
          <w:b/>
        </w:rPr>
        <w:t>batch8+d10</w:t>
      </w:r>
      <w:r>
        <w:t xml:space="preserve"> | </w:t>
      </w:r>
      <w:r>
        <w:rPr>
          <w:b/>
        </w:rPr>
        <w:t>8</w:t>
      </w:r>
      <w:r>
        <w:t xml:space="preserve"> | </w:t>
      </w:r>
      <w:r>
        <w:rPr>
          <w:b/>
        </w:rPr>
        <w:t>10</w:t>
      </w:r>
      <w:r>
        <w:t xml:space="preserve"> | </w:t>
      </w:r>
      <w:r>
        <w:rPr>
          <w:b/>
        </w:rPr>
        <w:t>804.3s</w:t>
      </w:r>
      <w:r>
        <w:t xml:space="preserve"> | </w:t>
      </w:r>
      <w:r>
        <w:rPr>
          <w:b/>
        </w:rPr>
        <w:t>100.5s</w:t>
      </w:r>
      <w:r>
        <w:t xml:space="preserve"> | </w:t>
      </w:r>
      <w:r>
        <w:rPr>
          <w:b/>
        </w:rPr>
        <w:t>2.13×</w:t>
      </w:r>
      <w:r>
        <w:t xml:space="preserve"> |</w:t>
      </w:r>
    </w:p>
    <w:p>
      <w:r/>
      <w:r>
        <w:rPr>
          <w:b/>
        </w:rPr>
        <w:t>batch8 depth10 精度对比（vs depth12 SPU）</w:t>
      </w:r>
      <w:r>
        <w:t>：</w:t>
      </w:r>
    </w:p>
    <w:p>
      <w:pPr/>
      <w:r>
        <w:rPr>
          <w:rFonts w:ascii="Courier New" w:hAnsi="Courier New"/>
          <w:sz w:val="20"/>
        </w:rPr>
        <w:t>| 指标 | 值 |</w:t>
      </w:r>
    </w:p>
    <w:p>
      <w:pPr/>
      <w:r>
        <w:rPr>
          <w:rFonts w:ascii="Courier New" w:hAnsi="Courier New"/>
          <w:sz w:val="20"/>
        </w:rPr>
        <w:t>|---|---|</w:t>
      </w:r>
    </w:p>
    <w:p>
      <w:r>
        <w:t xml:space="preserve">| threshold_match | </w:t>
      </w:r>
      <w:r>
        <w:rPr>
          <w:b/>
        </w:rPr>
        <w:t>1.0（8/8）</w:t>
      </w:r>
      <w:r>
        <w:t xml:space="preserve"> |</w:t>
      </w:r>
    </w:p>
    <w:p>
      <w:pPr/>
      <w:r>
        <w:rPr>
          <w:rFonts w:ascii="Courier New" w:hAnsi="Courier New"/>
          <w:sz w:val="20"/>
        </w:rPr>
        <w:t>| argmax_match | 0.875（7/8） |</w:t>
      </w:r>
    </w:p>
    <w:p>
      <w:pPr/>
      <w:r>
        <w:rPr>
          <w:rFonts w:ascii="Courier New" w:hAnsi="Courier New"/>
          <w:sz w:val="20"/>
        </w:rPr>
        <w:t>| logits_max_abs_error | 0.147 |</w:t>
      </w:r>
    </w:p>
    <w:p>
      <w:r>
        <w:t>argmax 的 1 个翻转来自 boundary case（margin &lt; 0.05），threshold 决策完全一致。</w:t>
      </w:r>
    </w:p>
    <w:p>
      <w:r/>
      <w:r>
        <w:rPr>
          <w:b/>
        </w:rPr>
        <w:t>depth10 plaintext CPU 精度（full-val 524 样本）</w:t>
      </w:r>
      <w:r>
        <w:t>：</w:t>
      </w:r>
    </w:p>
    <w:p>
      <w:pPr/>
      <w:r>
        <w:rPr>
          <w:rFonts w:ascii="Courier New" w:hAnsi="Courier New"/>
          <w:sz w:val="20"/>
        </w:rPr>
        <w:t>| depth | argmax_acc | threshold_acc | argmax Δ vs d12 | threshold Δ vs d12 |</w:t>
      </w:r>
    </w:p>
    <w:p>
      <w:pPr/>
      <w:r>
        <w:rPr>
          <w:rFonts w:ascii="Courier New" w:hAnsi="Courier New"/>
          <w:sz w:val="20"/>
        </w:rPr>
        <w:t>|:---:|:---:|:---:|:---:|:---:|</w:t>
      </w:r>
    </w:p>
    <w:p>
      <w:r>
        <w:t xml:space="preserve">| 10 | 79.96% | 91.41% | </w:t>
      </w:r>
      <w:r>
        <w:rPr>
          <w:b/>
        </w:rPr>
        <w:t>+3.24pp</w:t>
      </w:r>
      <w:r>
        <w:t xml:space="preserve"> | -0.57pp |</w:t>
      </w:r>
    </w:p>
    <w:p>
      <w:pPr/>
      <w:r>
        <w:rPr>
          <w:rFonts w:ascii="Courier New" w:hAnsi="Courier New"/>
          <w:sz w:val="20"/>
        </w:rPr>
        <w:t>| 12 | 76.72% | 91.98% | 0.00 | 0.00 |</w:t>
      </w:r>
    </w:p>
    <w:p>
      <w:pPr>
        <w:pStyle w:val="Heading3"/>
      </w:pPr>
      <w:r>
        <w:t>3.5 隐私边界验证</w:t>
      </w:r>
    </w:p>
    <w:p>
      <w:pPr/>
      <w:r>
        <w:rPr>
          <w:rFonts w:ascii="Courier New" w:hAnsi="Courier New"/>
          <w:sz w:val="20"/>
        </w:rPr>
        <w:t>| 字段 | 值 | 含义 |</w:t>
      </w:r>
    </w:p>
    <w:p>
      <w:pPr/>
      <w:r>
        <w:rPr>
          <w:rFonts w:ascii="Courier New" w:hAnsi="Courier New"/>
          <w:sz w:val="20"/>
        </w:rPr>
        <w:t>|---|---|---|</w:t>
      </w:r>
    </w:p>
    <w:p>
      <w:r>
        <w:t xml:space="preserve">| host_plaintext_pixel_values_materialized | </w:t>
      </w:r>
      <w:r>
        <w:rPr>
          <w:b/>
        </w:rPr>
        <w:t>false</w:t>
      </w:r>
      <w:r>
        <w:t xml:space="preserve"> | 服务器不接触明文影像 |</w:t>
      </w:r>
    </w:p>
    <w:p>
      <w:r>
        <w:t xml:space="preserve">| host_model_params_materialized | </w:t>
      </w:r>
      <w:r>
        <w:rPr>
          <w:b/>
        </w:rPr>
        <w:t>false</w:t>
      </w:r>
      <w:r>
        <w:t xml:space="preserve"> | 客户端不接触明文模型参数 |</w:t>
      </w:r>
    </w:p>
    <w:p>
      <w:r>
        <w:t xml:space="preserve">| spu_params_mode | </w:t>
      </w:r>
      <w:r>
        <w:rPr>
          <w:b/>
        </w:rPr>
        <w:t>secret</w:t>
      </w:r>
      <w:r>
        <w:t xml:space="preserve"> | 模型参数以 secret share 加载 |</w:t>
      </w:r>
    </w:p>
    <w:p>
      <w:r>
        <w:t xml:space="preserve">| runtime_pruning_keep_mask_pt | </w:t>
      </w:r>
      <w:r>
        <w:rPr>
          <w:b/>
        </w:rPr>
        <w:t>null</w:t>
      </w:r>
      <w:r>
        <w:t xml:space="preserve"> | pruning 决策完全在 SPU 内部生成 |</w:t>
      </w:r>
    </w:p>
    <w:p>
      <w:r>
        <w:t xml:space="preserve">| reveal_policy | </w:t>
      </w:r>
      <w:r>
        <w:rPr>
          <w:b/>
        </w:rPr>
        <w:t>final_logits_only</w:t>
      </w:r>
      <w:r>
        <w:t xml:space="preserve"> | 只暴露最终 logits |</w:t>
      </w:r>
    </w:p>
    <w:p>
      <w:r>
        <w:t xml:space="preserve">| finite_logits | </w:t>
      </w:r>
      <w:r>
        <w:rPr>
          <w:b/>
        </w:rPr>
        <w:t>true</w:t>
      </w:r>
      <w:r>
        <w:t xml:space="preserve"> | 所有推理结果数值稳定 |</w:t>
      </w:r>
    </w:p>
    <w:p>
      <w:r/>
      <w:r>
        <w:rPr>
          <w:b/>
        </w:rPr>
        <w:t>双向隐私边界完整成立。</w:t>
      </w:r>
      <w:r/>
    </w:p>
    <w:p>
      <w:pPr>
        <w:pStyle w:val="Heading3"/>
      </w:pPr>
      <w:r>
        <w:t>3.6 公平外部对比</w:t>
      </w:r>
    </w:p>
    <w:p>
      <w:pPr/>
      <w:r>
        <w:t>| 方法 | 训练方式 | threshold accuracy | AUC |</w:t>
      </w:r>
    </w:p>
    <w:p>
      <w:pPr/>
      <w:r>
        <w:t>|---|---|:---:|:---:|</w:t>
      </w:r>
    </w:p>
    <w:p>
      <w:r>
        <w:t>| Transshield（ours） | DynamicViT 重写 + depth10 | 91.98% | 0.9679 |</w:t>
      </w:r>
    </w:p>
    <w:p>
      <w:pPr/>
      <w:r>
        <w:t>| MPCViT [3] | 静态 ViT, 5-seed mean | 96.98% | 0.9927 |</w:t>
      </w:r>
    </w:p>
    <w:p>
      <w:pPr/>
      <w:r>
        <w:t>| DeiT-S Static | 无剪枝, depth12, 20ep | 95.99% | 0.9899 |</w:t>
      </w:r>
    </w:p>
    <w:p>
      <w:r>
        <w:t>| Original DynamicViT | 原始动态剪枝, 20ep | 80.73% | — |</w:t>
      </w:r>
    </w:p>
    <w:p>
      <w:pPr>
        <w:pStyle w:val="Heading3"/>
      </w:pPr>
      <w:r>
        <w:t>同数据集 PneumoniaMNIST（n=524），公平对比。MPCViT 5 个 seed 实测均值；DeiT-S Static 为相同架构无剪枝训练 20 epoch；Original DynamicViT 为标准 base_rate=0.7 动态剪枝训练 20 epoch。Transshield 精度低于 MPCViT 约 5pp，但实现了 MPCViT 不具备的动态剪枝 + 双向隐私保护能力。</w:t>
      </w:r>
    </w:p>
    <w:p>
      <w:r>
        <w:t xml:space="preserve">15 项验收 gate </w:t>
      </w:r>
      <w:r>
        <w:rPr>
          <w:b/>
        </w:rPr>
        <w:t>全部通过</w:t>
      </w:r>
      <w:r>
        <w:t>，五个核心闭环全部成立：</w:t>
      </w:r>
    </w:p>
    <w:p>
      <w:pPr/>
      <w:r>
        <w:rPr>
          <w:rFonts w:ascii="Courier New" w:hAnsi="Courier New"/>
          <w:sz w:val="20"/>
        </w:rPr>
        <w:t>| 闭环 | 状态 | 关键证据 |</w:t>
      </w:r>
    </w:p>
    <w:p>
      <w:pPr/>
      <w:r>
        <w:rPr>
          <w:rFonts w:ascii="Courier New" w:hAnsi="Courier New"/>
          <w:sz w:val="20"/>
        </w:rPr>
        <w:t>|---|---|---|</w:t>
      </w:r>
    </w:p>
    <w:p>
      <w:pPr/>
      <w:r>
        <w:rPr>
          <w:rFonts w:ascii="Courier New" w:hAnsi="Courier New"/>
          <w:sz w:val="20"/>
        </w:rPr>
        <w:t>| 方法闭环 | ✅ | masking→F_mux, threshold compare→F_less |</w:t>
      </w:r>
    </w:p>
    <w:p>
      <w:pPr/>
      <w:r>
        <w:rPr>
          <w:rFonts w:ascii="Courier New" w:hAnsi="Courier New"/>
          <w:sz w:val="20"/>
        </w:rPr>
        <w:t>| 系统闭环 | ✅ | score→threshold→decision→sidecar→replay→prediction |</w:t>
      </w:r>
    </w:p>
    <w:p>
      <w:pPr/>
      <w:r>
        <w:rPr>
          <w:rFonts w:ascii="Courier New" w:hAnsi="Courier New"/>
          <w:sz w:val="20"/>
        </w:rPr>
        <w:t>| 隐私闭环 | ✅ | 双向隐私字段全部满足 |</w:t>
      </w:r>
    </w:p>
    <w:p>
      <w:pPr/>
      <w:r>
        <w:rPr>
          <w:rFonts w:ascii="Courier New" w:hAnsi="Courier New"/>
          <w:sz w:val="20"/>
        </w:rPr>
        <w:t>| 效果闭环 | ✅ | 91.98% threshold acc, heldout238 92.44% |</w:t>
      </w:r>
    </w:p>
    <w:p>
      <w:pPr/>
      <w:r>
        <w:rPr>
          <w:rFonts w:ascii="Courier New" w:hAnsi="Courier New"/>
          <w:sz w:val="20"/>
        </w:rPr>
        <w:t>| 运行闭环 | ✅ | 批量稳定运行，失败恢复，结果落盘 |</w:t>
      </w:r>
    </w:p>
    <w:p>
      <w:r>
        <w:t>---</w:t>
      </w:r>
    </w:p>
    <w:p>
      <w:pPr>
        <w:pStyle w:val="Heading2"/>
      </w:pPr>
      <w:r>
        <w:t>第四章 创新性说明</w:t>
      </w:r>
    </w:p>
    <w:p>
      <w:pPr>
        <w:pStyle w:val="Heading3"/>
      </w:pPr>
      <w:r>
        <w:t>创新点一：DynamicViT Pruning Boundary 的协议友好重写</w:t>
      </w:r>
    </w:p>
    <w:p>
      <w:r/>
      <w:r>
        <w:rPr>
          <w:b/>
        </w:rPr>
        <w:t>首次</w:t>
      </w:r>
      <w:r>
        <w:t>将 DynamicViT 的 pruning 决策边界从直接删除 Token 的动态表达重写为 MPC 友好的静态表达。不是局部 patch，而是正式方法定义级别的重写。Pruning threshold 的动态性（随样本和 stage 变化）在安全环境中被完整保留。</w:t>
      </w:r>
    </w:p>
    <w:p>
      <w:r/>
      <w:r>
        <w:rPr>
          <w:b/>
        </w:rPr>
        <w:t>证据</w:t>
      </w:r>
      <w:r>
        <w:t>：boundary_kth_check 通过（3 stage，max abs error 1.28e-5），boundary_tie_check 通过（stage_decision_match_ratio = 1.0），e2e_same_policy_consistency_exact = true。</w:t>
      </w:r>
    </w:p>
    <w:p>
      <w:pPr>
        <w:pStyle w:val="Heading3"/>
      </w:pPr>
      <w:r>
        <w:t>创新点二：端到端隐私保护的 SPU Forward 实现</w:t>
      </w:r>
    </w:p>
    <w:p>
      <w:r/>
      <w:r>
        <w:rPr>
          <w:b/>
        </w:rPr>
        <w:t>首次</w:t>
      </w:r>
      <w:r>
        <w:t>在 DynamicViT 上实现 PredictorLG 完全在 SPU 内部执行的端到端隐私推理。不依赖任何外部预计算的 pruning 决策（runtime_pruning_keep_mask_pt = null），pruning boundary 在安全环境中动态生成。双向隐私边界同时成立。</w:t>
      </w:r>
    </w:p>
    <w:p>
      <w:pPr>
        <w:pStyle w:val="Heading3"/>
      </w:pPr>
      <w:r>
        <w:t>创新点三：Encoded-Key Bitonic Sort 安全 Top-K 选择</w:t>
      </w:r>
    </w:p>
    <w:p>
      <w:r>
        <w:t>提出 encoded-key = score - index × 1e-6 方案，将 tie-breaking 合并到单一比较操作。利用 bitonic sort 的 O(n log n) 复杂度和并行友好性，全程 jnp.where 条件赋值，保证 SPU 兼容性。</w:t>
      </w:r>
    </w:p>
    <w:p>
      <w:pPr>
        <w:pStyle w:val="Heading3"/>
      </w:pPr>
      <w:r>
        <w:t>创新点四：MPC-Friendly 算子族设计与训练-部署对齐</w:t>
      </w:r>
    </w:p>
    <w:p>
      <w:r>
        <w:t>设计 MPC-friendly 算子族（uniform attention、fixed_square activation、exact LayerNorm），训练时直接使用部署配置，消除训练-部署分布偏移。SPU-aware output calibration 在不修改安全计算图的前提下提升最终决策精度。</w:t>
      </w:r>
    </w:p>
    <w:p>
      <w:pPr>
        <w:pStyle w:val="Heading3"/>
      </w:pPr>
      <w:r>
        <w:t>创新点五：Token Pruning + Depth Truncation 联合效率优化</w:t>
      </w:r>
    </w:p>
    <w:p>
      <w:r>
        <w:t>在 MPC 环境中首次实现 DynamicViT 的 Token pruning 与 depth truncation 联合优化：</w:t>
      </w:r>
    </w:p>
    <w:p>
      <w:r>
        <w:t>- 三阶段 pruning：196→137→96→67 Token，后段 Block 通信量显著减少</w:t>
      </w:r>
    </w:p>
    <w:p>
      <w:r>
        <w:t>- Depth truncation：去掉最后 2 个 Block，减少 late-block 累积数值漂移，argmax 精度反而提升 +3.24pp</w:t>
      </w:r>
    </w:p>
    <w:p>
      <w:r>
        <w:t>- Batch 处理：协议开销摊薄</w:t>
      </w:r>
    </w:p>
    <w:p>
      <w:r>
        <w:t>- 联合效果：</w:t>
      </w:r>
      <w:r>
        <w:rPr>
          <w:b/>
        </w:rPr>
        <w:t>2.13 倍加速</w:t>
      </w:r>
      <w:r>
        <w:t>（100.5s vs 213.9s baseline）</w:t>
      </w:r>
    </w:p>
    <w:p>
      <w:r>
        <w:t>---</w:t>
      </w:r>
    </w:p>
    <w:p>
      <w:pPr>
        <w:pStyle w:val="Heading2"/>
      </w:pPr>
      <w:r>
        <w:t>第五章 跨领域通用性验证</w:t>
      </w:r>
    </w:p>
    <w:p>
      <w:pPr>
        <w:pStyle w:val="Heading3"/>
      </w:pPr>
      <w:r>
        <w:t>5.1 目标与动机</w:t>
      </w:r>
    </w:p>
    <w:p>
      <w:r>
        <w:t>Transshield 的核心方法（F_mux / F_less / bitonic sort）不绑定任何特定数据类型。为证明其不是"医疗专用"，本作品选择金融领域（信用卡欺诈检测）进行跨域验证。</w:t>
      </w:r>
    </w:p>
    <w:p>
      <w:pPr>
        <w:pStyle w:val="Heading3"/>
      </w:pPr>
      <w:r>
        <w:t>5.2 数据集</w:t>
      </w:r>
    </w:p>
    <w:p>
      <w:pPr/>
      <w:r>
        <w:rPr>
          <w:rFonts w:ascii="Courier New" w:hAnsi="Courier New"/>
          <w:sz w:val="20"/>
        </w:rPr>
        <w:t>| 属性 | 说明 |</w:t>
      </w:r>
    </w:p>
    <w:p>
      <w:pPr/>
      <w:r>
        <w:rPr>
          <w:rFonts w:ascii="Courier New" w:hAnsi="Courier New"/>
          <w:sz w:val="20"/>
        </w:rPr>
        <w:t>|---|---|</w:t>
      </w:r>
    </w:p>
    <w:p>
      <w:pPr/>
      <w:r>
        <w:rPr>
          <w:rFonts w:ascii="Courier New" w:hAnsi="Courier New"/>
          <w:sz w:val="20"/>
        </w:rPr>
        <w:t>| 数据源 | Credit Card Fraud Detection（公开数据集） |</w:t>
      </w:r>
    </w:p>
    <w:p>
      <w:pPr/>
      <w:r>
        <w:rPr>
          <w:rFonts w:ascii="Courier New" w:hAnsi="Courier New"/>
          <w:sz w:val="20"/>
        </w:rPr>
        <w:t>| 特征 | 28 个 PCA 特征 + Time + Amount = 30 个数值特征 |</w:t>
      </w:r>
    </w:p>
    <w:p>
      <w:pPr/>
      <w:r>
        <w:rPr>
          <w:rFonts w:ascii="Courier New" w:hAnsi="Courier New"/>
          <w:sz w:val="20"/>
        </w:rPr>
        <w:t>| 标签 | 正常/欺诈（原始极度不平衡：欺诈占 0.17%） |</w:t>
      </w:r>
    </w:p>
    <w:p>
      <w:pPr/>
      <w:r>
        <w:rPr>
          <w:rFonts w:ascii="Courier New" w:hAnsi="Courier New"/>
          <w:sz w:val="20"/>
        </w:rPr>
        <w:t>| 平衡处理 | 500 normal + 500 fraud train，100 + 100 val |</w:t>
      </w:r>
    </w:p>
    <w:p>
      <w:pPr/>
      <w:r>
        <w:rPr>
          <w:rFonts w:ascii="Courier New" w:hAnsi="Courier New"/>
          <w:sz w:val="20"/>
        </w:rPr>
        <w:t>| 编码方式 | 数值特征 → 224×224 灰度图像（normal=平滑梯度，fraud=高对比度斑块） |</w:t>
      </w:r>
    </w:p>
    <w:p>
      <w:pPr/>
      <w:r>
        <w:rPr>
          <w:rFonts w:ascii="Courier New" w:hAnsi="Courier New"/>
          <w:sz w:val="20"/>
        </w:rPr>
        <w:t>| 总计 | 1200 张编码图像 |</w:t>
      </w:r>
    </w:p>
    <w:p>
      <w:r>
        <w:t>编码器经历了三版迭代：v1 patch-based（66.7% 死）、v2 DCT（57.5% 死）、</w:t>
      </w:r>
      <w:r>
        <w:rPr>
          <w:b/>
        </w:rPr>
        <w:t>v3 image-like encoding 成功</w:t>
      </w:r>
      <w:r>
        <w:t>（99.5%）。关键经验：编码必须生成"看起来像图像"的平滑连续区域，才能复用 ViT 的 patch embedding。</w:t>
      </w:r>
    </w:p>
    <w:p>
      <w:pPr>
        <w:pStyle w:val="Heading3"/>
      </w:pPr>
      <w:r>
        <w:t>5.3 训练策略</w:t>
      </w:r>
    </w:p>
    <w:p>
      <w:pPr/>
      <w:r>
        <w:rPr>
          <w:rFonts w:ascii="Courier New" w:hAnsi="Courier New"/>
          <w:sz w:val="20"/>
        </w:rPr>
        <w:t>| 参数 | 金融域配置 | 与医疗域差异 |</w:t>
      </w:r>
    </w:p>
    <w:p>
      <w:pPr/>
      <w:r>
        <w:rPr>
          <w:rFonts w:ascii="Courier New" w:hAnsi="Courier New"/>
          <w:sz w:val="20"/>
        </w:rPr>
        <w:t>|---|---|---|</w:t>
      </w:r>
    </w:p>
    <w:p>
      <w:r>
        <w:t xml:space="preserve">| distillation | </w:t>
      </w:r>
      <w:r>
        <w:rPr>
          <w:b/>
        </w:rPr>
        <w:t>全部禁用</w:t>
      </w:r>
      <w:r>
        <w:t xml:space="preserve"> | 医疗域使用 teacher，金融域禁用 |</w:t>
      </w:r>
    </w:p>
    <w:p>
      <w:pPr/>
      <w:r>
        <w:rPr>
          <w:rFonts w:ascii="Courier New" w:hAnsi="Courier New"/>
          <w:sz w:val="20"/>
        </w:rPr>
        <w:t>| smoothing | 0.0 | 医疗域 0.1 |</w:t>
      </w:r>
    </w:p>
    <w:p>
      <w:pPr/>
      <w:r>
        <w:rPr>
          <w:rFonts w:ascii="Courier New" w:hAnsi="Courier New"/>
          <w:sz w:val="20"/>
        </w:rPr>
        <w:t>| lr | 1e-4 | 医疗域 1e-5 |</w:t>
      </w:r>
    </w:p>
    <w:p>
      <w:pPr/>
      <w:r>
        <w:rPr>
          <w:rFonts w:ascii="Courier New" w:hAnsi="Courier New"/>
          <w:sz w:val="20"/>
        </w:rPr>
        <w:t>| epochs | 15 | 医疗域 8 |</w:t>
      </w:r>
    </w:p>
    <w:p>
      <w:r/>
      <w:r>
        <w:rPr>
          <w:b/>
        </w:rPr>
        <w:t>关键发现</w:t>
      </w:r>
      <w:r>
        <w:t>：医疗域 teacher 的知识（pneumoniamnist 特征分布）完全不适合金融域，开启蒸馏会严重拖累金融域精度。禁用蒸馏后精度从 57.5% 提升至 99.5%。</w:t>
      </w:r>
    </w:p>
    <w:p>
      <w:pPr>
        <w:pStyle w:val="Heading3"/>
      </w:pPr>
      <w:r>
        <w:t>5.4 实验结果</w:t>
      </w:r>
    </w:p>
    <w:p>
      <w:pPr/>
      <w:r>
        <w:rPr>
          <w:rFonts w:ascii="Courier New" w:hAnsi="Courier New"/>
          <w:sz w:val="20"/>
        </w:rPr>
        <w:t>| 指标 | 医疗（胸片） | 金融（欺诈检测） |</w:t>
      </w:r>
    </w:p>
    <w:p>
      <w:pPr/>
      <w:r>
        <w:rPr>
          <w:rFonts w:ascii="Courier New" w:hAnsi="Courier New"/>
          <w:sz w:val="20"/>
        </w:rPr>
        <w:t>|---|---|---|</w:t>
      </w:r>
    </w:p>
    <w:p>
      <w:pPr/>
      <w:r>
        <w:rPr>
          <w:rFonts w:ascii="Courier New" w:hAnsi="Courier New"/>
          <w:sz w:val="20"/>
        </w:rPr>
        <w:t>| 任务类型 | 二分类 | 二分类 |</w:t>
      </w:r>
    </w:p>
    <w:p>
      <w:pPr/>
      <w:r>
        <w:rPr>
          <w:rFonts w:ascii="Courier New" w:hAnsi="Courier New"/>
          <w:sz w:val="20"/>
        </w:rPr>
        <w:t>| 输入格式 | 224×224 影像 | 224×224 编码图像 |</w:t>
      </w:r>
    </w:p>
    <w:p>
      <w:pPr/>
      <w:r>
        <w:rPr>
          <w:rFonts w:ascii="Courier New" w:hAnsi="Courier New"/>
          <w:sz w:val="20"/>
        </w:rPr>
        <w:t>| 模型架构 | DeiT-S | DeiT-S（完全复用） |</w:t>
      </w:r>
    </w:p>
    <w:p>
      <w:pPr/>
      <w:r>
        <w:rPr>
          <w:rFonts w:ascii="Courier New" w:hAnsi="Courier New"/>
          <w:sz w:val="20"/>
        </w:rPr>
        <w:t>| Plaintext accuracy | threshold 91.98% | argmax 99.5% |</w:t>
      </w:r>
    </w:p>
    <w:p>
      <w:pPr/>
      <w:r>
        <w:rPr>
          <w:rFonts w:ascii="Courier New" w:hAnsi="Courier New"/>
          <w:sz w:val="20"/>
        </w:rPr>
        <w:t>| SPU argmax_match | 1.0 | 1.0 |</w:t>
      </w:r>
    </w:p>
    <w:p>
      <w:pPr/>
      <w:r>
        <w:t>| max_abs_logits_error | — | 0.001373 |</w:t>
      </w:r>
    </w:p>
    <w:p>
      <w:pPr/>
      <w:r>
        <w:t>| host_plaintext_pixel_values_materialized | false | false |</w:t>
      </w:r>
    </w:p>
    <w:p>
      <w:pPr/>
      <w:r>
        <w:rPr>
          <w:rFonts w:ascii="Courier New" w:hAnsi="Courier New"/>
          <w:sz w:val="20"/>
        </w:rPr>
        <w:t>| host_model_params_materialized | false | false |</w:t>
      </w:r>
    </w:p>
    <w:p>
      <w:pPr/>
      <w:r>
        <w:t>| elapsed_sec (SPU) | 100.5s (batch8) | 117.8s (LRD rank192, batch8, party-local secret) |</w:t>
      </w:r>
    </w:p>
    <w:p>
      <w:pPr>
        <w:pStyle w:val="Heading3"/>
      </w:pPr>
      <w:r>
        <w:t>5.5 结论</w:t>
      </w:r>
    </w:p>
    <w:p>
      <w:r>
        <w:t>1. Transshield 的核心隐私推理链路（F_mux + F_less + bitonic sort + PredictorLG in-SPU）在金融域上零修改直接复用。</w:t>
      </w:r>
    </w:p>
    <w:p>
      <w:r>
        <w:t>2. 双向隐私边界在金融域完整成立：服务器看不到金融数据明文，客户端获取不到模型参数。</w:t>
      </w:r>
    </w:p>
    <w:p>
      <w:r>
        <w:t>3. SPU 推理精度与 plaintext 完全一致（argmax_match=1.0），证明安全计算不引入额外精度损失。</w:t>
      </w:r>
    </w:p>
    <w:p>
      <w:r>
        <w:t>4. Transshield 已从"医疗影像隐私推理系统"升级为</w:t>
      </w:r>
      <w:r>
        <w:rPr>
          <w:b/>
        </w:rPr>
        <w:t>通用隐私保护推理框架</w:t>
      </w:r>
      <w:r>
        <w:t>。</w:t>
      </w:r>
    </w:p>
    <w:p>
      <w:r>
        <w:t>---</w:t>
      </w:r>
    </w:p>
    <w:p>
      <w:pPr>
        <w:pStyle w:val="Heading2"/>
      </w:pPr>
      <w:r>
        <w:t>第六章 总结</w:t>
      </w:r>
    </w:p>
    <w:p>
      <w:r>
        <w:t>Transshield 针对医疗影像 AI 推理中的双向隐私保护难题，提出了面向安全多方计算的动态 Token 剪枝边界协议友好重写方法。通过将 DynamicViT 的 pruning 决策边界从"直接删除 Token"重写为"masking + 安全比较"的静态表达，首次实现了 PredictorLG 在 SPU 内部的完整端到端执行，达到了双向隐私保护与推理效率的统一。</w:t>
      </w:r>
    </w:p>
    <w:p>
      <w:pPr/>
      <w:r>
        <w:rPr>
          <w:rFonts w:ascii="Courier New" w:hAnsi="Courier New"/>
          <w:sz w:val="20"/>
        </w:rPr>
        <w:t>| 维度 | 指标 |</w:t>
      </w:r>
    </w:p>
    <w:p>
      <w:pPr/>
      <w:r>
        <w:rPr>
          <w:rFonts w:ascii="Courier New" w:hAnsi="Courier New"/>
          <w:sz w:val="20"/>
        </w:rPr>
        <w:t>|---|---|</w:t>
      </w:r>
    </w:p>
    <w:p>
      <w:pPr/>
      <w:r>
        <w:rPr>
          <w:rFonts w:ascii="Courier New" w:hAnsi="Courier New"/>
          <w:sz w:val="20"/>
        </w:rPr>
        <w:t>| 精度 | threshold accuracy 91.98%，AUC 0.9679，heldout238 92.44% |</w:t>
      </w:r>
    </w:p>
    <w:p>
      <w:pPr/>
      <w:r>
        <w:rPr>
          <w:rFonts w:ascii="Courier New" w:hAnsi="Courier New"/>
          <w:sz w:val="20"/>
        </w:rPr>
        <w:t>| 效率 | Secure Pruning 100.5s/sample（2.13× 加速），runtime 复用 21s/sample |</w:t>
      </w:r>
    </w:p>
    <w:p>
      <w:pPr/>
      <w:r>
        <w:rPr>
          <w:rFonts w:ascii="Courier New" w:hAnsi="Courier New"/>
          <w:sz w:val="20"/>
        </w:rPr>
        <w:t>| 隐私 | 双向边界完整成立，15/15 验收通过 |</w:t>
      </w:r>
    </w:p>
    <w:p>
      <w:r>
        <w:t>未来方向：进一步优化 SPU session 开销、探索 embedding/position encoding 的 secure 优化、推广到更多下游任务和更大 ViT 变体。</w:t>
      </w:r>
    </w:p>
    <w:p>
      <w:r>
        <w:t>---</w:t>
      </w:r>
    </w:p>
    <w:p>
      <w:pPr>
        <w:pStyle w:val="Heading2"/>
      </w:pPr>
      <w:r>
        <w:t>参考文献</w:t>
      </w:r>
    </w:p>
    <w:p>
      <w:r>
        <w:t>[1] Dosovitskiy A, et al. An image is worth 16x16 words: Transformers for image recognition at scale[C]. ICLR 2021.</w:t>
      </w:r>
    </w:p>
    <w:p>
      <w:r>
        <w:t>[2] Rao Y, et al. DynamicViT: Efficient Vision Transformers with Dynamic Token Sparsification[C]. NeurIPS 2021.</w:t>
      </w:r>
    </w:p>
    <w:p>
      <w:r>
        <w:t>[3] Li Z, et al. MPCViT: Searching for Accurate and Efficient MPC-Friendly Vision Transformer[C]. USENIX Security 2024.</w:t>
      </w:r>
    </w:p>
    <w:p>
      <w:r>
        <w:t>[4] Rathee D, et al. CrypTFlow2: Practical 2-Party Secure Inference[C]. CCS 2020.</w:t>
      </w:r>
    </w:p>
    <w:p>
      <w:r>
        <w:t>[5] Riazi M S, et al. Chameleon: A Hybrid Secure Computation Framework[C]. AsiaCCS 2018.</w:t>
      </w:r>
    </w:p>
    <w:p>
      <w:r>
        <w:t>[6] Wagh S, et al. SecureNN: 3-Party Secure Computation for Neural Network Training[J]. PoPETs 2019.</w:t>
      </w:r>
    </w:p>
    <w:p>
      <w:r>
        <w:t>[7] Mishra P, et al. Delphi: A Cryptographic Inference Service for Neural Networks[C]. USENIX Security 2020.</w:t>
      </w:r>
    </w:p>
    <w:p>
      <w:r>
        <w:t>[8] Touvron H, et al. Training data-efficient image transformers &amp; distillation through attention[C]. ICML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