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A8B2" w14:textId="77777777" w:rsidR="00035316" w:rsidRDefault="00035316">
      <w:pPr>
        <w:rPr>
          <w:rFonts w:ascii="黑体" w:eastAsia="黑体" w:hAnsi="宋体" w:hint="eastAsia"/>
          <w:sz w:val="32"/>
          <w:szCs w:val="32"/>
        </w:rPr>
      </w:pPr>
    </w:p>
    <w:p w14:paraId="6F176451" w14:textId="77777777" w:rsidR="00035316" w:rsidRDefault="00035316">
      <w:pPr>
        <w:rPr>
          <w:rFonts w:ascii="黑体" w:eastAsia="黑体" w:hAnsi="宋体" w:hint="eastAsia"/>
          <w:sz w:val="32"/>
          <w:szCs w:val="32"/>
        </w:rPr>
      </w:pPr>
    </w:p>
    <w:p w14:paraId="6F706558" w14:textId="77777777" w:rsidR="00035316" w:rsidRDefault="00035316">
      <w:pPr>
        <w:rPr>
          <w:rFonts w:ascii="黑体" w:eastAsia="黑体" w:hAnsi="宋体" w:hint="eastAsia"/>
          <w:sz w:val="32"/>
          <w:szCs w:val="32"/>
        </w:rPr>
      </w:pPr>
    </w:p>
    <w:p w14:paraId="45ECCCCA" w14:textId="77777777" w:rsidR="00035316" w:rsidRDefault="00831B25">
      <w:pPr>
        <w:jc w:val="center"/>
        <w:rPr>
          <w:rFonts w:ascii="黑体" w:eastAsia="黑体" w:hAnsi="宋体" w:hint="eastAsia"/>
          <w:b/>
          <w:sz w:val="52"/>
          <w:szCs w:val="52"/>
        </w:rPr>
      </w:pPr>
      <w:r>
        <w:rPr>
          <w:rFonts w:eastAsia="黑体"/>
          <w:b/>
          <w:sz w:val="52"/>
          <w:szCs w:val="52"/>
        </w:rPr>
        <w:t>202</w:t>
      </w:r>
      <w:r>
        <w:rPr>
          <w:rFonts w:eastAsia="黑体" w:hint="eastAsia"/>
          <w:b/>
          <w:sz w:val="52"/>
          <w:szCs w:val="52"/>
        </w:rPr>
        <w:t>6</w:t>
      </w:r>
      <w:r>
        <w:rPr>
          <w:rFonts w:ascii="黑体" w:eastAsia="黑体" w:hAnsi="宋体" w:hint="eastAsia"/>
          <w:b/>
          <w:sz w:val="52"/>
          <w:szCs w:val="52"/>
        </w:rPr>
        <w:t>年全国大学生信息安全竞赛</w:t>
      </w:r>
    </w:p>
    <w:p w14:paraId="287949E9" w14:textId="77777777" w:rsidR="00035316" w:rsidRDefault="00831B25">
      <w:pPr>
        <w:jc w:val="center"/>
        <w:rPr>
          <w:b/>
          <w:sz w:val="52"/>
          <w:szCs w:val="52"/>
        </w:rPr>
      </w:pPr>
      <w:r>
        <w:rPr>
          <w:rFonts w:ascii="黑体" w:eastAsia="黑体" w:hAnsi="宋体" w:hint="eastAsia"/>
          <w:b/>
          <w:sz w:val="52"/>
          <w:szCs w:val="52"/>
        </w:rPr>
        <w:t>作品报告</w:t>
      </w:r>
    </w:p>
    <w:p w14:paraId="50153208" w14:textId="77777777" w:rsidR="00035316" w:rsidRDefault="00035316">
      <w:pPr>
        <w:spacing w:line="360" w:lineRule="auto"/>
        <w:rPr>
          <w:rFonts w:ascii="宋体" w:hAnsi="宋体" w:hint="eastAsia"/>
          <w:sz w:val="24"/>
        </w:rPr>
      </w:pPr>
    </w:p>
    <w:p w14:paraId="582D3432" w14:textId="77777777" w:rsidR="00035316" w:rsidRDefault="00035316">
      <w:pPr>
        <w:spacing w:line="360" w:lineRule="auto"/>
        <w:rPr>
          <w:rFonts w:ascii="宋体" w:hAnsi="宋体" w:hint="eastAsia"/>
          <w:sz w:val="24"/>
        </w:rPr>
      </w:pPr>
    </w:p>
    <w:p w14:paraId="59385374" w14:textId="77777777" w:rsidR="00035316" w:rsidRDefault="00035316">
      <w:pPr>
        <w:spacing w:line="360" w:lineRule="auto"/>
        <w:rPr>
          <w:rFonts w:ascii="宋体" w:hAnsi="宋体" w:hint="eastAsia"/>
          <w:sz w:val="24"/>
        </w:rPr>
      </w:pPr>
    </w:p>
    <w:p w14:paraId="60E67B8E" w14:textId="77777777" w:rsidR="00035316" w:rsidRDefault="00035316">
      <w:pPr>
        <w:spacing w:line="360" w:lineRule="auto"/>
        <w:rPr>
          <w:rFonts w:ascii="宋体" w:hAnsi="宋体" w:hint="eastAsia"/>
          <w:sz w:val="24"/>
        </w:rPr>
      </w:pPr>
    </w:p>
    <w:p w14:paraId="051EDE71" w14:textId="77777777" w:rsidR="00035316" w:rsidRDefault="00035316">
      <w:pPr>
        <w:spacing w:line="360" w:lineRule="auto"/>
        <w:rPr>
          <w:rFonts w:ascii="宋体" w:hAnsi="宋体" w:hint="eastAsia"/>
          <w:sz w:val="24"/>
        </w:rPr>
      </w:pPr>
    </w:p>
    <w:p w14:paraId="0C483F17" w14:textId="77777777" w:rsidR="00035316" w:rsidRDefault="00035316">
      <w:pPr>
        <w:spacing w:line="360" w:lineRule="auto"/>
        <w:rPr>
          <w:rFonts w:ascii="宋体" w:hAnsi="宋体" w:hint="eastAsia"/>
          <w:sz w:val="24"/>
        </w:rPr>
      </w:pPr>
    </w:p>
    <w:p w14:paraId="4AA90502" w14:textId="77777777" w:rsidR="00035316" w:rsidRDefault="00035316">
      <w:pPr>
        <w:spacing w:line="360" w:lineRule="auto"/>
        <w:rPr>
          <w:rFonts w:ascii="宋体" w:hAnsi="宋体" w:hint="eastAsia"/>
          <w:sz w:val="24"/>
        </w:rPr>
      </w:pPr>
    </w:p>
    <w:p w14:paraId="51320BA5" w14:textId="77777777" w:rsidR="00035316" w:rsidRDefault="00831B25">
      <w:pPr>
        <w:spacing w:line="360" w:lineRule="auto"/>
        <w:rPr>
          <w:rFonts w:ascii="黑体" w:eastAsia="黑体" w:hAnsi="宋体" w:hint="eastAsia"/>
          <w:b/>
          <w:sz w:val="32"/>
          <w:szCs w:val="32"/>
          <w:u w:val="single"/>
        </w:rPr>
      </w:pPr>
      <w:r>
        <w:rPr>
          <w:rFonts w:ascii="黑体" w:eastAsia="黑体" w:hAnsi="宋体" w:hint="eastAsia"/>
          <w:b/>
          <w:sz w:val="32"/>
          <w:szCs w:val="32"/>
        </w:rPr>
        <w:t>作品名称：</w:t>
      </w:r>
      <w:r>
        <w:rPr>
          <w:rFonts w:ascii="黑体" w:eastAsia="黑体" w:hAnsi="宋体" w:hint="eastAsia"/>
          <w:b/>
          <w:sz w:val="32"/>
          <w:szCs w:val="32"/>
          <w:u w:val="single"/>
        </w:rPr>
        <w:t xml:space="preserve">                                          </w:t>
      </w:r>
    </w:p>
    <w:p w14:paraId="07F5A4B1" w14:textId="77777777" w:rsidR="00035316" w:rsidRDefault="00831B25">
      <w:pPr>
        <w:spacing w:line="360" w:lineRule="auto"/>
        <w:rPr>
          <w:rFonts w:ascii="黑体" w:eastAsia="黑体" w:hAnsi="宋体" w:hint="eastAsia"/>
          <w:b/>
          <w:sz w:val="32"/>
          <w:szCs w:val="32"/>
        </w:rPr>
      </w:pPr>
      <w:r>
        <w:rPr>
          <w:rFonts w:ascii="黑体" w:eastAsia="黑体" w:hAnsi="宋体" w:hint="eastAsia"/>
          <w:b/>
          <w:sz w:val="32"/>
          <w:szCs w:val="32"/>
        </w:rPr>
        <w:t>电子邮箱：</w:t>
      </w:r>
      <w:r>
        <w:rPr>
          <w:rFonts w:ascii="黑体" w:eastAsia="黑体" w:hAnsi="宋体" w:hint="eastAsia"/>
          <w:b/>
          <w:sz w:val="32"/>
          <w:szCs w:val="32"/>
          <w:u w:val="single"/>
        </w:rPr>
        <w:t xml:space="preserve">                                          </w:t>
      </w:r>
    </w:p>
    <w:p w14:paraId="75BBD56B" w14:textId="77777777" w:rsidR="00035316" w:rsidRDefault="00831B25">
      <w:pPr>
        <w:spacing w:line="360" w:lineRule="auto"/>
        <w:rPr>
          <w:rFonts w:ascii="宋体" w:hAnsi="宋体" w:hint="eastAsia"/>
          <w:b/>
          <w:sz w:val="24"/>
        </w:rPr>
      </w:pPr>
      <w:r>
        <w:rPr>
          <w:rFonts w:ascii="黑体" w:eastAsia="黑体" w:hAnsi="宋体" w:hint="eastAsia"/>
          <w:b/>
          <w:sz w:val="32"/>
          <w:szCs w:val="32"/>
        </w:rPr>
        <w:t>提交日期：</w:t>
      </w:r>
      <w:r>
        <w:rPr>
          <w:rFonts w:ascii="黑体" w:eastAsia="黑体" w:hAnsi="宋体" w:hint="eastAsia"/>
          <w:b/>
          <w:sz w:val="32"/>
          <w:szCs w:val="32"/>
          <w:u w:val="single"/>
        </w:rPr>
        <w:t xml:space="preserve">                                          </w:t>
      </w:r>
    </w:p>
    <w:p w14:paraId="41F74FC6" w14:textId="77777777" w:rsidR="00035316" w:rsidRDefault="00035316">
      <w:pPr>
        <w:autoSpaceDE w:val="0"/>
        <w:autoSpaceDN w:val="0"/>
        <w:adjustRightInd w:val="0"/>
        <w:spacing w:line="360" w:lineRule="auto"/>
        <w:rPr>
          <w:rFonts w:ascii="宋体" w:hAnsi="宋体" w:cs="DFKai-SB" w:hint="eastAsia"/>
          <w:b/>
          <w:bCs/>
          <w:sz w:val="24"/>
        </w:rPr>
        <w:sectPr w:rsidR="00035316">
          <w:footerReference w:type="even" r:id="rId7"/>
          <w:pgSz w:w="11906" w:h="16838"/>
          <w:pgMar w:top="1440" w:right="1466" w:bottom="1440" w:left="1620" w:header="851" w:footer="992" w:gutter="0"/>
          <w:pgNumType w:fmt="decimalEnclosedCircle"/>
          <w:cols w:space="425"/>
          <w:docGrid w:type="lines" w:linePitch="312"/>
        </w:sectPr>
      </w:pPr>
    </w:p>
    <w:p w14:paraId="47BC39F8" w14:textId="77777777" w:rsidR="00035316" w:rsidRDefault="00831B25">
      <w:pPr>
        <w:adjustRightInd w:val="0"/>
        <w:snapToGrid w:val="0"/>
        <w:spacing w:line="360" w:lineRule="auto"/>
        <w:jc w:val="center"/>
        <w:rPr>
          <w:rFonts w:ascii="黑体" w:eastAsia="黑体"/>
          <w:bCs/>
          <w:sz w:val="32"/>
          <w:szCs w:val="32"/>
        </w:rPr>
      </w:pPr>
      <w:r>
        <w:rPr>
          <w:rFonts w:ascii="黑体" w:eastAsia="黑体" w:hint="eastAsia"/>
          <w:bCs/>
          <w:sz w:val="32"/>
          <w:szCs w:val="32"/>
        </w:rPr>
        <w:t>填写说明</w:t>
      </w:r>
    </w:p>
    <w:p w14:paraId="1B08AD2C" w14:textId="77777777" w:rsidR="00035316" w:rsidRDefault="00831B25">
      <w:pPr>
        <w:autoSpaceDE w:val="0"/>
        <w:autoSpaceDN w:val="0"/>
        <w:adjustRightInd w:val="0"/>
        <w:spacing w:line="360" w:lineRule="auto"/>
        <w:rPr>
          <w:rFonts w:ascii="宋体" w:hAnsi="宋体" w:cs="DFKai-SB" w:hint="eastAsia"/>
          <w:bCs/>
          <w:sz w:val="24"/>
        </w:rPr>
      </w:pPr>
      <w:r>
        <w:rPr>
          <w:rFonts w:ascii="宋体" w:hAnsi="宋体" w:cs="DFKai-SB" w:hint="eastAsia"/>
          <w:bCs/>
          <w:sz w:val="24"/>
        </w:rPr>
        <w:t xml:space="preserve">1. </w:t>
      </w:r>
      <w:r>
        <w:rPr>
          <w:rFonts w:ascii="宋体" w:hAnsi="宋体" w:cs="DFKai-SB"/>
          <w:bCs/>
          <w:sz w:val="24"/>
        </w:rPr>
        <w:t>所有参赛</w:t>
      </w:r>
      <w:r>
        <w:rPr>
          <w:rFonts w:ascii="宋体" w:hAnsi="宋体" w:cs="DFKai-SB" w:hint="eastAsia"/>
          <w:bCs/>
          <w:sz w:val="24"/>
        </w:rPr>
        <w:t>项目</w:t>
      </w:r>
      <w:r>
        <w:rPr>
          <w:rFonts w:ascii="宋体" w:hAnsi="宋体" w:cs="DFKai-SB"/>
          <w:bCs/>
          <w:sz w:val="24"/>
        </w:rPr>
        <w:t>必须为一个基本完整的设计。</w:t>
      </w:r>
      <w:r>
        <w:rPr>
          <w:rFonts w:ascii="宋体" w:hAnsi="宋体" w:cs="DFKai-SB" w:hint="eastAsia"/>
          <w:bCs/>
          <w:sz w:val="24"/>
        </w:rPr>
        <w:t>作品报告书旨在能够清晰准确地阐述（或图示）该参赛队的参赛项目（或</w:t>
      </w:r>
      <w:r>
        <w:rPr>
          <w:rFonts w:ascii="宋体" w:hAnsi="宋体" w:cs="DFKai-SB"/>
          <w:bCs/>
          <w:sz w:val="24"/>
        </w:rPr>
        <w:t>方案</w:t>
      </w:r>
      <w:r>
        <w:rPr>
          <w:rFonts w:ascii="宋体" w:hAnsi="宋体" w:cs="DFKai-SB" w:hint="eastAsia"/>
          <w:bCs/>
          <w:sz w:val="24"/>
        </w:rPr>
        <w:t>）。</w:t>
      </w:r>
    </w:p>
    <w:p w14:paraId="36E82ECD" w14:textId="77777777" w:rsidR="00035316" w:rsidRDefault="00831B25">
      <w:pPr>
        <w:autoSpaceDE w:val="0"/>
        <w:autoSpaceDN w:val="0"/>
        <w:adjustRightInd w:val="0"/>
        <w:spacing w:line="360" w:lineRule="auto"/>
        <w:rPr>
          <w:rFonts w:ascii="宋体" w:hAnsi="宋体" w:cs="DFKai-SB" w:hint="eastAsia"/>
          <w:bCs/>
          <w:sz w:val="24"/>
        </w:rPr>
      </w:pPr>
      <w:r>
        <w:rPr>
          <w:rFonts w:ascii="宋体" w:hAnsi="宋体" w:cs="DFKai-SB" w:hint="eastAsia"/>
          <w:bCs/>
          <w:sz w:val="24"/>
        </w:rPr>
        <w:t>2. 作品报告采用A4纸撰写。除标题外，所有内容必需为宋体、小四号字、1.5倍行距。</w:t>
      </w:r>
    </w:p>
    <w:p w14:paraId="045842B2" w14:textId="77777777" w:rsidR="00035316" w:rsidRDefault="00831B25">
      <w:pPr>
        <w:autoSpaceDE w:val="0"/>
        <w:autoSpaceDN w:val="0"/>
        <w:adjustRightInd w:val="0"/>
        <w:spacing w:line="360" w:lineRule="auto"/>
        <w:rPr>
          <w:rFonts w:ascii="宋体" w:hAnsi="宋体" w:cs="DFKai-SB" w:hint="eastAsia"/>
          <w:bCs/>
          <w:sz w:val="24"/>
        </w:rPr>
      </w:pPr>
      <w:r>
        <w:rPr>
          <w:rFonts w:ascii="宋体" w:hAnsi="宋体" w:cs="DFKai-SB" w:hint="eastAsia"/>
          <w:bCs/>
          <w:sz w:val="24"/>
        </w:rPr>
        <w:t>3. 作品报告中各项目说明文字部分仅供参考，作品报告书撰写完毕后，请删除所有说明文字。(本页不删除)</w:t>
      </w:r>
    </w:p>
    <w:p w14:paraId="4903606F" w14:textId="77777777" w:rsidR="00035316" w:rsidRDefault="00831B25">
      <w:pPr>
        <w:autoSpaceDE w:val="0"/>
        <w:autoSpaceDN w:val="0"/>
        <w:adjustRightInd w:val="0"/>
        <w:spacing w:line="360" w:lineRule="auto"/>
        <w:rPr>
          <w:rFonts w:ascii="宋体" w:hAnsi="宋体" w:cs="DFKai-SB" w:hint="eastAsia"/>
          <w:bCs/>
          <w:sz w:val="24"/>
        </w:rPr>
      </w:pPr>
      <w:r>
        <w:rPr>
          <w:rFonts w:ascii="宋体" w:hAnsi="宋体" w:cs="DFKai-SB" w:hint="eastAsia"/>
          <w:bCs/>
          <w:sz w:val="24"/>
        </w:rPr>
        <w:t>4. 作品报告模板里已经列的内容仅供参考，作者可以在此基础上增加内容或对文档结构进行微调。</w:t>
      </w:r>
    </w:p>
    <w:p w14:paraId="21975DE4" w14:textId="77777777" w:rsidR="00035316" w:rsidRDefault="00831B25">
      <w:pPr>
        <w:autoSpaceDE w:val="0"/>
        <w:autoSpaceDN w:val="0"/>
        <w:adjustRightInd w:val="0"/>
        <w:spacing w:line="360" w:lineRule="auto"/>
        <w:rPr>
          <w:rFonts w:ascii="宋体" w:hAnsi="宋体" w:cs="DFKai-SB" w:hint="eastAsia"/>
          <w:bCs/>
          <w:sz w:val="24"/>
        </w:rPr>
      </w:pPr>
      <w:r>
        <w:rPr>
          <w:rFonts w:ascii="宋体" w:hAnsi="宋体" w:cs="DFKai-SB" w:hint="eastAsia"/>
          <w:bCs/>
          <w:sz w:val="24"/>
        </w:rPr>
        <w:t>5. 为保证网评的公平、公正，作品报告中应避免出现作者所在学校、院系和指导教师等泄露身份的信息。</w:t>
      </w:r>
    </w:p>
    <w:p w14:paraId="46F9A5F4" w14:textId="77777777" w:rsidR="00035316" w:rsidRDefault="00035316">
      <w:pPr>
        <w:adjustRightInd w:val="0"/>
        <w:snapToGrid w:val="0"/>
        <w:spacing w:line="360" w:lineRule="auto"/>
        <w:rPr>
          <w:rFonts w:ascii="黑体" w:eastAsia="黑体"/>
          <w:bCs/>
          <w:sz w:val="32"/>
          <w:szCs w:val="32"/>
        </w:rPr>
      </w:pPr>
    </w:p>
    <w:p w14:paraId="72606F55" w14:textId="77777777" w:rsidR="00035316" w:rsidRDefault="00035316">
      <w:pPr>
        <w:autoSpaceDE w:val="0"/>
        <w:autoSpaceDN w:val="0"/>
        <w:adjustRightInd w:val="0"/>
        <w:spacing w:line="360" w:lineRule="auto"/>
        <w:rPr>
          <w:rFonts w:ascii="宋体" w:hAnsi="宋体" w:cs="DFKai-SB" w:hint="eastAsia"/>
          <w:bCs/>
          <w:sz w:val="24"/>
        </w:rPr>
      </w:pPr>
    </w:p>
    <w:p w14:paraId="789C0D15" w14:textId="77777777" w:rsidR="00035316" w:rsidRDefault="00035316">
      <w:pPr>
        <w:autoSpaceDE w:val="0"/>
        <w:autoSpaceDN w:val="0"/>
        <w:adjustRightInd w:val="0"/>
        <w:spacing w:line="360" w:lineRule="auto"/>
        <w:rPr>
          <w:rFonts w:ascii="宋体" w:hAnsi="宋体" w:cs="DFKai-SB" w:hint="eastAsia"/>
          <w:bCs/>
          <w:sz w:val="24"/>
        </w:rPr>
      </w:pPr>
    </w:p>
    <w:p w14:paraId="15AECC8D" w14:textId="77777777" w:rsidR="00035316" w:rsidRDefault="00035316">
      <w:pPr>
        <w:autoSpaceDE w:val="0"/>
        <w:autoSpaceDN w:val="0"/>
        <w:adjustRightInd w:val="0"/>
        <w:spacing w:line="360" w:lineRule="auto"/>
        <w:rPr>
          <w:rFonts w:ascii="宋体" w:hAnsi="宋体" w:cs="DFKai-SB" w:hint="eastAsia"/>
          <w:bCs/>
          <w:sz w:val="24"/>
        </w:rPr>
      </w:pPr>
    </w:p>
    <w:p w14:paraId="6DEA02AE" w14:textId="77777777" w:rsidR="00035316" w:rsidRDefault="00035316">
      <w:pPr>
        <w:autoSpaceDE w:val="0"/>
        <w:autoSpaceDN w:val="0"/>
        <w:adjustRightInd w:val="0"/>
        <w:spacing w:line="360" w:lineRule="auto"/>
        <w:rPr>
          <w:rFonts w:ascii="宋体" w:hAnsi="宋体" w:cs="DFKai-SB" w:hint="eastAsia"/>
          <w:bCs/>
          <w:sz w:val="24"/>
        </w:rPr>
      </w:pPr>
    </w:p>
    <w:p w14:paraId="4575B5A9" w14:textId="77777777" w:rsidR="00035316" w:rsidRDefault="00035316">
      <w:pPr>
        <w:autoSpaceDE w:val="0"/>
        <w:autoSpaceDN w:val="0"/>
        <w:adjustRightInd w:val="0"/>
        <w:spacing w:line="360" w:lineRule="auto"/>
        <w:rPr>
          <w:rFonts w:ascii="宋体" w:hAnsi="宋体" w:cs="DFKai-SB" w:hint="eastAsia"/>
          <w:bCs/>
          <w:sz w:val="24"/>
        </w:rPr>
      </w:pPr>
    </w:p>
    <w:p w14:paraId="4FC6F653" w14:textId="77777777" w:rsidR="00035316" w:rsidRDefault="00035316">
      <w:pPr>
        <w:autoSpaceDE w:val="0"/>
        <w:autoSpaceDN w:val="0"/>
        <w:adjustRightInd w:val="0"/>
        <w:spacing w:line="360" w:lineRule="auto"/>
        <w:rPr>
          <w:rFonts w:ascii="宋体" w:hAnsi="宋体" w:cs="DFKai-SB" w:hint="eastAsia"/>
          <w:bCs/>
          <w:sz w:val="24"/>
        </w:rPr>
      </w:pPr>
    </w:p>
    <w:p w14:paraId="1EE4B781" w14:textId="77777777" w:rsidR="00035316" w:rsidRDefault="00035316">
      <w:pPr>
        <w:autoSpaceDE w:val="0"/>
        <w:autoSpaceDN w:val="0"/>
        <w:adjustRightInd w:val="0"/>
        <w:spacing w:line="360" w:lineRule="auto"/>
        <w:rPr>
          <w:rFonts w:ascii="宋体" w:hAnsi="宋体" w:cs="DFKai-SB" w:hint="eastAsia"/>
          <w:bCs/>
          <w:sz w:val="24"/>
        </w:rPr>
      </w:pPr>
    </w:p>
    <w:p w14:paraId="4760922D" w14:textId="77777777" w:rsidR="00035316" w:rsidRDefault="00035316">
      <w:pPr>
        <w:autoSpaceDE w:val="0"/>
        <w:autoSpaceDN w:val="0"/>
        <w:adjustRightInd w:val="0"/>
        <w:spacing w:line="360" w:lineRule="auto"/>
        <w:rPr>
          <w:rFonts w:ascii="宋体" w:hAnsi="宋体" w:cs="DFKai-SB" w:hint="eastAsia"/>
          <w:bCs/>
          <w:sz w:val="24"/>
        </w:rPr>
      </w:pPr>
    </w:p>
    <w:p w14:paraId="5ED498AB" w14:textId="77777777" w:rsidR="00035316" w:rsidRDefault="00035316">
      <w:pPr>
        <w:autoSpaceDE w:val="0"/>
        <w:autoSpaceDN w:val="0"/>
        <w:adjustRightInd w:val="0"/>
        <w:spacing w:line="360" w:lineRule="auto"/>
        <w:rPr>
          <w:rFonts w:ascii="宋体" w:hAnsi="宋体" w:cs="DFKai-SB" w:hint="eastAsia"/>
          <w:bCs/>
          <w:sz w:val="24"/>
        </w:rPr>
      </w:pPr>
    </w:p>
    <w:p w14:paraId="1CF1CD89" w14:textId="77777777" w:rsidR="00035316" w:rsidRDefault="00831B25">
      <w:pPr>
        <w:rPr>
          <w:rFonts w:ascii="黑体" w:eastAsia="黑体" w:hAnsi="黑体" w:cs="黑体" w:hint="eastAsia"/>
          <w:b/>
          <w:bCs/>
          <w:sz w:val="32"/>
          <w:szCs w:val="32"/>
        </w:rPr>
      </w:pPr>
      <w:r>
        <w:rPr>
          <w:rFonts w:ascii="黑体" w:eastAsia="黑体" w:hAnsi="宋体" w:cs="DFKai-SB" w:hint="eastAsia"/>
          <w:b/>
          <w:bCs/>
          <w:sz w:val="32"/>
          <w:szCs w:val="32"/>
        </w:rPr>
        <w:br w:type="page"/>
      </w:r>
    </w:p>
    <w:sdt>
      <w:sdtPr>
        <w:rPr>
          <w:rFonts w:ascii="宋体" w:hAnsi="宋体"/>
        </w:rPr>
        <w:id w:val="147474048"/>
        <w15:color w:val="DBDBDB"/>
        <w:docPartObj>
          <w:docPartGallery w:val="Table of Contents"/>
          <w:docPartUnique/>
        </w:docPartObj>
      </w:sdtPr>
      <w:sdtEndPr/>
      <w:sdtContent>
        <w:p w14:paraId="0366CC73" w14:textId="77777777" w:rsidR="00035316" w:rsidRDefault="00831B25">
          <w:pPr>
            <w:jc w:val="center"/>
            <w:rPr>
              <w:rFonts w:ascii="黑体" w:eastAsia="黑体" w:hAnsi="黑体" w:cs="黑体" w:hint="eastAsia"/>
              <w:b/>
              <w:bCs/>
              <w:sz w:val="32"/>
              <w:szCs w:val="32"/>
            </w:rPr>
          </w:pPr>
          <w:r>
            <w:rPr>
              <w:rFonts w:ascii="黑体" w:eastAsia="黑体" w:hAnsi="黑体" w:cs="黑体" w:hint="eastAsia"/>
              <w:b/>
              <w:bCs/>
              <w:sz w:val="32"/>
              <w:szCs w:val="32"/>
            </w:rPr>
            <w:t>目录</w:t>
          </w:r>
        </w:p>
        <w:p w14:paraId="4900ACBF" w14:textId="4C841833" w:rsidR="004F142C" w:rsidRDefault="00831B25">
          <w:pPr>
            <w:pStyle w:val="TOC1"/>
            <w:tabs>
              <w:tab w:val="right" w:leader="dot" w:pos="8810"/>
            </w:tabs>
            <w:rPr>
              <w:rFonts w:asciiTheme="minorHAnsi" w:eastAsiaTheme="minorEastAsia" w:hAnsiTheme="minorHAnsi" w:cstheme="minorBidi"/>
              <w:noProof/>
              <w:color w:val="auto"/>
              <w:sz w:val="22"/>
              <w14:ligatures w14:val="standardContextual"/>
            </w:rPr>
          </w:pPr>
          <w:r>
            <w:rPr>
              <w:rFonts w:hint="default"/>
            </w:rPr>
            <w:fldChar w:fldCharType="begin"/>
          </w:r>
          <w:r>
            <w:instrText xml:space="preserve">TOC \o "1-3" \h \u </w:instrText>
          </w:r>
          <w:r>
            <w:rPr>
              <w:rFonts w:hint="default"/>
            </w:rPr>
            <w:fldChar w:fldCharType="separate"/>
          </w:r>
          <w:hyperlink w:anchor="_Toc230989529" w:history="1">
            <w:r w:rsidR="004F142C" w:rsidRPr="00B30883">
              <w:rPr>
                <w:rStyle w:val="a9"/>
                <w:noProof/>
              </w:rPr>
              <w:t>摘要</w:t>
            </w:r>
            <w:r w:rsidR="004F142C">
              <w:rPr>
                <w:noProof/>
              </w:rPr>
              <w:tab/>
            </w:r>
            <w:r w:rsidR="004F142C">
              <w:rPr>
                <w:noProof/>
              </w:rPr>
              <w:fldChar w:fldCharType="begin"/>
            </w:r>
            <w:r w:rsidR="004F142C">
              <w:rPr>
                <w:noProof/>
              </w:rPr>
              <w:instrText xml:space="preserve"> PAGEREF _Toc230989529 \h </w:instrText>
            </w:r>
            <w:r w:rsidR="004F142C">
              <w:rPr>
                <w:noProof/>
              </w:rPr>
            </w:r>
            <w:r w:rsidR="004F142C">
              <w:rPr>
                <w:noProof/>
              </w:rPr>
              <w:fldChar w:fldCharType="separate"/>
            </w:r>
            <w:r w:rsidR="004F142C">
              <w:rPr>
                <w:noProof/>
              </w:rPr>
              <w:t>5</w:t>
            </w:r>
            <w:r w:rsidR="004F142C">
              <w:rPr>
                <w:noProof/>
              </w:rPr>
              <w:fldChar w:fldCharType="end"/>
            </w:r>
          </w:hyperlink>
        </w:p>
        <w:p w14:paraId="39EFF6E0" w14:textId="7C17582E" w:rsidR="004F142C" w:rsidRDefault="004F142C">
          <w:pPr>
            <w:pStyle w:val="TOC1"/>
            <w:tabs>
              <w:tab w:val="right" w:leader="dot" w:pos="8810"/>
            </w:tabs>
            <w:rPr>
              <w:rFonts w:asciiTheme="minorHAnsi" w:eastAsiaTheme="minorEastAsia" w:hAnsiTheme="minorHAnsi" w:cstheme="minorBidi"/>
              <w:noProof/>
              <w:color w:val="auto"/>
              <w:sz w:val="22"/>
              <w14:ligatures w14:val="standardContextual"/>
            </w:rPr>
          </w:pPr>
          <w:hyperlink w:anchor="_Toc230989530" w:history="1">
            <w:r w:rsidRPr="00B30883">
              <w:rPr>
                <w:rStyle w:val="a9"/>
                <w:noProof/>
              </w:rPr>
              <w:t>第一章 作品概述</w:t>
            </w:r>
            <w:r>
              <w:rPr>
                <w:noProof/>
              </w:rPr>
              <w:tab/>
            </w:r>
            <w:r>
              <w:rPr>
                <w:noProof/>
              </w:rPr>
              <w:fldChar w:fldCharType="begin"/>
            </w:r>
            <w:r>
              <w:rPr>
                <w:noProof/>
              </w:rPr>
              <w:instrText xml:space="preserve"> PAGEREF _Toc230989530 \h </w:instrText>
            </w:r>
            <w:r>
              <w:rPr>
                <w:noProof/>
              </w:rPr>
            </w:r>
            <w:r>
              <w:rPr>
                <w:noProof/>
              </w:rPr>
              <w:fldChar w:fldCharType="separate"/>
            </w:r>
            <w:r>
              <w:rPr>
                <w:noProof/>
              </w:rPr>
              <w:t>6</w:t>
            </w:r>
            <w:r>
              <w:rPr>
                <w:noProof/>
              </w:rPr>
              <w:fldChar w:fldCharType="end"/>
            </w:r>
          </w:hyperlink>
        </w:p>
        <w:p w14:paraId="45DEC0E6" w14:textId="38F255A6"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31" w:history="1">
            <w:r w:rsidRPr="00B30883">
              <w:rPr>
                <w:rStyle w:val="a9"/>
                <w:b/>
                <w:noProof/>
              </w:rPr>
              <w:t>1.1 背景与目标</w:t>
            </w:r>
            <w:r>
              <w:rPr>
                <w:noProof/>
              </w:rPr>
              <w:tab/>
            </w:r>
            <w:r>
              <w:rPr>
                <w:noProof/>
              </w:rPr>
              <w:fldChar w:fldCharType="begin"/>
            </w:r>
            <w:r>
              <w:rPr>
                <w:noProof/>
              </w:rPr>
              <w:instrText xml:space="preserve"> PAGEREF _Toc230989531 \h </w:instrText>
            </w:r>
            <w:r>
              <w:rPr>
                <w:noProof/>
              </w:rPr>
            </w:r>
            <w:r>
              <w:rPr>
                <w:noProof/>
              </w:rPr>
              <w:fldChar w:fldCharType="separate"/>
            </w:r>
            <w:r>
              <w:rPr>
                <w:noProof/>
              </w:rPr>
              <w:t>6</w:t>
            </w:r>
            <w:r>
              <w:rPr>
                <w:noProof/>
              </w:rPr>
              <w:fldChar w:fldCharType="end"/>
            </w:r>
          </w:hyperlink>
        </w:p>
        <w:p w14:paraId="0D9B0303" w14:textId="182431C0"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32" w:history="1">
            <w:r w:rsidRPr="00B30883">
              <w:rPr>
                <w:rStyle w:val="a9"/>
                <w:b/>
                <w:noProof/>
              </w:rPr>
              <w:t>1.2 应用场景与交付边界</w:t>
            </w:r>
            <w:r>
              <w:rPr>
                <w:noProof/>
              </w:rPr>
              <w:tab/>
            </w:r>
            <w:r>
              <w:rPr>
                <w:noProof/>
              </w:rPr>
              <w:fldChar w:fldCharType="begin"/>
            </w:r>
            <w:r>
              <w:rPr>
                <w:noProof/>
              </w:rPr>
              <w:instrText xml:space="preserve"> PAGEREF _Toc230989532 \h </w:instrText>
            </w:r>
            <w:r>
              <w:rPr>
                <w:noProof/>
              </w:rPr>
            </w:r>
            <w:r>
              <w:rPr>
                <w:noProof/>
              </w:rPr>
              <w:fldChar w:fldCharType="separate"/>
            </w:r>
            <w:r>
              <w:rPr>
                <w:noProof/>
              </w:rPr>
              <w:t>6</w:t>
            </w:r>
            <w:r>
              <w:rPr>
                <w:noProof/>
              </w:rPr>
              <w:fldChar w:fldCharType="end"/>
            </w:r>
          </w:hyperlink>
        </w:p>
        <w:p w14:paraId="0ECF3A32" w14:textId="5E210051"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33" w:history="1">
            <w:r w:rsidRPr="00B30883">
              <w:rPr>
                <w:rStyle w:val="a9"/>
                <w:b/>
                <w:noProof/>
              </w:rPr>
              <w:t>1.3 核心贡献</w:t>
            </w:r>
            <w:r>
              <w:rPr>
                <w:noProof/>
              </w:rPr>
              <w:tab/>
            </w:r>
            <w:r>
              <w:rPr>
                <w:noProof/>
              </w:rPr>
              <w:fldChar w:fldCharType="begin"/>
            </w:r>
            <w:r>
              <w:rPr>
                <w:noProof/>
              </w:rPr>
              <w:instrText xml:space="preserve"> PAGEREF _Toc230989533 \h </w:instrText>
            </w:r>
            <w:r>
              <w:rPr>
                <w:noProof/>
              </w:rPr>
            </w:r>
            <w:r>
              <w:rPr>
                <w:noProof/>
              </w:rPr>
              <w:fldChar w:fldCharType="separate"/>
            </w:r>
            <w:r>
              <w:rPr>
                <w:noProof/>
              </w:rPr>
              <w:t>7</w:t>
            </w:r>
            <w:r>
              <w:rPr>
                <w:noProof/>
              </w:rPr>
              <w:fldChar w:fldCharType="end"/>
            </w:r>
          </w:hyperlink>
        </w:p>
        <w:p w14:paraId="3EF85B2B" w14:textId="6F9EB47B"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34" w:history="1">
            <w:r w:rsidRPr="00B30883">
              <w:rPr>
                <w:rStyle w:val="a9"/>
                <w:b/>
                <w:noProof/>
              </w:rPr>
              <w:t>1.4 相关工作与技术定位</w:t>
            </w:r>
            <w:r>
              <w:rPr>
                <w:noProof/>
              </w:rPr>
              <w:tab/>
            </w:r>
            <w:r>
              <w:rPr>
                <w:noProof/>
              </w:rPr>
              <w:fldChar w:fldCharType="begin"/>
            </w:r>
            <w:r>
              <w:rPr>
                <w:noProof/>
              </w:rPr>
              <w:instrText xml:space="preserve"> PAGEREF _Toc230989534 \h </w:instrText>
            </w:r>
            <w:r>
              <w:rPr>
                <w:noProof/>
              </w:rPr>
            </w:r>
            <w:r>
              <w:rPr>
                <w:noProof/>
              </w:rPr>
              <w:fldChar w:fldCharType="separate"/>
            </w:r>
            <w:r>
              <w:rPr>
                <w:noProof/>
              </w:rPr>
              <w:t>7</w:t>
            </w:r>
            <w:r>
              <w:rPr>
                <w:noProof/>
              </w:rPr>
              <w:fldChar w:fldCharType="end"/>
            </w:r>
          </w:hyperlink>
        </w:p>
        <w:p w14:paraId="58CE53A4" w14:textId="3A47C1F8"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35" w:history="1">
            <w:r w:rsidRPr="00B30883">
              <w:rPr>
                <w:rStyle w:val="a9"/>
                <w:rFonts w:ascii="黑体" w:eastAsia="黑体" w:hAnsi="黑体" w:hint="eastAsia"/>
                <w:noProof/>
              </w:rPr>
              <w:t>1.4.1 通用私有推理系统演进</w:t>
            </w:r>
            <w:r>
              <w:rPr>
                <w:rFonts w:hint="eastAsia"/>
                <w:noProof/>
              </w:rPr>
              <w:tab/>
            </w:r>
            <w:r>
              <w:rPr>
                <w:rFonts w:hint="eastAsia"/>
                <w:noProof/>
              </w:rPr>
              <w:fldChar w:fldCharType="begin"/>
            </w:r>
            <w:r>
              <w:rPr>
                <w:rFonts w:hint="eastAsia"/>
                <w:noProof/>
              </w:rPr>
              <w:instrText xml:space="preserve"> </w:instrText>
            </w:r>
            <w:r>
              <w:rPr>
                <w:noProof/>
              </w:rPr>
              <w:instrText>PAGEREF _Toc230989535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E6B9E4E" w14:textId="222E732E"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36" w:history="1">
            <w:r w:rsidRPr="00B30883">
              <w:rPr>
                <w:rStyle w:val="a9"/>
                <w:rFonts w:ascii="黑体" w:eastAsia="黑体" w:hAnsi="黑体" w:hint="eastAsia"/>
                <w:noProof/>
              </w:rPr>
              <w:t>1.4.2 固定结构 Transformer 私有推理路线</w:t>
            </w:r>
            <w:r>
              <w:rPr>
                <w:rFonts w:hint="eastAsia"/>
                <w:noProof/>
              </w:rPr>
              <w:tab/>
            </w:r>
            <w:r>
              <w:rPr>
                <w:rFonts w:hint="eastAsia"/>
                <w:noProof/>
              </w:rPr>
              <w:fldChar w:fldCharType="begin"/>
            </w:r>
            <w:r>
              <w:rPr>
                <w:rFonts w:hint="eastAsia"/>
                <w:noProof/>
              </w:rPr>
              <w:instrText xml:space="preserve"> </w:instrText>
            </w:r>
            <w:r>
              <w:rPr>
                <w:noProof/>
              </w:rPr>
              <w:instrText>PAGEREF _Toc230989536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01A50D7A" w14:textId="4D010DFB"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37" w:history="1">
            <w:r w:rsidRPr="00B30883">
              <w:rPr>
                <w:rStyle w:val="a9"/>
                <w:rFonts w:ascii="黑体" w:eastAsia="黑体" w:hAnsi="黑体" w:hint="eastAsia"/>
                <w:noProof/>
              </w:rPr>
              <w:t>1.4.3 动态 Token 优化与本作品定位</w:t>
            </w:r>
            <w:r>
              <w:rPr>
                <w:rFonts w:hint="eastAsia"/>
                <w:noProof/>
              </w:rPr>
              <w:tab/>
            </w:r>
            <w:r>
              <w:rPr>
                <w:rFonts w:hint="eastAsia"/>
                <w:noProof/>
              </w:rPr>
              <w:fldChar w:fldCharType="begin"/>
            </w:r>
            <w:r>
              <w:rPr>
                <w:rFonts w:hint="eastAsia"/>
                <w:noProof/>
              </w:rPr>
              <w:instrText xml:space="preserve"> </w:instrText>
            </w:r>
            <w:r>
              <w:rPr>
                <w:noProof/>
              </w:rPr>
              <w:instrText>PAGEREF _Toc230989537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402AD9B" w14:textId="6B958F89" w:rsidR="004F142C" w:rsidRDefault="004F142C">
          <w:pPr>
            <w:pStyle w:val="TOC1"/>
            <w:tabs>
              <w:tab w:val="right" w:leader="dot" w:pos="8810"/>
            </w:tabs>
            <w:rPr>
              <w:rFonts w:asciiTheme="minorHAnsi" w:eastAsiaTheme="minorEastAsia" w:hAnsiTheme="minorHAnsi" w:cstheme="minorBidi"/>
              <w:noProof/>
              <w:color w:val="auto"/>
              <w:sz w:val="22"/>
              <w14:ligatures w14:val="standardContextual"/>
            </w:rPr>
          </w:pPr>
          <w:hyperlink w:anchor="_Toc230989538" w:history="1">
            <w:r w:rsidRPr="00B30883">
              <w:rPr>
                <w:rStyle w:val="a9"/>
                <w:noProof/>
              </w:rPr>
              <w:t>第二章 系统设计</w:t>
            </w:r>
            <w:r>
              <w:rPr>
                <w:noProof/>
              </w:rPr>
              <w:tab/>
            </w:r>
            <w:r>
              <w:rPr>
                <w:noProof/>
              </w:rPr>
              <w:fldChar w:fldCharType="begin"/>
            </w:r>
            <w:r>
              <w:rPr>
                <w:noProof/>
              </w:rPr>
              <w:instrText xml:space="preserve"> PAGEREF _Toc230989538 \h </w:instrText>
            </w:r>
            <w:r>
              <w:rPr>
                <w:noProof/>
              </w:rPr>
            </w:r>
            <w:r>
              <w:rPr>
                <w:noProof/>
              </w:rPr>
              <w:fldChar w:fldCharType="separate"/>
            </w:r>
            <w:r>
              <w:rPr>
                <w:noProof/>
              </w:rPr>
              <w:t>10</w:t>
            </w:r>
            <w:r>
              <w:rPr>
                <w:noProof/>
              </w:rPr>
              <w:fldChar w:fldCharType="end"/>
            </w:r>
          </w:hyperlink>
        </w:p>
        <w:p w14:paraId="65CAD432" w14:textId="0339C1EB"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39" w:history="1">
            <w:r w:rsidRPr="00B30883">
              <w:rPr>
                <w:rStyle w:val="a9"/>
                <w:b/>
                <w:noProof/>
              </w:rPr>
              <w:t>2.1 总体架构</w:t>
            </w:r>
            <w:r>
              <w:rPr>
                <w:noProof/>
              </w:rPr>
              <w:tab/>
            </w:r>
            <w:r>
              <w:rPr>
                <w:noProof/>
              </w:rPr>
              <w:fldChar w:fldCharType="begin"/>
            </w:r>
            <w:r>
              <w:rPr>
                <w:noProof/>
              </w:rPr>
              <w:instrText xml:space="preserve"> PAGEREF _Toc230989539 \h </w:instrText>
            </w:r>
            <w:r>
              <w:rPr>
                <w:noProof/>
              </w:rPr>
            </w:r>
            <w:r>
              <w:rPr>
                <w:noProof/>
              </w:rPr>
              <w:fldChar w:fldCharType="separate"/>
            </w:r>
            <w:r>
              <w:rPr>
                <w:noProof/>
              </w:rPr>
              <w:t>10</w:t>
            </w:r>
            <w:r>
              <w:rPr>
                <w:noProof/>
              </w:rPr>
              <w:fldChar w:fldCharType="end"/>
            </w:r>
          </w:hyperlink>
        </w:p>
        <w:p w14:paraId="313B730B" w14:textId="409A5EDD"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40" w:history="1">
            <w:r w:rsidRPr="00B30883">
              <w:rPr>
                <w:rStyle w:val="a9"/>
                <w:b/>
                <w:noProof/>
              </w:rPr>
              <w:t>2.3 软件流程</w:t>
            </w:r>
            <w:r>
              <w:rPr>
                <w:noProof/>
              </w:rPr>
              <w:tab/>
            </w:r>
            <w:r>
              <w:rPr>
                <w:noProof/>
              </w:rPr>
              <w:fldChar w:fldCharType="begin"/>
            </w:r>
            <w:r>
              <w:rPr>
                <w:noProof/>
              </w:rPr>
              <w:instrText xml:space="preserve"> PAGEREF _Toc230989540 \h </w:instrText>
            </w:r>
            <w:r>
              <w:rPr>
                <w:noProof/>
              </w:rPr>
            </w:r>
            <w:r>
              <w:rPr>
                <w:noProof/>
              </w:rPr>
              <w:fldChar w:fldCharType="separate"/>
            </w:r>
            <w:r>
              <w:rPr>
                <w:noProof/>
              </w:rPr>
              <w:t>11</w:t>
            </w:r>
            <w:r>
              <w:rPr>
                <w:noProof/>
              </w:rPr>
              <w:fldChar w:fldCharType="end"/>
            </w:r>
          </w:hyperlink>
        </w:p>
        <w:p w14:paraId="50B94C4E" w14:textId="2006451C"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41" w:history="1">
            <w:r w:rsidRPr="00B30883">
              <w:rPr>
                <w:rStyle w:val="a9"/>
                <w:b/>
                <w:noProof/>
              </w:rPr>
              <w:t>2.2 威胁模型与安全边界</w:t>
            </w:r>
            <w:r>
              <w:rPr>
                <w:noProof/>
              </w:rPr>
              <w:tab/>
            </w:r>
            <w:r>
              <w:rPr>
                <w:noProof/>
              </w:rPr>
              <w:fldChar w:fldCharType="begin"/>
            </w:r>
            <w:r>
              <w:rPr>
                <w:noProof/>
              </w:rPr>
              <w:instrText xml:space="preserve"> PAGEREF _Toc230989541 \h </w:instrText>
            </w:r>
            <w:r>
              <w:rPr>
                <w:noProof/>
              </w:rPr>
            </w:r>
            <w:r>
              <w:rPr>
                <w:noProof/>
              </w:rPr>
              <w:fldChar w:fldCharType="separate"/>
            </w:r>
            <w:r>
              <w:rPr>
                <w:noProof/>
              </w:rPr>
              <w:t>12</w:t>
            </w:r>
            <w:r>
              <w:rPr>
                <w:noProof/>
              </w:rPr>
              <w:fldChar w:fldCharType="end"/>
            </w:r>
          </w:hyperlink>
        </w:p>
        <w:p w14:paraId="6FB127F8" w14:textId="35F86F63"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42" w:history="1">
            <w:r w:rsidRPr="00B30883">
              <w:rPr>
                <w:rStyle w:val="a9"/>
                <w:b/>
                <w:noProof/>
              </w:rPr>
              <w:t>2.4 DynamicViT 密态改写</w:t>
            </w:r>
            <w:r>
              <w:rPr>
                <w:noProof/>
              </w:rPr>
              <w:tab/>
            </w:r>
            <w:r>
              <w:rPr>
                <w:noProof/>
              </w:rPr>
              <w:fldChar w:fldCharType="begin"/>
            </w:r>
            <w:r>
              <w:rPr>
                <w:noProof/>
              </w:rPr>
              <w:instrText xml:space="preserve"> PAGEREF _Toc230989542 \h </w:instrText>
            </w:r>
            <w:r>
              <w:rPr>
                <w:noProof/>
              </w:rPr>
            </w:r>
            <w:r>
              <w:rPr>
                <w:noProof/>
              </w:rPr>
              <w:fldChar w:fldCharType="separate"/>
            </w:r>
            <w:r>
              <w:rPr>
                <w:noProof/>
              </w:rPr>
              <w:t>14</w:t>
            </w:r>
            <w:r>
              <w:rPr>
                <w:noProof/>
              </w:rPr>
              <w:fldChar w:fldCharType="end"/>
            </w:r>
          </w:hyperlink>
        </w:p>
        <w:p w14:paraId="7A575AEA" w14:textId="2ABDAFF1"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43" w:history="1">
            <w:r w:rsidRPr="00B30883">
              <w:rPr>
                <w:rStyle w:val="a9"/>
                <w:b/>
                <w:noProof/>
              </w:rPr>
              <w:t>2.5 硬件部署与软件基准</w:t>
            </w:r>
            <w:r>
              <w:rPr>
                <w:noProof/>
              </w:rPr>
              <w:tab/>
            </w:r>
            <w:r>
              <w:rPr>
                <w:noProof/>
              </w:rPr>
              <w:fldChar w:fldCharType="begin"/>
            </w:r>
            <w:r>
              <w:rPr>
                <w:noProof/>
              </w:rPr>
              <w:instrText xml:space="preserve"> PAGEREF _Toc230989543 \h </w:instrText>
            </w:r>
            <w:r>
              <w:rPr>
                <w:noProof/>
              </w:rPr>
            </w:r>
            <w:r>
              <w:rPr>
                <w:noProof/>
              </w:rPr>
              <w:fldChar w:fldCharType="separate"/>
            </w:r>
            <w:r>
              <w:rPr>
                <w:noProof/>
              </w:rPr>
              <w:t>17</w:t>
            </w:r>
            <w:r>
              <w:rPr>
                <w:noProof/>
              </w:rPr>
              <w:fldChar w:fldCharType="end"/>
            </w:r>
          </w:hyperlink>
        </w:p>
        <w:p w14:paraId="0447ACBC" w14:textId="67D1111B"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44" w:history="1">
            <w:r w:rsidRPr="00B30883">
              <w:rPr>
                <w:rStyle w:val="a9"/>
                <w:b/>
                <w:noProof/>
              </w:rPr>
              <w:t>2.6 展示样例与真实部署框架</w:t>
            </w:r>
            <w:r>
              <w:rPr>
                <w:noProof/>
              </w:rPr>
              <w:tab/>
            </w:r>
            <w:r>
              <w:rPr>
                <w:noProof/>
              </w:rPr>
              <w:fldChar w:fldCharType="begin"/>
            </w:r>
            <w:r>
              <w:rPr>
                <w:noProof/>
              </w:rPr>
              <w:instrText xml:space="preserve"> PAGEREF _Toc230989544 \h </w:instrText>
            </w:r>
            <w:r>
              <w:rPr>
                <w:noProof/>
              </w:rPr>
            </w:r>
            <w:r>
              <w:rPr>
                <w:noProof/>
              </w:rPr>
              <w:fldChar w:fldCharType="separate"/>
            </w:r>
            <w:r>
              <w:rPr>
                <w:noProof/>
              </w:rPr>
              <w:t>18</w:t>
            </w:r>
            <w:r>
              <w:rPr>
                <w:noProof/>
              </w:rPr>
              <w:fldChar w:fldCharType="end"/>
            </w:r>
          </w:hyperlink>
        </w:p>
        <w:p w14:paraId="4CBA6729" w14:textId="00C8DBA6" w:rsidR="004F142C" w:rsidRDefault="004F142C">
          <w:pPr>
            <w:pStyle w:val="TOC1"/>
            <w:tabs>
              <w:tab w:val="right" w:leader="dot" w:pos="8810"/>
            </w:tabs>
            <w:rPr>
              <w:rFonts w:asciiTheme="minorHAnsi" w:eastAsiaTheme="minorEastAsia" w:hAnsiTheme="minorHAnsi" w:cstheme="minorBidi"/>
              <w:noProof/>
              <w:color w:val="auto"/>
              <w:sz w:val="22"/>
              <w14:ligatures w14:val="standardContextual"/>
            </w:rPr>
          </w:pPr>
          <w:hyperlink w:anchor="_Toc230989545" w:history="1">
            <w:r w:rsidRPr="00B30883">
              <w:rPr>
                <w:rStyle w:val="a9"/>
                <w:noProof/>
              </w:rPr>
              <w:t>第三章 系统实现</w:t>
            </w:r>
            <w:r>
              <w:rPr>
                <w:noProof/>
              </w:rPr>
              <w:tab/>
            </w:r>
            <w:r>
              <w:rPr>
                <w:noProof/>
              </w:rPr>
              <w:fldChar w:fldCharType="begin"/>
            </w:r>
            <w:r>
              <w:rPr>
                <w:noProof/>
              </w:rPr>
              <w:instrText xml:space="preserve"> PAGEREF _Toc230989545 \h </w:instrText>
            </w:r>
            <w:r>
              <w:rPr>
                <w:noProof/>
              </w:rPr>
            </w:r>
            <w:r>
              <w:rPr>
                <w:noProof/>
              </w:rPr>
              <w:fldChar w:fldCharType="separate"/>
            </w:r>
            <w:r>
              <w:rPr>
                <w:noProof/>
              </w:rPr>
              <w:t>19</w:t>
            </w:r>
            <w:r>
              <w:rPr>
                <w:noProof/>
              </w:rPr>
              <w:fldChar w:fldCharType="end"/>
            </w:r>
          </w:hyperlink>
        </w:p>
        <w:p w14:paraId="261478F2" w14:textId="58C99B89"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46" w:history="1">
            <w:r w:rsidRPr="00B30883">
              <w:rPr>
                <w:rStyle w:val="a9"/>
                <w:b/>
                <w:noProof/>
              </w:rPr>
              <w:t>3.1 模型改造与两方安全推理链路</w:t>
            </w:r>
            <w:r>
              <w:rPr>
                <w:noProof/>
              </w:rPr>
              <w:tab/>
            </w:r>
            <w:r>
              <w:rPr>
                <w:noProof/>
              </w:rPr>
              <w:fldChar w:fldCharType="begin"/>
            </w:r>
            <w:r>
              <w:rPr>
                <w:noProof/>
              </w:rPr>
              <w:instrText xml:space="preserve"> PAGEREF _Toc230989546 \h </w:instrText>
            </w:r>
            <w:r>
              <w:rPr>
                <w:noProof/>
              </w:rPr>
            </w:r>
            <w:r>
              <w:rPr>
                <w:noProof/>
              </w:rPr>
              <w:fldChar w:fldCharType="separate"/>
            </w:r>
            <w:r>
              <w:rPr>
                <w:noProof/>
              </w:rPr>
              <w:t>19</w:t>
            </w:r>
            <w:r>
              <w:rPr>
                <w:noProof/>
              </w:rPr>
              <w:fldChar w:fldCharType="end"/>
            </w:r>
          </w:hyperlink>
        </w:p>
        <w:p w14:paraId="7A70A8B6" w14:textId="1D4BB37C"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47" w:history="1">
            <w:r w:rsidRPr="00B30883">
              <w:rPr>
                <w:rStyle w:val="a9"/>
                <w:rFonts w:ascii="黑体" w:eastAsia="黑体" w:hAnsi="黑体" w:hint="eastAsia"/>
                <w:noProof/>
              </w:rPr>
              <w:t>3.1.1 固定图安全化重写</w:t>
            </w:r>
            <w:r>
              <w:rPr>
                <w:rFonts w:hint="eastAsia"/>
                <w:noProof/>
              </w:rPr>
              <w:tab/>
            </w:r>
            <w:r>
              <w:rPr>
                <w:rFonts w:hint="eastAsia"/>
                <w:noProof/>
              </w:rPr>
              <w:fldChar w:fldCharType="begin"/>
            </w:r>
            <w:r>
              <w:rPr>
                <w:rFonts w:hint="eastAsia"/>
                <w:noProof/>
              </w:rPr>
              <w:instrText xml:space="preserve"> </w:instrText>
            </w:r>
            <w:r>
              <w:rPr>
                <w:noProof/>
              </w:rPr>
              <w:instrText>PAGEREF _Toc230989547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F05554A" w14:textId="0AB919DF"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48" w:history="1">
            <w:r w:rsidRPr="00B30883">
              <w:rPr>
                <w:rStyle w:val="a9"/>
                <w:rFonts w:ascii="黑体" w:eastAsia="黑体" w:hAnsi="黑体" w:hint="eastAsia"/>
                <w:noProof/>
              </w:rPr>
              <w:t>3.1.2 执行结构与边界约束</w:t>
            </w:r>
            <w:r>
              <w:rPr>
                <w:rFonts w:hint="eastAsia"/>
                <w:noProof/>
              </w:rPr>
              <w:tab/>
            </w:r>
            <w:r>
              <w:rPr>
                <w:rFonts w:hint="eastAsia"/>
                <w:noProof/>
              </w:rPr>
              <w:fldChar w:fldCharType="begin"/>
            </w:r>
            <w:r>
              <w:rPr>
                <w:rFonts w:hint="eastAsia"/>
                <w:noProof/>
              </w:rPr>
              <w:instrText xml:space="preserve"> </w:instrText>
            </w:r>
            <w:r>
              <w:rPr>
                <w:noProof/>
              </w:rPr>
              <w:instrText>PAGEREF _Toc230989548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1AA5C570" w14:textId="0F8AF827"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49" w:history="1">
            <w:r w:rsidRPr="00B30883">
              <w:rPr>
                <w:rStyle w:val="a9"/>
                <w:b/>
                <w:noProof/>
              </w:rPr>
              <w:t>3.2 端到端执行流程与模块协同</w:t>
            </w:r>
            <w:r>
              <w:rPr>
                <w:noProof/>
              </w:rPr>
              <w:tab/>
            </w:r>
            <w:r>
              <w:rPr>
                <w:noProof/>
              </w:rPr>
              <w:fldChar w:fldCharType="begin"/>
            </w:r>
            <w:r>
              <w:rPr>
                <w:noProof/>
              </w:rPr>
              <w:instrText xml:space="preserve"> PAGEREF _Toc230989549 \h </w:instrText>
            </w:r>
            <w:r>
              <w:rPr>
                <w:noProof/>
              </w:rPr>
            </w:r>
            <w:r>
              <w:rPr>
                <w:noProof/>
              </w:rPr>
              <w:fldChar w:fldCharType="separate"/>
            </w:r>
            <w:r>
              <w:rPr>
                <w:noProof/>
              </w:rPr>
              <w:t>23</w:t>
            </w:r>
            <w:r>
              <w:rPr>
                <w:noProof/>
              </w:rPr>
              <w:fldChar w:fldCharType="end"/>
            </w:r>
          </w:hyperlink>
        </w:p>
        <w:p w14:paraId="64940D16" w14:textId="05825096"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50" w:history="1">
            <w:r w:rsidRPr="00B30883">
              <w:rPr>
                <w:rStyle w:val="a9"/>
                <w:b/>
                <w:noProof/>
              </w:rPr>
              <w:t>3.3 前端控制面实现</w:t>
            </w:r>
            <w:r>
              <w:rPr>
                <w:noProof/>
              </w:rPr>
              <w:tab/>
            </w:r>
            <w:r>
              <w:rPr>
                <w:noProof/>
              </w:rPr>
              <w:fldChar w:fldCharType="begin"/>
            </w:r>
            <w:r>
              <w:rPr>
                <w:noProof/>
              </w:rPr>
              <w:instrText xml:space="preserve"> PAGEREF _Toc230989550 \h </w:instrText>
            </w:r>
            <w:r>
              <w:rPr>
                <w:noProof/>
              </w:rPr>
            </w:r>
            <w:r>
              <w:rPr>
                <w:noProof/>
              </w:rPr>
              <w:fldChar w:fldCharType="separate"/>
            </w:r>
            <w:r>
              <w:rPr>
                <w:noProof/>
              </w:rPr>
              <w:t>23</w:t>
            </w:r>
            <w:r>
              <w:rPr>
                <w:noProof/>
              </w:rPr>
              <w:fldChar w:fldCharType="end"/>
            </w:r>
          </w:hyperlink>
        </w:p>
        <w:p w14:paraId="1EC6F610" w14:textId="65AC7FEC"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51" w:history="1">
            <w:r w:rsidRPr="00B30883">
              <w:rPr>
                <w:rStyle w:val="a9"/>
                <w:b/>
                <w:noProof/>
              </w:rPr>
              <w:t>3.4 服务端权威快检与审计</w:t>
            </w:r>
            <w:r>
              <w:rPr>
                <w:noProof/>
              </w:rPr>
              <w:tab/>
            </w:r>
            <w:r>
              <w:rPr>
                <w:noProof/>
              </w:rPr>
              <w:fldChar w:fldCharType="begin"/>
            </w:r>
            <w:r>
              <w:rPr>
                <w:noProof/>
              </w:rPr>
              <w:instrText xml:space="preserve"> PAGEREF _Toc230989551 \h </w:instrText>
            </w:r>
            <w:r>
              <w:rPr>
                <w:noProof/>
              </w:rPr>
            </w:r>
            <w:r>
              <w:rPr>
                <w:noProof/>
              </w:rPr>
              <w:fldChar w:fldCharType="separate"/>
            </w:r>
            <w:r>
              <w:rPr>
                <w:noProof/>
              </w:rPr>
              <w:t>25</w:t>
            </w:r>
            <w:r>
              <w:rPr>
                <w:noProof/>
              </w:rPr>
              <w:fldChar w:fldCharType="end"/>
            </w:r>
          </w:hyperlink>
        </w:p>
        <w:p w14:paraId="51DA7AF5" w14:textId="162866DE"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52" w:history="1">
            <w:r w:rsidRPr="00B30883">
              <w:rPr>
                <w:rStyle w:val="a9"/>
                <w:b/>
                <w:noProof/>
              </w:rPr>
              <w:t>3.5 关键交付物与证据落点</w:t>
            </w:r>
            <w:r>
              <w:rPr>
                <w:noProof/>
              </w:rPr>
              <w:tab/>
            </w:r>
            <w:r>
              <w:rPr>
                <w:noProof/>
              </w:rPr>
              <w:fldChar w:fldCharType="begin"/>
            </w:r>
            <w:r>
              <w:rPr>
                <w:noProof/>
              </w:rPr>
              <w:instrText xml:space="preserve"> PAGEREF _Toc230989552 \h </w:instrText>
            </w:r>
            <w:r>
              <w:rPr>
                <w:noProof/>
              </w:rPr>
            </w:r>
            <w:r>
              <w:rPr>
                <w:noProof/>
              </w:rPr>
              <w:fldChar w:fldCharType="separate"/>
            </w:r>
            <w:r>
              <w:rPr>
                <w:noProof/>
              </w:rPr>
              <w:t>28</w:t>
            </w:r>
            <w:r>
              <w:rPr>
                <w:noProof/>
              </w:rPr>
              <w:fldChar w:fldCharType="end"/>
            </w:r>
          </w:hyperlink>
        </w:p>
        <w:p w14:paraId="45ABFD38" w14:textId="20169140" w:rsidR="004F142C" w:rsidRDefault="004F142C">
          <w:pPr>
            <w:pStyle w:val="TOC1"/>
            <w:tabs>
              <w:tab w:val="right" w:leader="dot" w:pos="8810"/>
            </w:tabs>
            <w:rPr>
              <w:rFonts w:asciiTheme="minorHAnsi" w:eastAsiaTheme="minorEastAsia" w:hAnsiTheme="minorHAnsi" w:cstheme="minorBidi"/>
              <w:noProof/>
              <w:color w:val="auto"/>
              <w:sz w:val="22"/>
              <w14:ligatures w14:val="standardContextual"/>
            </w:rPr>
          </w:pPr>
          <w:hyperlink w:anchor="_Toc230989553" w:history="1">
            <w:r w:rsidRPr="00B30883">
              <w:rPr>
                <w:rStyle w:val="a9"/>
                <w:noProof/>
              </w:rPr>
              <w:t>第四章 测试方案与结果分析</w:t>
            </w:r>
            <w:r>
              <w:rPr>
                <w:noProof/>
              </w:rPr>
              <w:tab/>
            </w:r>
            <w:r>
              <w:rPr>
                <w:noProof/>
              </w:rPr>
              <w:fldChar w:fldCharType="begin"/>
            </w:r>
            <w:r>
              <w:rPr>
                <w:noProof/>
              </w:rPr>
              <w:instrText xml:space="preserve"> PAGEREF _Toc230989553 \h </w:instrText>
            </w:r>
            <w:r>
              <w:rPr>
                <w:noProof/>
              </w:rPr>
            </w:r>
            <w:r>
              <w:rPr>
                <w:noProof/>
              </w:rPr>
              <w:fldChar w:fldCharType="separate"/>
            </w:r>
            <w:r>
              <w:rPr>
                <w:noProof/>
              </w:rPr>
              <w:t>30</w:t>
            </w:r>
            <w:r>
              <w:rPr>
                <w:noProof/>
              </w:rPr>
              <w:fldChar w:fldCharType="end"/>
            </w:r>
          </w:hyperlink>
        </w:p>
        <w:p w14:paraId="721E1C9D" w14:textId="4A9AF0E6"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54" w:history="1">
            <w:r w:rsidRPr="00B30883">
              <w:rPr>
                <w:rStyle w:val="a9"/>
                <w:b/>
                <w:noProof/>
              </w:rPr>
              <w:t>4.1 测试环境、数据与评价指标</w:t>
            </w:r>
            <w:r>
              <w:rPr>
                <w:noProof/>
              </w:rPr>
              <w:tab/>
            </w:r>
            <w:r>
              <w:rPr>
                <w:noProof/>
              </w:rPr>
              <w:fldChar w:fldCharType="begin"/>
            </w:r>
            <w:r>
              <w:rPr>
                <w:noProof/>
              </w:rPr>
              <w:instrText xml:space="preserve"> PAGEREF _Toc230989554 \h </w:instrText>
            </w:r>
            <w:r>
              <w:rPr>
                <w:noProof/>
              </w:rPr>
            </w:r>
            <w:r>
              <w:rPr>
                <w:noProof/>
              </w:rPr>
              <w:fldChar w:fldCharType="separate"/>
            </w:r>
            <w:r>
              <w:rPr>
                <w:noProof/>
              </w:rPr>
              <w:t>30</w:t>
            </w:r>
            <w:r>
              <w:rPr>
                <w:noProof/>
              </w:rPr>
              <w:fldChar w:fldCharType="end"/>
            </w:r>
          </w:hyperlink>
        </w:p>
        <w:p w14:paraId="083CB9FC" w14:textId="07541AF0"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55" w:history="1">
            <w:r w:rsidRPr="00B30883">
              <w:rPr>
                <w:rStyle w:val="a9"/>
                <w:b/>
                <w:noProof/>
              </w:rPr>
              <w:t>4.2 基线对比</w:t>
            </w:r>
            <w:r>
              <w:rPr>
                <w:noProof/>
              </w:rPr>
              <w:tab/>
            </w:r>
            <w:r>
              <w:rPr>
                <w:noProof/>
              </w:rPr>
              <w:fldChar w:fldCharType="begin"/>
            </w:r>
            <w:r>
              <w:rPr>
                <w:noProof/>
              </w:rPr>
              <w:instrText xml:space="preserve"> PAGEREF _Toc230989555 \h </w:instrText>
            </w:r>
            <w:r>
              <w:rPr>
                <w:noProof/>
              </w:rPr>
            </w:r>
            <w:r>
              <w:rPr>
                <w:noProof/>
              </w:rPr>
              <w:fldChar w:fldCharType="separate"/>
            </w:r>
            <w:r>
              <w:rPr>
                <w:noProof/>
              </w:rPr>
              <w:t>30</w:t>
            </w:r>
            <w:r>
              <w:rPr>
                <w:noProof/>
              </w:rPr>
              <w:fldChar w:fldCharType="end"/>
            </w:r>
          </w:hyperlink>
        </w:p>
        <w:p w14:paraId="1CB7B145" w14:textId="72EE7B91"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56" w:history="1">
            <w:r w:rsidRPr="00B30883">
              <w:rPr>
                <w:rStyle w:val="a9"/>
                <w:b/>
                <w:noProof/>
              </w:rPr>
              <w:t>4.3 医疗主要交付场景结果</w:t>
            </w:r>
            <w:r>
              <w:rPr>
                <w:noProof/>
              </w:rPr>
              <w:tab/>
            </w:r>
            <w:r>
              <w:rPr>
                <w:noProof/>
              </w:rPr>
              <w:fldChar w:fldCharType="begin"/>
            </w:r>
            <w:r>
              <w:rPr>
                <w:noProof/>
              </w:rPr>
              <w:instrText xml:space="preserve"> PAGEREF _Toc230989556 \h </w:instrText>
            </w:r>
            <w:r>
              <w:rPr>
                <w:noProof/>
              </w:rPr>
            </w:r>
            <w:r>
              <w:rPr>
                <w:noProof/>
              </w:rPr>
              <w:fldChar w:fldCharType="separate"/>
            </w:r>
            <w:r>
              <w:rPr>
                <w:noProof/>
              </w:rPr>
              <w:t>31</w:t>
            </w:r>
            <w:r>
              <w:rPr>
                <w:noProof/>
              </w:rPr>
              <w:fldChar w:fldCharType="end"/>
            </w:r>
          </w:hyperlink>
        </w:p>
        <w:p w14:paraId="4E186ACC" w14:textId="2E289482"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57" w:history="1">
            <w:r w:rsidRPr="00B30883">
              <w:rPr>
                <w:rStyle w:val="a9"/>
                <w:b/>
                <w:noProof/>
              </w:rPr>
              <w:t>4.4 性能与通信量分析</w:t>
            </w:r>
            <w:r>
              <w:rPr>
                <w:noProof/>
              </w:rPr>
              <w:tab/>
            </w:r>
            <w:r>
              <w:rPr>
                <w:noProof/>
              </w:rPr>
              <w:fldChar w:fldCharType="begin"/>
            </w:r>
            <w:r>
              <w:rPr>
                <w:noProof/>
              </w:rPr>
              <w:instrText xml:space="preserve"> PAGEREF _Toc230989557 \h </w:instrText>
            </w:r>
            <w:r>
              <w:rPr>
                <w:noProof/>
              </w:rPr>
            </w:r>
            <w:r>
              <w:rPr>
                <w:noProof/>
              </w:rPr>
              <w:fldChar w:fldCharType="separate"/>
            </w:r>
            <w:r>
              <w:rPr>
                <w:noProof/>
              </w:rPr>
              <w:t>32</w:t>
            </w:r>
            <w:r>
              <w:rPr>
                <w:noProof/>
              </w:rPr>
              <w:fldChar w:fldCharType="end"/>
            </w:r>
          </w:hyperlink>
        </w:p>
        <w:p w14:paraId="19C5FFEF" w14:textId="601F6345"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58" w:history="1">
            <w:r w:rsidRPr="00B30883">
              <w:rPr>
                <w:rStyle w:val="a9"/>
                <w:rFonts w:ascii="黑体" w:eastAsia="黑体" w:hAnsi="黑体" w:hint="eastAsia"/>
                <w:noProof/>
              </w:rPr>
              <w:t>4.4.1 代价分解与代理基准</w:t>
            </w:r>
            <w:r>
              <w:rPr>
                <w:rFonts w:hint="eastAsia"/>
                <w:noProof/>
              </w:rPr>
              <w:tab/>
            </w:r>
            <w:r>
              <w:rPr>
                <w:rFonts w:hint="eastAsia"/>
                <w:noProof/>
              </w:rPr>
              <w:fldChar w:fldCharType="begin"/>
            </w:r>
            <w:r>
              <w:rPr>
                <w:rFonts w:hint="eastAsia"/>
                <w:noProof/>
              </w:rPr>
              <w:instrText xml:space="preserve"> </w:instrText>
            </w:r>
            <w:r>
              <w:rPr>
                <w:noProof/>
              </w:rPr>
              <w:instrText>PAGEREF _Toc230989558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BF835E9" w14:textId="6918372E"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59" w:history="1">
            <w:r w:rsidRPr="00B30883">
              <w:rPr>
                <w:rStyle w:val="a9"/>
                <w:rFonts w:ascii="黑体" w:eastAsia="黑体" w:hAnsi="黑体" w:hint="eastAsia"/>
                <w:noProof/>
              </w:rPr>
              <w:t>4.4.2 端到端瓶颈来源</w:t>
            </w:r>
            <w:r>
              <w:rPr>
                <w:rFonts w:hint="eastAsia"/>
                <w:noProof/>
              </w:rPr>
              <w:tab/>
            </w:r>
            <w:r>
              <w:rPr>
                <w:rFonts w:hint="eastAsia"/>
                <w:noProof/>
              </w:rPr>
              <w:fldChar w:fldCharType="begin"/>
            </w:r>
            <w:r>
              <w:rPr>
                <w:rFonts w:hint="eastAsia"/>
                <w:noProof/>
              </w:rPr>
              <w:instrText xml:space="preserve"> </w:instrText>
            </w:r>
            <w:r>
              <w:rPr>
                <w:noProof/>
              </w:rPr>
              <w:instrText>PAGEREF _Toc230989559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5C390D6D" w14:textId="4ECC74A0"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60" w:history="1">
            <w:r w:rsidRPr="00B30883">
              <w:rPr>
                <w:rStyle w:val="a9"/>
                <w:b/>
                <w:noProof/>
              </w:rPr>
              <w:t>4.5 金融边界压力验证结果</w:t>
            </w:r>
            <w:r>
              <w:rPr>
                <w:noProof/>
              </w:rPr>
              <w:tab/>
            </w:r>
            <w:r>
              <w:rPr>
                <w:noProof/>
              </w:rPr>
              <w:fldChar w:fldCharType="begin"/>
            </w:r>
            <w:r>
              <w:rPr>
                <w:noProof/>
              </w:rPr>
              <w:instrText xml:space="preserve"> PAGEREF _Toc230989560 \h </w:instrText>
            </w:r>
            <w:r>
              <w:rPr>
                <w:noProof/>
              </w:rPr>
            </w:r>
            <w:r>
              <w:rPr>
                <w:noProof/>
              </w:rPr>
              <w:fldChar w:fldCharType="separate"/>
            </w:r>
            <w:r>
              <w:rPr>
                <w:noProof/>
              </w:rPr>
              <w:t>34</w:t>
            </w:r>
            <w:r>
              <w:rPr>
                <w:noProof/>
              </w:rPr>
              <w:fldChar w:fldCharType="end"/>
            </w:r>
          </w:hyperlink>
        </w:p>
        <w:p w14:paraId="13C4EA03" w14:textId="4AF5B191"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61" w:history="1">
            <w:r w:rsidRPr="00B30883">
              <w:rPr>
                <w:rStyle w:val="a9"/>
                <w:b/>
                <w:noProof/>
              </w:rPr>
              <w:t>4.6 协议层异常输入与鲁棒性验证</w:t>
            </w:r>
            <w:r>
              <w:rPr>
                <w:noProof/>
              </w:rPr>
              <w:tab/>
            </w:r>
            <w:r>
              <w:rPr>
                <w:noProof/>
              </w:rPr>
              <w:fldChar w:fldCharType="begin"/>
            </w:r>
            <w:r>
              <w:rPr>
                <w:noProof/>
              </w:rPr>
              <w:instrText xml:space="preserve"> PAGEREF _Toc230989561 \h </w:instrText>
            </w:r>
            <w:r>
              <w:rPr>
                <w:noProof/>
              </w:rPr>
            </w:r>
            <w:r>
              <w:rPr>
                <w:noProof/>
              </w:rPr>
              <w:fldChar w:fldCharType="separate"/>
            </w:r>
            <w:r>
              <w:rPr>
                <w:noProof/>
              </w:rPr>
              <w:t>35</w:t>
            </w:r>
            <w:r>
              <w:rPr>
                <w:noProof/>
              </w:rPr>
              <w:fldChar w:fldCharType="end"/>
            </w:r>
          </w:hyperlink>
        </w:p>
        <w:p w14:paraId="04523FA6" w14:textId="65FB3999"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62" w:history="1">
            <w:r w:rsidRPr="00B30883">
              <w:rPr>
                <w:rStyle w:val="a9"/>
                <w:b/>
                <w:noProof/>
              </w:rPr>
              <w:t>4.7 结果分析</w:t>
            </w:r>
            <w:r>
              <w:rPr>
                <w:noProof/>
              </w:rPr>
              <w:tab/>
            </w:r>
            <w:r>
              <w:rPr>
                <w:noProof/>
              </w:rPr>
              <w:fldChar w:fldCharType="begin"/>
            </w:r>
            <w:r>
              <w:rPr>
                <w:noProof/>
              </w:rPr>
              <w:instrText xml:space="preserve"> PAGEREF _Toc230989562 \h </w:instrText>
            </w:r>
            <w:r>
              <w:rPr>
                <w:noProof/>
              </w:rPr>
            </w:r>
            <w:r>
              <w:rPr>
                <w:noProof/>
              </w:rPr>
              <w:fldChar w:fldCharType="separate"/>
            </w:r>
            <w:r>
              <w:rPr>
                <w:noProof/>
              </w:rPr>
              <w:t>39</w:t>
            </w:r>
            <w:r>
              <w:rPr>
                <w:noProof/>
              </w:rPr>
              <w:fldChar w:fldCharType="end"/>
            </w:r>
          </w:hyperlink>
        </w:p>
        <w:p w14:paraId="62606C83" w14:textId="5B9E8E83"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63" w:history="1">
            <w:r w:rsidRPr="00B30883">
              <w:rPr>
                <w:rStyle w:val="a9"/>
                <w:rFonts w:ascii="黑体" w:eastAsia="黑体" w:hAnsi="黑体" w:hint="eastAsia"/>
                <w:noProof/>
              </w:rPr>
              <w:t>4.7.1 结果结论与工程意义</w:t>
            </w:r>
            <w:r>
              <w:rPr>
                <w:rFonts w:hint="eastAsia"/>
                <w:noProof/>
              </w:rPr>
              <w:tab/>
            </w:r>
            <w:r>
              <w:rPr>
                <w:rFonts w:hint="eastAsia"/>
                <w:noProof/>
              </w:rPr>
              <w:fldChar w:fldCharType="begin"/>
            </w:r>
            <w:r>
              <w:rPr>
                <w:rFonts w:hint="eastAsia"/>
                <w:noProof/>
              </w:rPr>
              <w:instrText xml:space="preserve"> </w:instrText>
            </w:r>
            <w:r>
              <w:rPr>
                <w:noProof/>
              </w:rPr>
              <w:instrText>PAGEREF _Toc230989563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282FDA0C" w14:textId="3CC9893B"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64" w:history="1">
            <w:r w:rsidRPr="00B30883">
              <w:rPr>
                <w:rStyle w:val="a9"/>
                <w:rFonts w:ascii="黑体" w:eastAsia="黑体" w:hAnsi="黑体" w:hint="eastAsia"/>
                <w:noProof/>
              </w:rPr>
              <w:t>4.7.2 对比口径与评价边界</w:t>
            </w:r>
            <w:r>
              <w:rPr>
                <w:rFonts w:hint="eastAsia"/>
                <w:noProof/>
              </w:rPr>
              <w:tab/>
            </w:r>
            <w:r>
              <w:rPr>
                <w:rFonts w:hint="eastAsia"/>
                <w:noProof/>
              </w:rPr>
              <w:fldChar w:fldCharType="begin"/>
            </w:r>
            <w:r>
              <w:rPr>
                <w:rFonts w:hint="eastAsia"/>
                <w:noProof/>
              </w:rPr>
              <w:instrText xml:space="preserve"> </w:instrText>
            </w:r>
            <w:r>
              <w:rPr>
                <w:noProof/>
              </w:rPr>
              <w:instrText>PAGEREF _Toc230989564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4ECCCCE2" w14:textId="655B3034"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65" w:history="1">
            <w:r w:rsidRPr="00B30883">
              <w:rPr>
                <w:rStyle w:val="a9"/>
                <w:b/>
                <w:noProof/>
              </w:rPr>
              <w:t>4.8 消融实验与必要性验证</w:t>
            </w:r>
            <w:r>
              <w:rPr>
                <w:noProof/>
              </w:rPr>
              <w:tab/>
            </w:r>
            <w:r>
              <w:rPr>
                <w:noProof/>
              </w:rPr>
              <w:fldChar w:fldCharType="begin"/>
            </w:r>
            <w:r>
              <w:rPr>
                <w:noProof/>
              </w:rPr>
              <w:instrText xml:space="preserve"> PAGEREF _Toc230989565 \h </w:instrText>
            </w:r>
            <w:r>
              <w:rPr>
                <w:noProof/>
              </w:rPr>
            </w:r>
            <w:r>
              <w:rPr>
                <w:noProof/>
              </w:rPr>
              <w:fldChar w:fldCharType="separate"/>
            </w:r>
            <w:r>
              <w:rPr>
                <w:noProof/>
              </w:rPr>
              <w:t>40</w:t>
            </w:r>
            <w:r>
              <w:rPr>
                <w:noProof/>
              </w:rPr>
              <w:fldChar w:fldCharType="end"/>
            </w:r>
          </w:hyperlink>
        </w:p>
        <w:p w14:paraId="21DCE1BB" w14:textId="3C4AB61A" w:rsidR="004F142C" w:rsidRDefault="004F142C">
          <w:pPr>
            <w:pStyle w:val="TOC1"/>
            <w:tabs>
              <w:tab w:val="right" w:leader="dot" w:pos="8810"/>
            </w:tabs>
            <w:rPr>
              <w:rFonts w:asciiTheme="minorHAnsi" w:eastAsiaTheme="minorEastAsia" w:hAnsiTheme="minorHAnsi" w:cstheme="minorBidi"/>
              <w:noProof/>
              <w:color w:val="auto"/>
              <w:sz w:val="22"/>
              <w14:ligatures w14:val="standardContextual"/>
            </w:rPr>
          </w:pPr>
          <w:hyperlink w:anchor="_Toc230989566" w:history="1">
            <w:r w:rsidRPr="00B30883">
              <w:rPr>
                <w:rStyle w:val="a9"/>
                <w:noProof/>
              </w:rPr>
              <w:t>第五章 创新性与局限性</w:t>
            </w:r>
            <w:r>
              <w:rPr>
                <w:noProof/>
              </w:rPr>
              <w:tab/>
            </w:r>
            <w:r>
              <w:rPr>
                <w:noProof/>
              </w:rPr>
              <w:fldChar w:fldCharType="begin"/>
            </w:r>
            <w:r>
              <w:rPr>
                <w:noProof/>
              </w:rPr>
              <w:instrText xml:space="preserve"> PAGEREF _Toc230989566 \h </w:instrText>
            </w:r>
            <w:r>
              <w:rPr>
                <w:noProof/>
              </w:rPr>
            </w:r>
            <w:r>
              <w:rPr>
                <w:noProof/>
              </w:rPr>
              <w:fldChar w:fldCharType="separate"/>
            </w:r>
            <w:r>
              <w:rPr>
                <w:noProof/>
              </w:rPr>
              <w:t>42</w:t>
            </w:r>
            <w:r>
              <w:rPr>
                <w:noProof/>
              </w:rPr>
              <w:fldChar w:fldCharType="end"/>
            </w:r>
          </w:hyperlink>
        </w:p>
        <w:p w14:paraId="31CC7E6E" w14:textId="349C960E"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67" w:history="1">
            <w:r w:rsidRPr="00B30883">
              <w:rPr>
                <w:rStyle w:val="a9"/>
                <w:b/>
                <w:noProof/>
              </w:rPr>
              <w:t>5.1 算法层创新</w:t>
            </w:r>
            <w:r>
              <w:rPr>
                <w:noProof/>
              </w:rPr>
              <w:tab/>
            </w:r>
            <w:r>
              <w:rPr>
                <w:noProof/>
              </w:rPr>
              <w:fldChar w:fldCharType="begin"/>
            </w:r>
            <w:r>
              <w:rPr>
                <w:noProof/>
              </w:rPr>
              <w:instrText xml:space="preserve"> PAGEREF _Toc230989567 \h </w:instrText>
            </w:r>
            <w:r>
              <w:rPr>
                <w:noProof/>
              </w:rPr>
            </w:r>
            <w:r>
              <w:rPr>
                <w:noProof/>
              </w:rPr>
              <w:fldChar w:fldCharType="separate"/>
            </w:r>
            <w:r>
              <w:rPr>
                <w:noProof/>
              </w:rPr>
              <w:t>42</w:t>
            </w:r>
            <w:r>
              <w:rPr>
                <w:noProof/>
              </w:rPr>
              <w:fldChar w:fldCharType="end"/>
            </w:r>
          </w:hyperlink>
        </w:p>
        <w:p w14:paraId="0D1AFDFB" w14:textId="7B4B44FE"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68" w:history="1">
            <w:r w:rsidRPr="00B30883">
              <w:rPr>
                <w:rStyle w:val="a9"/>
                <w:b/>
                <w:noProof/>
              </w:rPr>
              <w:t>5.2 系统层创新</w:t>
            </w:r>
            <w:r>
              <w:rPr>
                <w:noProof/>
              </w:rPr>
              <w:tab/>
            </w:r>
            <w:r>
              <w:rPr>
                <w:noProof/>
              </w:rPr>
              <w:fldChar w:fldCharType="begin"/>
            </w:r>
            <w:r>
              <w:rPr>
                <w:noProof/>
              </w:rPr>
              <w:instrText xml:space="preserve"> PAGEREF _Toc230989568 \h </w:instrText>
            </w:r>
            <w:r>
              <w:rPr>
                <w:noProof/>
              </w:rPr>
            </w:r>
            <w:r>
              <w:rPr>
                <w:noProof/>
              </w:rPr>
              <w:fldChar w:fldCharType="separate"/>
            </w:r>
            <w:r>
              <w:rPr>
                <w:noProof/>
              </w:rPr>
              <w:t>43</w:t>
            </w:r>
            <w:r>
              <w:rPr>
                <w:noProof/>
              </w:rPr>
              <w:fldChar w:fldCharType="end"/>
            </w:r>
          </w:hyperlink>
        </w:p>
        <w:p w14:paraId="5F8E4C9D" w14:textId="28927986"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69" w:history="1">
            <w:r w:rsidRPr="00B30883">
              <w:rPr>
                <w:rStyle w:val="a9"/>
                <w:b/>
                <w:noProof/>
              </w:rPr>
              <w:t>5.3 工程层特色与可验证交付能力</w:t>
            </w:r>
            <w:r>
              <w:rPr>
                <w:noProof/>
              </w:rPr>
              <w:tab/>
            </w:r>
            <w:r>
              <w:rPr>
                <w:noProof/>
              </w:rPr>
              <w:fldChar w:fldCharType="begin"/>
            </w:r>
            <w:r>
              <w:rPr>
                <w:noProof/>
              </w:rPr>
              <w:instrText xml:space="preserve"> PAGEREF _Toc230989569 \h </w:instrText>
            </w:r>
            <w:r>
              <w:rPr>
                <w:noProof/>
              </w:rPr>
            </w:r>
            <w:r>
              <w:rPr>
                <w:noProof/>
              </w:rPr>
              <w:fldChar w:fldCharType="separate"/>
            </w:r>
            <w:r>
              <w:rPr>
                <w:noProof/>
              </w:rPr>
              <w:t>44</w:t>
            </w:r>
            <w:r>
              <w:rPr>
                <w:noProof/>
              </w:rPr>
              <w:fldChar w:fldCharType="end"/>
            </w:r>
          </w:hyperlink>
        </w:p>
        <w:p w14:paraId="711E1958" w14:textId="1A8587BF"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70" w:history="1">
            <w:r w:rsidRPr="00B30883">
              <w:rPr>
                <w:rStyle w:val="a9"/>
                <w:b/>
                <w:noProof/>
              </w:rPr>
              <w:t>5.4 与常见方案对比</w:t>
            </w:r>
            <w:r>
              <w:rPr>
                <w:noProof/>
              </w:rPr>
              <w:tab/>
            </w:r>
            <w:r>
              <w:rPr>
                <w:noProof/>
              </w:rPr>
              <w:fldChar w:fldCharType="begin"/>
            </w:r>
            <w:r>
              <w:rPr>
                <w:noProof/>
              </w:rPr>
              <w:instrText xml:space="preserve"> PAGEREF _Toc230989570 \h </w:instrText>
            </w:r>
            <w:r>
              <w:rPr>
                <w:noProof/>
              </w:rPr>
            </w:r>
            <w:r>
              <w:rPr>
                <w:noProof/>
              </w:rPr>
              <w:fldChar w:fldCharType="separate"/>
            </w:r>
            <w:r>
              <w:rPr>
                <w:noProof/>
              </w:rPr>
              <w:t>45</w:t>
            </w:r>
            <w:r>
              <w:rPr>
                <w:noProof/>
              </w:rPr>
              <w:fldChar w:fldCharType="end"/>
            </w:r>
          </w:hyperlink>
        </w:p>
        <w:p w14:paraId="2ABF3DE8" w14:textId="3EAA78C1"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71" w:history="1">
            <w:r w:rsidRPr="00B30883">
              <w:rPr>
                <w:rStyle w:val="a9"/>
                <w:b/>
                <w:noProof/>
              </w:rPr>
              <w:t>5.5 当前局限性</w:t>
            </w:r>
            <w:r>
              <w:rPr>
                <w:noProof/>
              </w:rPr>
              <w:tab/>
            </w:r>
            <w:r>
              <w:rPr>
                <w:noProof/>
              </w:rPr>
              <w:fldChar w:fldCharType="begin"/>
            </w:r>
            <w:r>
              <w:rPr>
                <w:noProof/>
              </w:rPr>
              <w:instrText xml:space="preserve"> PAGEREF _Toc230989571 \h </w:instrText>
            </w:r>
            <w:r>
              <w:rPr>
                <w:noProof/>
              </w:rPr>
            </w:r>
            <w:r>
              <w:rPr>
                <w:noProof/>
              </w:rPr>
              <w:fldChar w:fldCharType="separate"/>
            </w:r>
            <w:r>
              <w:rPr>
                <w:noProof/>
              </w:rPr>
              <w:t>47</w:t>
            </w:r>
            <w:r>
              <w:rPr>
                <w:noProof/>
              </w:rPr>
              <w:fldChar w:fldCharType="end"/>
            </w:r>
          </w:hyperlink>
        </w:p>
        <w:p w14:paraId="05B6A75B" w14:textId="446DBB68"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72" w:history="1">
            <w:r w:rsidRPr="00B30883">
              <w:rPr>
                <w:rStyle w:val="a9"/>
                <w:rFonts w:ascii="黑体" w:eastAsia="黑体" w:hAnsi="黑体" w:hint="eastAsia"/>
                <w:noProof/>
              </w:rPr>
              <w:t>5.5.1 方法与实验边界</w:t>
            </w:r>
            <w:r>
              <w:rPr>
                <w:rFonts w:hint="eastAsia"/>
                <w:noProof/>
              </w:rPr>
              <w:tab/>
            </w:r>
            <w:r>
              <w:rPr>
                <w:rFonts w:hint="eastAsia"/>
                <w:noProof/>
              </w:rPr>
              <w:fldChar w:fldCharType="begin"/>
            </w:r>
            <w:r>
              <w:rPr>
                <w:rFonts w:hint="eastAsia"/>
                <w:noProof/>
              </w:rPr>
              <w:instrText xml:space="preserve"> </w:instrText>
            </w:r>
            <w:r>
              <w:rPr>
                <w:noProof/>
              </w:rPr>
              <w:instrText>PAGEREF _Toc230989572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4B3EF8C4" w14:textId="6DDF3A4E" w:rsidR="004F142C" w:rsidRDefault="004F142C">
          <w:pPr>
            <w:pStyle w:val="TOC3"/>
            <w:tabs>
              <w:tab w:val="right" w:leader="dot" w:pos="8810"/>
            </w:tabs>
            <w:rPr>
              <w:rFonts w:asciiTheme="minorHAnsi" w:eastAsiaTheme="minorEastAsia" w:hAnsiTheme="minorHAnsi" w:cstheme="minorBidi" w:hint="eastAsia"/>
              <w:noProof/>
              <w:sz w:val="22"/>
              <w14:ligatures w14:val="standardContextual"/>
            </w:rPr>
          </w:pPr>
          <w:hyperlink w:anchor="_Toc230989573" w:history="1">
            <w:r w:rsidRPr="00B30883">
              <w:rPr>
                <w:rStyle w:val="a9"/>
                <w:rFonts w:ascii="黑体" w:eastAsia="黑体" w:hAnsi="黑体" w:hint="eastAsia"/>
                <w:noProof/>
              </w:rPr>
              <w:t>5.5.2 路线扩展与后续比较边界</w:t>
            </w:r>
            <w:r>
              <w:rPr>
                <w:rFonts w:hint="eastAsia"/>
                <w:noProof/>
              </w:rPr>
              <w:tab/>
            </w:r>
            <w:r>
              <w:rPr>
                <w:rFonts w:hint="eastAsia"/>
                <w:noProof/>
              </w:rPr>
              <w:fldChar w:fldCharType="begin"/>
            </w:r>
            <w:r>
              <w:rPr>
                <w:rFonts w:hint="eastAsia"/>
                <w:noProof/>
              </w:rPr>
              <w:instrText xml:space="preserve"> </w:instrText>
            </w:r>
            <w:r>
              <w:rPr>
                <w:noProof/>
              </w:rPr>
              <w:instrText>PAGEREF _Toc230989573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49DA6592" w14:textId="71874589" w:rsidR="004F142C" w:rsidRDefault="004F142C">
          <w:pPr>
            <w:pStyle w:val="TOC1"/>
            <w:tabs>
              <w:tab w:val="right" w:leader="dot" w:pos="8810"/>
            </w:tabs>
            <w:rPr>
              <w:rFonts w:asciiTheme="minorHAnsi" w:eastAsiaTheme="minorEastAsia" w:hAnsiTheme="minorHAnsi" w:cstheme="minorBidi"/>
              <w:noProof/>
              <w:color w:val="auto"/>
              <w:sz w:val="22"/>
              <w14:ligatures w14:val="standardContextual"/>
            </w:rPr>
          </w:pPr>
          <w:hyperlink w:anchor="_Toc230989574" w:history="1">
            <w:r w:rsidRPr="00B30883">
              <w:rPr>
                <w:rStyle w:val="a9"/>
                <w:noProof/>
              </w:rPr>
              <w:t>第六章 复现与参赛声明</w:t>
            </w:r>
            <w:r>
              <w:rPr>
                <w:noProof/>
              </w:rPr>
              <w:tab/>
            </w:r>
            <w:r>
              <w:rPr>
                <w:noProof/>
              </w:rPr>
              <w:fldChar w:fldCharType="begin"/>
            </w:r>
            <w:r>
              <w:rPr>
                <w:noProof/>
              </w:rPr>
              <w:instrText xml:space="preserve"> PAGEREF _Toc230989574 \h </w:instrText>
            </w:r>
            <w:r>
              <w:rPr>
                <w:noProof/>
              </w:rPr>
            </w:r>
            <w:r>
              <w:rPr>
                <w:noProof/>
              </w:rPr>
              <w:fldChar w:fldCharType="separate"/>
            </w:r>
            <w:r>
              <w:rPr>
                <w:noProof/>
              </w:rPr>
              <w:t>48</w:t>
            </w:r>
            <w:r>
              <w:rPr>
                <w:noProof/>
              </w:rPr>
              <w:fldChar w:fldCharType="end"/>
            </w:r>
          </w:hyperlink>
        </w:p>
        <w:p w14:paraId="5A77813B" w14:textId="69FE17E4"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75" w:history="1">
            <w:r w:rsidRPr="00B30883">
              <w:rPr>
                <w:rStyle w:val="a9"/>
                <w:b/>
                <w:noProof/>
              </w:rPr>
              <w:t>6.1 最低可复现路径</w:t>
            </w:r>
            <w:r>
              <w:rPr>
                <w:noProof/>
              </w:rPr>
              <w:tab/>
            </w:r>
            <w:r>
              <w:rPr>
                <w:noProof/>
              </w:rPr>
              <w:fldChar w:fldCharType="begin"/>
            </w:r>
            <w:r>
              <w:rPr>
                <w:noProof/>
              </w:rPr>
              <w:instrText xml:space="preserve"> PAGEREF _Toc230989575 \h </w:instrText>
            </w:r>
            <w:r>
              <w:rPr>
                <w:noProof/>
              </w:rPr>
            </w:r>
            <w:r>
              <w:rPr>
                <w:noProof/>
              </w:rPr>
              <w:fldChar w:fldCharType="separate"/>
            </w:r>
            <w:r>
              <w:rPr>
                <w:noProof/>
              </w:rPr>
              <w:t>48</w:t>
            </w:r>
            <w:r>
              <w:rPr>
                <w:noProof/>
              </w:rPr>
              <w:fldChar w:fldCharType="end"/>
            </w:r>
          </w:hyperlink>
        </w:p>
        <w:p w14:paraId="35A5A38E" w14:textId="73C8B5AE"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76" w:history="1">
            <w:r w:rsidRPr="00B30883">
              <w:rPr>
                <w:rStyle w:val="a9"/>
                <w:b/>
                <w:noProof/>
              </w:rPr>
              <w:t>6.2 数据、模型与权重合规声明</w:t>
            </w:r>
            <w:r>
              <w:rPr>
                <w:noProof/>
              </w:rPr>
              <w:tab/>
            </w:r>
            <w:r>
              <w:rPr>
                <w:noProof/>
              </w:rPr>
              <w:fldChar w:fldCharType="begin"/>
            </w:r>
            <w:r>
              <w:rPr>
                <w:noProof/>
              </w:rPr>
              <w:instrText xml:space="preserve"> PAGEREF _Toc230989576 \h </w:instrText>
            </w:r>
            <w:r>
              <w:rPr>
                <w:noProof/>
              </w:rPr>
            </w:r>
            <w:r>
              <w:rPr>
                <w:noProof/>
              </w:rPr>
              <w:fldChar w:fldCharType="separate"/>
            </w:r>
            <w:r>
              <w:rPr>
                <w:noProof/>
              </w:rPr>
              <w:t>49</w:t>
            </w:r>
            <w:r>
              <w:rPr>
                <w:noProof/>
              </w:rPr>
              <w:fldChar w:fldCharType="end"/>
            </w:r>
          </w:hyperlink>
        </w:p>
        <w:p w14:paraId="2E804060" w14:textId="63D994F7"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77" w:history="1">
            <w:r w:rsidRPr="00B30883">
              <w:rPr>
                <w:rStyle w:val="a9"/>
                <w:b/>
                <w:noProof/>
              </w:rPr>
              <w:t>6.3 第三方许可、原创边界与技术公开范围</w:t>
            </w:r>
            <w:r>
              <w:rPr>
                <w:noProof/>
              </w:rPr>
              <w:tab/>
            </w:r>
            <w:r>
              <w:rPr>
                <w:noProof/>
              </w:rPr>
              <w:fldChar w:fldCharType="begin"/>
            </w:r>
            <w:r>
              <w:rPr>
                <w:noProof/>
              </w:rPr>
              <w:instrText xml:space="preserve"> PAGEREF _Toc230989577 \h </w:instrText>
            </w:r>
            <w:r>
              <w:rPr>
                <w:noProof/>
              </w:rPr>
            </w:r>
            <w:r>
              <w:rPr>
                <w:noProof/>
              </w:rPr>
              <w:fldChar w:fldCharType="separate"/>
            </w:r>
            <w:r>
              <w:rPr>
                <w:noProof/>
              </w:rPr>
              <w:t>50</w:t>
            </w:r>
            <w:r>
              <w:rPr>
                <w:noProof/>
              </w:rPr>
              <w:fldChar w:fldCharType="end"/>
            </w:r>
          </w:hyperlink>
        </w:p>
        <w:p w14:paraId="093268C9" w14:textId="5743EE6B" w:rsidR="004F142C" w:rsidRDefault="004F142C">
          <w:pPr>
            <w:pStyle w:val="TOC1"/>
            <w:tabs>
              <w:tab w:val="right" w:leader="dot" w:pos="8810"/>
            </w:tabs>
            <w:rPr>
              <w:rFonts w:asciiTheme="minorHAnsi" w:eastAsiaTheme="minorEastAsia" w:hAnsiTheme="minorHAnsi" w:cstheme="minorBidi"/>
              <w:noProof/>
              <w:color w:val="auto"/>
              <w:sz w:val="22"/>
              <w14:ligatures w14:val="standardContextual"/>
            </w:rPr>
          </w:pPr>
          <w:hyperlink w:anchor="_Toc230989578" w:history="1">
            <w:r w:rsidRPr="00B30883">
              <w:rPr>
                <w:rStyle w:val="a9"/>
                <w:noProof/>
              </w:rPr>
              <w:t>参考文献</w:t>
            </w:r>
            <w:r>
              <w:rPr>
                <w:noProof/>
              </w:rPr>
              <w:tab/>
            </w:r>
            <w:r>
              <w:rPr>
                <w:noProof/>
              </w:rPr>
              <w:fldChar w:fldCharType="begin"/>
            </w:r>
            <w:r>
              <w:rPr>
                <w:noProof/>
              </w:rPr>
              <w:instrText xml:space="preserve"> PAGEREF _Toc230989578 \h </w:instrText>
            </w:r>
            <w:r>
              <w:rPr>
                <w:noProof/>
              </w:rPr>
            </w:r>
            <w:r>
              <w:rPr>
                <w:noProof/>
              </w:rPr>
              <w:fldChar w:fldCharType="separate"/>
            </w:r>
            <w:r>
              <w:rPr>
                <w:noProof/>
              </w:rPr>
              <w:t>53</w:t>
            </w:r>
            <w:r>
              <w:rPr>
                <w:noProof/>
              </w:rPr>
              <w:fldChar w:fldCharType="end"/>
            </w:r>
          </w:hyperlink>
        </w:p>
        <w:p w14:paraId="6DEAAC8D" w14:textId="7ABF957A" w:rsidR="004F142C" w:rsidRDefault="004F142C">
          <w:pPr>
            <w:pStyle w:val="TOC1"/>
            <w:tabs>
              <w:tab w:val="right" w:leader="dot" w:pos="8810"/>
            </w:tabs>
            <w:rPr>
              <w:rFonts w:asciiTheme="minorHAnsi" w:eastAsiaTheme="minorEastAsia" w:hAnsiTheme="minorHAnsi" w:cstheme="minorBidi"/>
              <w:noProof/>
              <w:color w:val="auto"/>
              <w:sz w:val="22"/>
              <w14:ligatures w14:val="standardContextual"/>
            </w:rPr>
          </w:pPr>
          <w:hyperlink w:anchor="_Toc230989579" w:history="1">
            <w:r w:rsidRPr="00B30883">
              <w:rPr>
                <w:rStyle w:val="a9"/>
                <w:noProof/>
              </w:rPr>
              <w:t>附录A 关键代码实现</w:t>
            </w:r>
            <w:r>
              <w:rPr>
                <w:noProof/>
              </w:rPr>
              <w:tab/>
            </w:r>
            <w:r>
              <w:rPr>
                <w:noProof/>
              </w:rPr>
              <w:fldChar w:fldCharType="begin"/>
            </w:r>
            <w:r>
              <w:rPr>
                <w:noProof/>
              </w:rPr>
              <w:instrText xml:space="preserve"> PAGEREF _Toc230989579 \h </w:instrText>
            </w:r>
            <w:r>
              <w:rPr>
                <w:noProof/>
              </w:rPr>
            </w:r>
            <w:r>
              <w:rPr>
                <w:noProof/>
              </w:rPr>
              <w:fldChar w:fldCharType="separate"/>
            </w:r>
            <w:r>
              <w:rPr>
                <w:noProof/>
              </w:rPr>
              <w:t>55</w:t>
            </w:r>
            <w:r>
              <w:rPr>
                <w:noProof/>
              </w:rPr>
              <w:fldChar w:fldCharType="end"/>
            </w:r>
          </w:hyperlink>
        </w:p>
        <w:p w14:paraId="5EEA8CA4" w14:textId="14F75E50"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80" w:history="1">
            <w:r w:rsidRPr="00B30883">
              <w:rPr>
                <w:rStyle w:val="a9"/>
                <w:b/>
                <w:noProof/>
              </w:rPr>
              <w:t>A.1 浏览器 Worker 中的 little-endian share 序列化</w:t>
            </w:r>
            <w:r>
              <w:rPr>
                <w:noProof/>
              </w:rPr>
              <w:tab/>
            </w:r>
            <w:r>
              <w:rPr>
                <w:noProof/>
              </w:rPr>
              <w:fldChar w:fldCharType="begin"/>
            </w:r>
            <w:r>
              <w:rPr>
                <w:noProof/>
              </w:rPr>
              <w:instrText xml:space="preserve"> PAGEREF _Toc230989580 \h </w:instrText>
            </w:r>
            <w:r>
              <w:rPr>
                <w:noProof/>
              </w:rPr>
            </w:r>
            <w:r>
              <w:rPr>
                <w:noProof/>
              </w:rPr>
              <w:fldChar w:fldCharType="separate"/>
            </w:r>
            <w:r>
              <w:rPr>
                <w:noProof/>
              </w:rPr>
              <w:t>55</w:t>
            </w:r>
            <w:r>
              <w:rPr>
                <w:noProof/>
              </w:rPr>
              <w:fldChar w:fldCharType="end"/>
            </w:r>
          </w:hyperlink>
        </w:p>
        <w:p w14:paraId="67224D50" w14:textId="5500A781"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81" w:history="1">
            <w:r w:rsidRPr="00B30883">
              <w:rPr>
                <w:rStyle w:val="a9"/>
                <w:b/>
                <w:noProof/>
              </w:rPr>
              <w:t>A.2 安全选择与双调排序的核心 SPU 实现</w:t>
            </w:r>
            <w:r>
              <w:rPr>
                <w:noProof/>
              </w:rPr>
              <w:tab/>
            </w:r>
            <w:r>
              <w:rPr>
                <w:noProof/>
              </w:rPr>
              <w:fldChar w:fldCharType="begin"/>
            </w:r>
            <w:r>
              <w:rPr>
                <w:noProof/>
              </w:rPr>
              <w:instrText xml:space="preserve"> PAGEREF _Toc230989581 \h </w:instrText>
            </w:r>
            <w:r>
              <w:rPr>
                <w:noProof/>
              </w:rPr>
            </w:r>
            <w:r>
              <w:rPr>
                <w:noProof/>
              </w:rPr>
              <w:fldChar w:fldCharType="separate"/>
            </w:r>
            <w:r>
              <w:rPr>
                <w:noProof/>
              </w:rPr>
              <w:t>56</w:t>
            </w:r>
            <w:r>
              <w:rPr>
                <w:noProof/>
              </w:rPr>
              <w:fldChar w:fldCharType="end"/>
            </w:r>
          </w:hyperlink>
        </w:p>
        <w:p w14:paraId="29FCD8D2" w14:textId="0EBF9CF6"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82" w:history="1">
            <w:r w:rsidRPr="00B30883">
              <w:rPr>
                <w:rStyle w:val="a9"/>
                <w:b/>
                <w:noProof/>
              </w:rPr>
              <w:t>A.3 JSON 字节长度门与 strict json.loads 钩子</w:t>
            </w:r>
            <w:r>
              <w:rPr>
                <w:noProof/>
              </w:rPr>
              <w:tab/>
            </w:r>
            <w:r>
              <w:rPr>
                <w:noProof/>
              </w:rPr>
              <w:fldChar w:fldCharType="begin"/>
            </w:r>
            <w:r>
              <w:rPr>
                <w:noProof/>
              </w:rPr>
              <w:instrText xml:space="preserve"> PAGEREF _Toc230989582 \h </w:instrText>
            </w:r>
            <w:r>
              <w:rPr>
                <w:noProof/>
              </w:rPr>
            </w:r>
            <w:r>
              <w:rPr>
                <w:noProof/>
              </w:rPr>
              <w:fldChar w:fldCharType="separate"/>
            </w:r>
            <w:r>
              <w:rPr>
                <w:noProof/>
              </w:rPr>
              <w:t>56</w:t>
            </w:r>
            <w:r>
              <w:rPr>
                <w:noProof/>
              </w:rPr>
              <w:fldChar w:fldCharType="end"/>
            </w:r>
          </w:hyperlink>
        </w:p>
        <w:p w14:paraId="6416B333" w14:textId="4887A0FB" w:rsidR="004F142C" w:rsidRDefault="004F142C">
          <w:pPr>
            <w:pStyle w:val="TOC2"/>
            <w:tabs>
              <w:tab w:val="right" w:leader="dot" w:pos="8810"/>
            </w:tabs>
            <w:rPr>
              <w:rFonts w:asciiTheme="minorHAnsi" w:eastAsiaTheme="minorEastAsia" w:hAnsiTheme="minorHAnsi" w:cstheme="minorBidi"/>
              <w:noProof/>
              <w:color w:val="auto"/>
              <w:sz w:val="22"/>
              <w14:ligatures w14:val="standardContextual"/>
            </w:rPr>
          </w:pPr>
          <w:hyperlink w:anchor="_Toc230989583" w:history="1">
            <w:r w:rsidRPr="00B30883">
              <w:rPr>
                <w:rStyle w:val="a9"/>
                <w:b/>
                <w:noProof/>
              </w:rPr>
              <w:t>A.4 协议层异常输入黑盒验证样例</w:t>
            </w:r>
            <w:r>
              <w:rPr>
                <w:noProof/>
              </w:rPr>
              <w:tab/>
            </w:r>
            <w:r>
              <w:rPr>
                <w:noProof/>
              </w:rPr>
              <w:fldChar w:fldCharType="begin"/>
            </w:r>
            <w:r>
              <w:rPr>
                <w:noProof/>
              </w:rPr>
              <w:instrText xml:space="preserve"> PAGEREF _Toc230989583 \h </w:instrText>
            </w:r>
            <w:r>
              <w:rPr>
                <w:noProof/>
              </w:rPr>
            </w:r>
            <w:r>
              <w:rPr>
                <w:noProof/>
              </w:rPr>
              <w:fldChar w:fldCharType="separate"/>
            </w:r>
            <w:r>
              <w:rPr>
                <w:noProof/>
              </w:rPr>
              <w:t>57</w:t>
            </w:r>
            <w:r>
              <w:rPr>
                <w:noProof/>
              </w:rPr>
              <w:fldChar w:fldCharType="end"/>
            </w:r>
          </w:hyperlink>
        </w:p>
        <w:p w14:paraId="3A716300" w14:textId="55E58D3C" w:rsidR="00035316" w:rsidRDefault="00831B25">
          <w:r>
            <w:rPr>
              <w:color w:val="000000"/>
            </w:rPr>
            <w:fldChar w:fldCharType="end"/>
          </w:r>
        </w:p>
      </w:sdtContent>
    </w:sdt>
    <w:p w14:paraId="2AEFCE25" w14:textId="77777777" w:rsidR="00035316" w:rsidRDefault="00035316"/>
    <w:p w14:paraId="4CC41E6F" w14:textId="77777777" w:rsidR="00035316" w:rsidRDefault="00035316"/>
    <w:p w14:paraId="1AD05C9F" w14:textId="77777777" w:rsidR="00035316" w:rsidRDefault="00831B25">
      <w:pPr>
        <w:rPr>
          <w:rFonts w:ascii="黑体" w:eastAsia="黑体" w:hAnsi="黑体" w:hint="eastAsia"/>
          <w:b/>
          <w:sz w:val="44"/>
        </w:rPr>
      </w:pPr>
      <w:r>
        <w:rPr>
          <w:rFonts w:ascii="黑体" w:eastAsia="黑体" w:hAnsi="黑体"/>
          <w:b/>
          <w:sz w:val="44"/>
        </w:rPr>
        <w:br w:type="page"/>
      </w:r>
    </w:p>
    <w:p w14:paraId="467E0080" w14:textId="77777777" w:rsidR="00035316" w:rsidRDefault="00831B25">
      <w:pPr>
        <w:pStyle w:val="1"/>
        <w:jc w:val="center"/>
      </w:pPr>
      <w:bookmarkStart w:id="0" w:name="Transshield_TOC_abstract"/>
      <w:bookmarkStart w:id="1" w:name="_Toc230989529"/>
      <w:r>
        <w:rPr>
          <w:rFonts w:ascii="黑体" w:eastAsia="黑体" w:hAnsi="黑体"/>
        </w:rPr>
        <w:t>摘要</w:t>
      </w:r>
      <w:bookmarkEnd w:id="0"/>
      <w:bookmarkEnd w:id="1"/>
    </w:p>
    <w:p w14:paraId="6AE605F0" w14:textId="77777777" w:rsidR="00035316" w:rsidRDefault="00831B25">
      <w:pPr>
        <w:spacing w:line="360" w:lineRule="auto"/>
        <w:ind w:firstLine="480"/>
        <w:rPr>
          <w:rFonts w:ascii="宋体" w:hAnsi="宋体" w:hint="eastAsia"/>
          <w:sz w:val="24"/>
        </w:rPr>
      </w:pPr>
      <w:r>
        <w:rPr>
          <w:rFonts w:ascii="宋体" w:hAnsi="宋体" w:hint="eastAsia"/>
          <w:sz w:val="24"/>
        </w:rPr>
        <w:t>本作品面向医院侧数据与模型提供方参数同时敏感的协同推理场景，构建了一套可运行、可验证、可复现的双向隐私安全推理系统。针对传统单向隐私保护难以同时兼顾数据合规与模型知识产权保护的问题，本作品以 DynamicViT 为载体，将原始动态词元剪枝中的删除式控制流改写为固定图下可执行的密态语义，通过安全比较、安全选择与稳定排序机制，使动态剪枝能力能够进入两方安全计算链路。与仅围绕固定结构模型优化协议开销的路线不同，本作品重点解决的是“动态剪枝语义如何在双向隐私约束下保留下来并形成可执行闭环”的问题。</w:t>
      </w:r>
    </w:p>
    <w:p w14:paraId="157EC76B" w14:textId="77777777" w:rsidR="00035316" w:rsidRDefault="00831B25">
      <w:pPr>
        <w:spacing w:line="360" w:lineRule="auto"/>
        <w:ind w:firstLine="480"/>
        <w:rPr>
          <w:rFonts w:ascii="宋体" w:hAnsi="宋体" w:hint="eastAsia"/>
          <w:sz w:val="24"/>
        </w:rPr>
      </w:pPr>
      <w:r>
        <w:rPr>
          <w:rFonts w:ascii="宋体" w:hAnsi="宋体" w:hint="eastAsia"/>
          <w:sz w:val="24"/>
        </w:rPr>
        <w:t>在系统实现上，本作品将浏览器端本地预处理、秘密分享生成、服务端权威快检、SPU 密态前向计算与审计记录整合为端到端闭环。原始影像仅在终端侧处理，跨越信任边界后仅传输密态分片、结构化元数据与审计摘要；服务端在进入密态计算前完成协议、张量与质量摘要检查，从而避免将输入天然可信作为隐含前提。与此同时，作品保留了本机展示样例与医院侧/模型提供方分离部署框架两类交付形态，使展示链路、验证链路与后续两方迁移骨架能够共用同一套模型包、阈值口径与审计证据链。</w:t>
      </w:r>
    </w:p>
    <w:p w14:paraId="3BB517D5" w14:textId="77777777" w:rsidR="00035316" w:rsidRDefault="00831B25">
      <w:pPr>
        <w:spacing w:line="360" w:lineRule="auto"/>
        <w:ind w:firstLine="480"/>
        <w:rPr>
          <w:rFonts w:ascii="宋体" w:hAnsi="宋体" w:hint="eastAsia"/>
          <w:sz w:val="24"/>
        </w:rPr>
      </w:pPr>
      <w:r>
        <w:rPr>
          <w:rFonts w:ascii="宋体" w:hAnsi="宋体" w:hint="eastAsia"/>
          <w:sz w:val="24"/>
        </w:rPr>
        <w:t>实验结果表明，本作品在 524 张医疗验证样本上取得 92.7481% 的阈值精度，较同仓固定结构静态对照线提升 0.7634 个百分点，较未经安全化边界重写的原始 DynamicViT 提升 17.3664 个百分点。端到端双向隐私原型在 32 条医疗部署验证样本上的平均时延为 89.06 秒/样本，双向总通信量为 84.47 GiB。系统还通过协议异常输入、重放与并发守卫等 17 类黑盒验证，为安全边界和原型可服务性提供了证据支撑。综合来看，本作品的主要贡献不在于单纯追求某一项绝对性能最优，而在于在动态剪枝保留、双向隐私成立、控制面可验证与部署迁移可衔接之间建立了一条完整、清晰且能够落到工程实物的技术路径。</w:t>
      </w:r>
    </w:p>
    <w:p w14:paraId="2D60168E" w14:textId="77777777" w:rsidR="00407270" w:rsidRDefault="009543CE">
      <w:pPr>
        <w:spacing w:line="360" w:lineRule="auto"/>
        <w:ind w:firstLine="480"/>
        <w:rPr>
          <w:rFonts w:ascii="宋体" w:hAnsi="宋体" w:hint="eastAsia"/>
          <w:sz w:val="24"/>
        </w:rPr>
      </w:pPr>
      <w:r>
        <w:rPr>
          <w:rFonts w:ascii="宋体" w:hAnsi="宋体"/>
        </w:rPr>
        <w:t>从作品定位看，本作品并不将当前原型直接表述为已经完成生产化医院部署，而是把重点放在双向隐私动态剪枝链路的成立、控制面证据链的完备性以及真实两方迁移骨架的可衔接性上。也正因此，作品既能够作为现场展示的可运行样例，又能够为后续医院侧与模型提供方分离部署提供清晰的配置边界、角色划分与工程接口。</w:t>
      </w:r>
    </w:p>
    <w:p w14:paraId="5A4E06B3" w14:textId="77777777" w:rsidR="00035316" w:rsidRDefault="00035316">
      <w:pPr>
        <w:spacing w:line="360" w:lineRule="auto"/>
        <w:ind w:firstLine="480"/>
        <w:rPr>
          <w:rFonts w:ascii="宋体" w:hAnsi="宋体" w:hint="eastAsia"/>
          <w:sz w:val="24"/>
        </w:rPr>
      </w:pPr>
    </w:p>
    <w:p w14:paraId="7E63D4F2" w14:textId="77777777" w:rsidR="00035316" w:rsidRDefault="00831B25">
      <w:pPr>
        <w:rPr>
          <w:rFonts w:ascii="黑体" w:eastAsia="黑体" w:hAnsi="黑体" w:hint="eastAsia"/>
          <w:b/>
          <w:sz w:val="44"/>
        </w:rPr>
      </w:pPr>
      <w:r>
        <w:rPr>
          <w:rFonts w:ascii="黑体" w:eastAsia="黑体" w:hAnsi="黑体"/>
          <w:b/>
          <w:sz w:val="44"/>
        </w:rPr>
        <w:br w:type="page"/>
      </w:r>
    </w:p>
    <w:p w14:paraId="56ED3289" w14:textId="77777777" w:rsidR="00035316" w:rsidRDefault="00831B25">
      <w:pPr>
        <w:pStyle w:val="1"/>
        <w:jc w:val="center"/>
      </w:pPr>
      <w:bookmarkStart w:id="2" w:name="Transshield_TOC_chapter_1"/>
      <w:bookmarkStart w:id="3" w:name="_Toc230989530"/>
      <w:r>
        <w:rPr>
          <w:rFonts w:ascii="黑体" w:eastAsia="黑体" w:hAnsi="黑体"/>
        </w:rPr>
        <w:t>第一章 作品概述</w:t>
      </w:r>
      <w:bookmarkEnd w:id="2"/>
      <w:bookmarkEnd w:id="3"/>
    </w:p>
    <w:p w14:paraId="64B89DE4" w14:textId="77777777" w:rsidR="00035316" w:rsidRDefault="00831B25">
      <w:pPr>
        <w:spacing w:line="360" w:lineRule="auto"/>
        <w:outlineLvl w:val="1"/>
      </w:pPr>
      <w:bookmarkStart w:id="4" w:name="Transshield_TOC_section_1_1"/>
      <w:bookmarkStart w:id="5" w:name="_Toc230989531"/>
      <w:r>
        <w:rPr>
          <w:rFonts w:ascii="黑体" w:eastAsia="黑体" w:hAnsi="黑体"/>
          <w:b/>
          <w:sz w:val="24"/>
        </w:rPr>
        <w:t>1.1 背景与目标</w:t>
      </w:r>
      <w:bookmarkEnd w:id="4"/>
      <w:bookmarkEnd w:id="5"/>
    </w:p>
    <w:p w14:paraId="198E11CA" w14:textId="77777777" w:rsidR="00035316" w:rsidRDefault="00831B25">
      <w:pPr>
        <w:spacing w:line="360" w:lineRule="auto"/>
        <w:ind w:firstLine="480"/>
      </w:pPr>
      <w:r>
        <w:rPr>
          <w:rFonts w:ascii="宋体" w:hAnsi="宋体"/>
          <w:sz w:val="24"/>
        </w:rPr>
        <w:t>在医疗、金融等高敏感场景中，数据使用方通常不愿以明文形式交出原始数据，模型提供方也不愿直接暴露明文模型参数。单向隐私保护机制难以同时满足双方诉求：只强调输入侧保护会暴露模型知识产权，只强调模型侧保护则会引发数据合规风险。进一步地，若模型采用按样本动态变化的剪枝路径，则依赖明文删除、阈值比较和变长前向结构的决策链很难直接迁入安全计算图，这也是许多安全推理系统被迫退化为固定结构模型的重要原因。</w:t>
      </w:r>
    </w:p>
    <w:p w14:paraId="7A4D43AD" w14:textId="77777777" w:rsidR="00035316" w:rsidRDefault="00831B25">
      <w:pPr>
        <w:spacing w:line="360" w:lineRule="auto"/>
        <w:ind w:firstLine="480"/>
      </w:pPr>
      <w:r>
        <w:rPr>
          <w:rFonts w:ascii="宋体" w:hAnsi="宋体"/>
          <w:sz w:val="24"/>
        </w:rPr>
        <w:t>本作品的设计目标不是单纯提升胸片分类精度，而是在双向隐私前提下保留动态剪枝能力，并将其落实到可运行的工程系统中。为此，本作品选择动态词元剪枝视觉 Transformer 方法 DynamicViT 作为主要载体，围绕词元打分、阈值比较、保留决策与安全执行语义之间的映射关系，完成从模型结构、协议路径到前后端控制面的联动设计。</w:t>
      </w:r>
    </w:p>
    <w:p w14:paraId="012A4720" w14:textId="77777777" w:rsidR="00035316" w:rsidRDefault="00831B25">
      <w:pPr>
        <w:spacing w:line="360" w:lineRule="auto"/>
        <w:ind w:firstLine="480"/>
        <w:rPr>
          <w:rFonts w:ascii="宋体" w:hAnsi="宋体" w:hint="eastAsia"/>
          <w:sz w:val="24"/>
        </w:rPr>
      </w:pPr>
      <w:r>
        <w:rPr>
          <w:rFonts w:ascii="宋体" w:hAnsi="宋体"/>
          <w:sz w:val="24"/>
        </w:rPr>
        <w:t>从问题形式看，本作品研究的是一个典型的两方私有推理任务：数据持有方希望在不泄露原始影像的前提下获得分类结果，模型持有方希望在不公开模型参数与中间特征的前提下完成服务。若将原始模型记为 f、输入影像记为 x，系统需要在两方仅持有各自秘密份额的条件下近似完成 f(x) 的计算，并限制任何单方从通信内容、中间状态或动态路径中恢复对方敏感信息。该形式化目标决定了作品不能只把明文模型封装为 Web 服务，而必须重新审视动态剪枝、控制流、张量形状和审计元数据在安全计算中的暴露边界。</w:t>
      </w:r>
    </w:p>
    <w:p w14:paraId="4DF75317" w14:textId="77777777" w:rsidR="00035316" w:rsidRDefault="00831B25">
      <w:pPr>
        <w:spacing w:line="360" w:lineRule="auto"/>
        <w:outlineLvl w:val="1"/>
        <w:rPr>
          <w:rFonts w:ascii="黑体" w:eastAsia="黑体" w:hAnsi="黑体" w:hint="eastAsia"/>
          <w:b/>
          <w:sz w:val="24"/>
        </w:rPr>
      </w:pPr>
      <w:bookmarkStart w:id="6" w:name="Transshield_TOC_section_1_2"/>
      <w:bookmarkStart w:id="7" w:name="_Toc230989532"/>
      <w:r>
        <w:rPr>
          <w:rFonts w:ascii="黑体" w:eastAsia="黑体" w:hAnsi="黑体"/>
          <w:b/>
          <w:sz w:val="24"/>
        </w:rPr>
        <w:t>1.2 应用场景与交付边界</w:t>
      </w:r>
      <w:bookmarkEnd w:id="6"/>
      <w:bookmarkEnd w:id="7"/>
    </w:p>
    <w:p w14:paraId="243B899A" w14:textId="77777777" w:rsidR="00035316" w:rsidRDefault="00831B25">
      <w:pPr>
        <w:spacing w:line="360" w:lineRule="auto"/>
        <w:ind w:firstLine="480"/>
        <w:rPr>
          <w:rFonts w:ascii="宋体" w:hAnsi="宋体" w:hint="eastAsia"/>
          <w:sz w:val="24"/>
        </w:rPr>
      </w:pPr>
      <w:r>
        <w:rPr>
          <w:rFonts w:ascii="宋体" w:hAnsi="宋体" w:hint="eastAsia"/>
          <w:sz w:val="24"/>
        </w:rPr>
        <w:t>本作品面向医院侧数据与模型提供方参数同时敏感的协同推理场景，目标是在不暴露原始影像和明文模型参数的前提下完成医疗影像分类。系统的主要交付对象包括终端用户、医院侧部署环境、服务端控制面以及两方安全执行域。终端侧负责本地解码、预处理、质量评估与秘密分享生成；服务端负责协议预检、重放与并发守卫、审计落盘和密态推理调度；安全执行域负责完成双向隐私约束下的前向计算并返回最终分类结果。</w:t>
      </w:r>
    </w:p>
    <w:p w14:paraId="1B1A9BA2" w14:textId="77777777" w:rsidR="00035316" w:rsidRDefault="00831B25">
      <w:pPr>
        <w:spacing w:line="360" w:lineRule="auto"/>
        <w:ind w:firstLine="480"/>
        <w:rPr>
          <w:rFonts w:ascii="宋体" w:hAnsi="宋体" w:hint="eastAsia"/>
          <w:sz w:val="24"/>
        </w:rPr>
      </w:pPr>
      <w:r>
        <w:rPr>
          <w:rFonts w:ascii="宋体" w:hAnsi="宋体" w:hint="eastAsia"/>
          <w:sz w:val="24"/>
        </w:rPr>
        <w:t>本作品的交付边界不包括生产级拒绝服务防护、恶意参与方串谋对抗、输出侧隐私泄露建模以及完整的多中心部署评估。本文的重点是证明：在双向隐私约束下，动态剪枝语义能够被安全化重写，并形成可运行、可验证、可复现实验闭环。</w:t>
      </w:r>
    </w:p>
    <w:p w14:paraId="66D162A7" w14:textId="77777777" w:rsidR="00035316" w:rsidRDefault="00831B25">
      <w:pPr>
        <w:spacing w:line="360" w:lineRule="auto"/>
        <w:ind w:firstLine="480"/>
        <w:rPr>
          <w:rFonts w:ascii="宋体" w:hAnsi="宋体" w:hint="eastAsia"/>
          <w:sz w:val="24"/>
        </w:rPr>
      </w:pPr>
      <w:r>
        <w:rPr>
          <w:rFonts w:ascii="宋体" w:hAnsi="宋体"/>
          <w:sz w:val="24"/>
        </w:rPr>
        <w:t>从隐私保护推理研究脉络看，早期系统多围绕卷积网络或一般前馈模型展开，例如 SecureML[14]、GAZELLE[15]、CrypTen[16] 和 Delphi[17] 等工作已经证明，在半诚实模型下可以同时保护输入与模型参数，并将主要优化集中在线性层、激活函数和加密切换流程上。然而，当模型迁移到 Transformer 后，注意力、层归一化（Layer Normalization, LayerNorm）、高斯误差线性单元（Gaussian Error Linear Unit, GELU）和大规模矩阵乘使通信量、交互轮次与数值稳定性问题同时放大，原有方案难以直接复用到动态词元剪枝场景中。</w:t>
      </w:r>
    </w:p>
    <w:p w14:paraId="09C2817B" w14:textId="77777777" w:rsidR="00035316" w:rsidRDefault="00831B25">
      <w:pPr>
        <w:spacing w:line="360" w:lineRule="auto"/>
        <w:ind w:firstLine="480"/>
        <w:rPr>
          <w:rFonts w:ascii="宋体" w:hAnsi="宋体" w:hint="eastAsia"/>
          <w:sz w:val="24"/>
        </w:rPr>
      </w:pPr>
      <w:r>
        <w:rPr>
          <w:rFonts w:ascii="宋体" w:hAnsi="宋体"/>
          <w:sz w:val="24"/>
        </w:rPr>
        <w:t>对医疗影像任务而言，问题又比通用私有推理更复杂。一方面，医院侧原始影像具有强隐私属性，模型提供方也往往不愿公开完整参数；另一方面，胸片等视觉任务存在明显的 patch 冗余，如果为了协议简化完全退回固定结构模型，又会削弱动态剪枝在时延和通信量上的潜在优势。因此，本作品关注的不是一般意义上的“能否安全推理”，而是在双向隐私、动态边界保留与工程闭环交付三者之间建立可验证的平衡。</w:t>
      </w:r>
    </w:p>
    <w:p w14:paraId="05EDF2E0" w14:textId="77777777" w:rsidR="00035316" w:rsidRDefault="00831B25">
      <w:pPr>
        <w:spacing w:line="360" w:lineRule="auto"/>
        <w:outlineLvl w:val="1"/>
      </w:pPr>
      <w:bookmarkStart w:id="8" w:name="Transshield_TOC_section_1_3"/>
      <w:bookmarkStart w:id="9" w:name="_Toc230989533"/>
      <w:r>
        <w:rPr>
          <w:rFonts w:ascii="黑体" w:eastAsia="黑体" w:hAnsi="黑体"/>
          <w:b/>
          <w:sz w:val="24"/>
        </w:rPr>
        <w:t>1.3 核心贡献</w:t>
      </w:r>
      <w:bookmarkEnd w:id="8"/>
      <w:bookmarkEnd w:id="9"/>
    </w:p>
    <w:p w14:paraId="148B2EC7" w14:textId="77777777" w:rsidR="00035316" w:rsidRDefault="00831B25">
      <w:pPr>
        <w:spacing w:line="360" w:lineRule="auto"/>
        <w:ind w:firstLine="480"/>
        <w:rPr>
          <w:rFonts w:ascii="宋体" w:hAnsi="宋体" w:hint="eastAsia"/>
          <w:sz w:val="24"/>
        </w:rPr>
      </w:pPr>
      <w:r>
        <w:rPr>
          <w:rFonts w:ascii="宋体" w:hAnsi="宋体" w:hint="eastAsia"/>
          <w:sz w:val="24"/>
        </w:rPr>
        <w:t>本作品的核心贡献主要体现在三个方面。第一，在算法层面，将 DynamicViT 中依赖明文控制流的删除式剪枝路径重写为固定图下可执行的密态语义，使动态词元剪枝能够进入安全计算框架。第二，在系统层面，将浏览器工作线程、服务端权威快检、重放与并发守卫以及审计链整合为完整控制面闭环，保证输入、传输和执行三个阶段的边界清晰可验证。第三，在交付层面，给出可复现的实验流程、基线对比与消融验证，使系统不仅“能跑”，而且能够说明“为什么这样设计是必要的”。</w:t>
      </w:r>
    </w:p>
    <w:p w14:paraId="3A8E52FF" w14:textId="77777777" w:rsidR="00035316" w:rsidRDefault="00831B25">
      <w:pPr>
        <w:spacing w:line="360" w:lineRule="auto"/>
        <w:outlineLvl w:val="1"/>
        <w:rPr>
          <w:rFonts w:ascii="黑体" w:eastAsia="黑体" w:hAnsi="黑体" w:hint="eastAsia"/>
          <w:b/>
          <w:sz w:val="44"/>
        </w:rPr>
      </w:pPr>
      <w:bookmarkStart w:id="10" w:name="Transshield_TOC_section_1_4"/>
      <w:bookmarkStart w:id="11" w:name="_Toc230989534"/>
      <w:r>
        <w:rPr>
          <w:rFonts w:ascii="黑体" w:eastAsia="黑体" w:hAnsi="黑体" w:hint="eastAsia"/>
          <w:b/>
          <w:sz w:val="24"/>
        </w:rPr>
        <w:t>1.4 相关工作与技术定位</w:t>
      </w:r>
      <w:bookmarkEnd w:id="10"/>
      <w:bookmarkEnd w:id="11"/>
    </w:p>
    <w:p w14:paraId="0112DE27" w14:textId="77777777" w:rsidR="00035316" w:rsidRDefault="00831B25">
      <w:pPr>
        <w:spacing w:line="360" w:lineRule="auto"/>
        <w:ind w:firstLine="480"/>
        <w:rPr>
          <w:rFonts w:ascii="宋体" w:hAnsi="宋体" w:hint="eastAsia"/>
          <w:sz w:val="24"/>
        </w:rPr>
      </w:pPr>
      <w:r>
        <w:rPr>
          <w:rFonts w:ascii="宋体" w:hAnsi="宋体" w:hint="eastAsia"/>
          <w:sz w:val="24"/>
        </w:rPr>
        <w:t>在隐私保护视觉 Transformer 推理方向，已有研究开始关注如何在不暴露用户输入的前提下完成密态分类任务。其中，基于秘密共享的轻量级隐私保护 ViT 推理框架 SViT 是一条具有代表性的技术路线。该工作采用两个边缘服务器协同执行安全计算协议，并围绕 ViT-B/16 的关键非线性模块构建了 SExp、SDiv、SSqrt、SLayerNorm、SSoftmax、SGeLU 等协议，在保持原始 ViT-B/16 结构不变的前提下完成安全推理[13]。对于 ViT 路线，其核心注意力计算通常可写为式（1-1）：</w:t>
      </w:r>
    </w:p>
    <w:p w14:paraId="4BE125A8" w14:textId="77777777" w:rsidR="00035316" w:rsidRDefault="00831B25">
      <w:pPr>
        <w:spacing w:line="360" w:lineRule="auto"/>
        <w:ind w:firstLine="480"/>
        <w:rPr>
          <w:rFonts w:ascii="宋体" w:hAnsi="宋体" w:hint="eastAsia"/>
          <w:sz w:val="24"/>
        </w:rPr>
      </w:pPr>
      <m:oMathPara>
        <m:oMath>
          <m:r>
            <m:rPr>
              <m:sty m:val="p"/>
            </m:rPr>
            <w:rPr>
              <w:rFonts w:ascii="Cambria Math" w:hAnsi="Cambria Math"/>
              <w:sz w:val="24"/>
            </w:rPr>
            <m:t xml:space="preserve"> Attention</m:t>
          </m:r>
          <m:r>
            <w:rPr>
              <w:rFonts w:ascii="Cambria Math" w:hAnsi="Cambria Math"/>
              <w:sz w:val="24"/>
            </w:rPr>
            <m:t>(Q,K,V)=</m:t>
          </m:r>
          <m:r>
            <m:rPr>
              <m:sty m:val="p"/>
            </m:rPr>
            <w:rPr>
              <w:rFonts w:ascii="Cambria Math" w:hAnsi="Cambria Math"/>
              <w:sz w:val="24"/>
            </w:rPr>
            <m:t>Softmax</m:t>
          </m:r>
          <m:d>
            <m:dPr>
              <m:ctrlPr>
                <w:rPr>
                  <w:rFonts w:ascii="Cambria Math" w:hAnsi="Cambria Math"/>
                  <w:i/>
                  <w:sz w:val="24"/>
                </w:rPr>
              </m:ctrlPr>
            </m:dPr>
            <m:e>
              <m:f>
                <m:fPr>
                  <m:ctrlPr>
                    <w:rPr>
                      <w:rFonts w:ascii="Cambria Math" w:hAnsi="Cambria Math"/>
                      <w:i/>
                      <w:sz w:val="24"/>
                    </w:rPr>
                  </m:ctrlPr>
                </m:fPr>
                <m:num>
                  <m:r>
                    <w:rPr>
                      <w:rFonts w:ascii="Cambria Math" w:hAnsi="Cambria Math"/>
                      <w:sz w:val="24"/>
                    </w:rPr>
                    <m:t>Q</m:t>
                  </m:r>
                  <m:sSup>
                    <m:sSupPr>
                      <m:ctrlPr>
                        <w:rPr>
                          <w:rFonts w:ascii="Cambria Math" w:hAnsi="Cambria Math"/>
                          <w:sz w:val="24"/>
                        </w:rPr>
                      </m:ctrlPr>
                    </m:sSupPr>
                    <m:e>
                      <m:r>
                        <w:rPr>
                          <w:rFonts w:ascii="Cambria Math" w:hAnsi="Cambria Math"/>
                          <w:sz w:val="24"/>
                        </w:rPr>
                        <m:t>K</m:t>
                      </m:r>
                    </m:e>
                    <m:sup>
                      <m:r>
                        <w:rPr>
                          <w:rFonts w:ascii="Cambria Math" w:hAnsi="Cambria Math"/>
                          <w:sz w:val="24"/>
                        </w:rPr>
                        <m:t>⊤</m:t>
                      </m:r>
                    </m:sup>
                  </m:sSup>
                  <m:ctrlPr>
                    <w:rPr>
                      <w:rFonts w:ascii="Cambria Math" w:hAnsi="Cambria Math"/>
                      <w:sz w:val="24"/>
                    </w:rPr>
                  </m:ctrlPr>
                </m:num>
                <m:den>
                  <m:rad>
                    <m:radPr>
                      <m:degHide m:val="1"/>
                      <m:ctrlPr>
                        <w:rPr>
                          <w:rFonts w:ascii="Cambria Math" w:hAnsi="Cambria Math"/>
                          <w:i/>
                          <w:sz w:val="24"/>
                        </w:rPr>
                      </m:ctrlPr>
                    </m:radPr>
                    <m:deg>
                      <m:ctrlPr>
                        <w:rPr>
                          <w:rFonts w:ascii="Cambria Math" w:hAnsi="Cambria Math"/>
                          <w:sz w:val="24"/>
                        </w:rPr>
                      </m:ctrlPr>
                    </m:deg>
                    <m:e>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ctrlPr>
                        <w:rPr>
                          <w:rFonts w:ascii="Cambria Math" w:hAnsi="Cambria Math"/>
                          <w:sz w:val="24"/>
                        </w:rPr>
                      </m:ctrlPr>
                    </m:e>
                  </m:rad>
                </m:den>
              </m:f>
            </m:e>
          </m:d>
          <m:r>
            <w:rPr>
              <w:rFonts w:ascii="Cambria Math" w:hAnsi="Cambria Math"/>
              <w:sz w:val="24"/>
            </w:rPr>
            <m:t>V                (1-1)</m:t>
          </m:r>
          <m:r>
            <m:rPr>
              <m:sty m:val="p"/>
            </m:rPr>
            <w:rPr>
              <w:rFonts w:ascii="Cambria Math" w:hAnsi="Cambria Math"/>
              <w:sz w:val="24"/>
            </w:rPr>
            <m:t xml:space="preserve">   </m:t>
          </m:r>
        </m:oMath>
      </m:oMathPara>
    </w:p>
    <w:p w14:paraId="176E6D4F" w14:textId="77777777" w:rsidR="00035316" w:rsidRDefault="00831B25">
      <w:pPr>
        <w:spacing w:line="360" w:lineRule="auto"/>
        <w:ind w:firstLine="480"/>
        <w:rPr>
          <w:rFonts w:ascii="宋体" w:hAnsi="宋体" w:hint="eastAsia"/>
          <w:sz w:val="24"/>
        </w:rPr>
      </w:pPr>
      <w:r>
        <w:rPr>
          <w:rFonts w:ascii="宋体" w:hAnsi="宋体" w:hint="eastAsia"/>
          <w:sz w:val="24"/>
        </w:rPr>
        <w:t>该类工作的主要启发在于：对于隐私保护 ViT 系统，性能优化不一定只能依赖模型压缩或结构删减，也可以通过专门设计安全算子协议来降低在线计算与通信开销。文献[13]给出的结果表明，相比 CrypTen[16]，其框架在计算效率和在线通信开销方面分别可提升约 2~6 倍和 4~14 倍，这说明“围绕算子协议进行优化”本身就是一条有效路线。</w:t>
      </w:r>
    </w:p>
    <w:p w14:paraId="02643563" w14:textId="77777777" w:rsidR="00035316" w:rsidRDefault="00831B25">
      <w:pPr>
        <w:spacing w:line="360" w:lineRule="auto"/>
        <w:ind w:firstLine="480"/>
        <w:rPr>
          <w:rFonts w:ascii="宋体" w:hAnsi="宋体" w:hint="eastAsia"/>
          <w:sz w:val="24"/>
        </w:rPr>
      </w:pPr>
      <w:r>
        <w:rPr>
          <w:rFonts w:ascii="宋体" w:hAnsi="宋体" w:hint="eastAsia"/>
          <w:sz w:val="24"/>
        </w:rPr>
        <w:t>但与本作品相比，SViT 的目标和系统边界并不完全相同。SViT 更强调在固定 ViT 结构下优化安全协议效率，采用的是两个边缘服务器加可信第三方离线辅助的体系；而本作品关注的是在不引入额外可信第三方的前提下，实现面向 DynamicViT 的双向隐私推理，并将动态词元剪枝边界重写为固定图下可执行的密态语义，同时补齐浏览器工作线程、服务端权威快检与审计链闭环。因此，SViT 更适合作为本作品的相关工作与技术参照，而不是对本作品主线的直接替代。</w:t>
      </w:r>
    </w:p>
    <w:p w14:paraId="5960C798" w14:textId="77777777" w:rsidR="00035316" w:rsidRDefault="00831B25">
      <w:pPr>
        <w:outlineLvl w:val="2"/>
      </w:pPr>
      <w:bookmarkStart w:id="12" w:name="_Toc230989535"/>
      <w:r>
        <w:rPr>
          <w:rFonts w:ascii="黑体" w:eastAsia="黑体" w:hAnsi="黑体"/>
          <w:sz w:val="24"/>
        </w:rPr>
        <w:t>1.4.1 通用私有推理系统演进</w:t>
      </w:r>
      <w:bookmarkEnd w:id="12"/>
    </w:p>
    <w:p w14:paraId="70D5E7A3" w14:textId="77777777" w:rsidR="00035316" w:rsidRDefault="00831B25">
      <w:pPr>
        <w:spacing w:line="360" w:lineRule="auto"/>
        <w:ind w:firstLine="480"/>
        <w:rPr>
          <w:rFonts w:ascii="宋体" w:hAnsi="宋体" w:hint="eastAsia"/>
          <w:sz w:val="24"/>
        </w:rPr>
      </w:pPr>
      <w:r>
        <w:rPr>
          <w:rFonts w:ascii="宋体" w:hAnsi="宋体" w:hint="eastAsia"/>
          <w:sz w:val="24"/>
        </w:rPr>
        <w:t>从更长的研究脉络看，隐私保护推理最早并非围绕 Transformer 展开，而是先在卷积网络和一般前馈网络上建立问题定义与协议基础。MiniONN[25]强调将已经训练完成的神经网络转换为 oblivious neural network，使既有模型在不改训练流程的前提下进入私有推理；XONN[26]则进一步利用二值化网络与 garbled circuits 显著降低线性层代价，展示了从“直接保护现有模型”到“为安全推理重塑模型形态”的演进趋势。结合 SecureML[14]、GAZELLE[15]、Delphi[17] 与 CrypTen[16] 可以看到，早期工作已经较好解决了输入保护、线性层计算和通用推理接口等基础问题，但它们大多默认网络结构固定、中间控制流简单，尚未把样本相关动态路径视为需要重点保护的对象。</w:t>
      </w:r>
    </w:p>
    <w:p w14:paraId="59244BC1" w14:textId="77777777" w:rsidR="00035316" w:rsidRDefault="00831B25">
      <w:pPr>
        <w:spacing w:line="360" w:lineRule="auto"/>
        <w:ind w:firstLine="480"/>
        <w:rPr>
          <w:rFonts w:ascii="宋体" w:hAnsi="宋体" w:hint="eastAsia"/>
          <w:sz w:val="24"/>
        </w:rPr>
      </w:pPr>
      <w:r>
        <w:rPr>
          <w:rFonts w:ascii="宋体" w:hAnsi="宋体" w:hint="eastAsia"/>
          <w:sz w:val="24"/>
        </w:rPr>
        <w:t>当研究对象从卷积网络转向 Transformer 后，困难的焦点也随之转移。相较卷积结构，Transformer 不仅具有更高维度的矩阵乘、更频繁的归一化与激活计算，而且其实际开销会随 token 数量显著放大。因此，Transformer 私有推理的核心不再只是“如何安全地实现已有算子”，还包括“如何让模型结构本身更适合密态执行”。这也是后续 Iron[18]、BOLT[19]、BumbleBee[7]、NEXUS[20]、THE-X[22]、MPCFormer[23] 与 SecFormer[24] 等工作持续出现的重要背景。</w:t>
      </w:r>
    </w:p>
    <w:p w14:paraId="607B088C" w14:textId="77777777" w:rsidR="00035316" w:rsidRDefault="00831B25">
      <w:pPr>
        <w:spacing w:line="360" w:lineRule="auto"/>
        <w:ind w:firstLine="480"/>
        <w:rPr>
          <w:rFonts w:ascii="宋体" w:hAnsi="宋体" w:hint="eastAsia"/>
          <w:sz w:val="24"/>
        </w:rPr>
      </w:pPr>
      <w:r>
        <w:rPr>
          <w:rFonts w:ascii="宋体" w:hAnsi="宋体"/>
          <w:sz w:val="24"/>
        </w:rPr>
        <w:t>除 SViT[13] 外，私有推理系统还经历了从通用神经网络到 Transformer 专用协议的演进。SecureML[14]、MiniONN[25]、GAZELLE[15]、XONN[26]、CrypTen[16] 与 Delphi[17] 分别从秘密共享、混合协议、garbled circuits、系统接口与工程抽象等方面推动了通用私有推理的发展；进入 Transformer 时代后，Iron[18]首先系统性讨论了 Softmax、GELU、LayerNorm 和大矩阵乘在私有推理中的复合开销，说明 Transformer 专用协议优化是独立问题，而不是卷积网络方案的简单平移。</w:t>
      </w:r>
    </w:p>
    <w:p w14:paraId="6B03D01A" w14:textId="77777777" w:rsidR="00035316" w:rsidRDefault="00831B25">
      <w:pPr>
        <w:outlineLvl w:val="2"/>
      </w:pPr>
      <w:bookmarkStart w:id="13" w:name="_Toc230989536"/>
      <w:r>
        <w:rPr>
          <w:rFonts w:ascii="黑体" w:eastAsia="黑体" w:hAnsi="黑体"/>
          <w:sz w:val="24"/>
        </w:rPr>
        <w:t>1.4.2 固定结构 Transformer 私有推理路线</w:t>
      </w:r>
      <w:bookmarkEnd w:id="13"/>
    </w:p>
    <w:p w14:paraId="0C536F35" w14:textId="77777777" w:rsidR="00035316" w:rsidRDefault="00831B25">
      <w:pPr>
        <w:spacing w:line="360" w:lineRule="auto"/>
        <w:ind w:firstLine="480"/>
        <w:rPr>
          <w:rFonts w:ascii="宋体" w:hAnsi="宋体" w:hint="eastAsia"/>
          <w:sz w:val="24"/>
        </w:rPr>
      </w:pPr>
      <w:r>
        <w:rPr>
          <w:rFonts w:ascii="宋体" w:hAnsi="宋体"/>
          <w:sz w:val="24"/>
        </w:rPr>
        <w:t>在固定结构安全 Transformer 推理方向，现有研究大致可以分为三类。第一类以 BOLT[19] 为代表，强调在交互式协议环境中优化矩阵乘与非线性算子，从而在保留模型精度的前提下降低通信与运行成本。第二类以 BumbleBee[7] 与 THE-X[22] 为代表，更强调对大模型或同态近似路径的系统整合，通过协议组合、算子替换和近似函数设计压缩整体执行代价。第三类则以 NEXUS[20] 和 SecFormer[24] 为代表，进一步关注交互轮次与算子形态对在线性能的影响，尝试通过非交互式执行或 SMPC 友好近似来降低实际部署成本。上述研究虽然路线不同，但共同前提是模型结构大体固定，优化重点仍然落在算子与协议层。</w:t>
      </w:r>
    </w:p>
    <w:p w14:paraId="77DDFE2C" w14:textId="77777777" w:rsidR="00035316" w:rsidRDefault="00831B25">
      <w:pPr>
        <w:outlineLvl w:val="2"/>
      </w:pPr>
      <w:bookmarkStart w:id="14" w:name="_Toc230989537"/>
      <w:r>
        <w:rPr>
          <w:rFonts w:ascii="黑体" w:eastAsia="黑体" w:hAnsi="黑体"/>
          <w:sz w:val="24"/>
        </w:rPr>
        <w:t>1.4.3 动态 Token 优化与本作品定位</w:t>
      </w:r>
      <w:bookmarkEnd w:id="14"/>
    </w:p>
    <w:p w14:paraId="1A6CC77C" w14:textId="77777777" w:rsidR="00035316" w:rsidRDefault="00831B25">
      <w:pPr>
        <w:spacing w:line="360" w:lineRule="auto"/>
        <w:ind w:firstLine="480"/>
        <w:rPr>
          <w:rFonts w:ascii="宋体" w:hAnsi="宋体" w:hint="eastAsia"/>
          <w:sz w:val="24"/>
        </w:rPr>
      </w:pPr>
      <w:r>
        <w:rPr>
          <w:rFonts w:ascii="宋体" w:hAnsi="宋体"/>
          <w:sz w:val="24"/>
        </w:rPr>
        <w:t>另一类与本作品关系更直接的研究来自明文高效视觉 Transformer 领域。DynamicViT[2] 通过逐阶段词元打分和删除式稀疏化降低后续层计算量；EViT[27] 通过保留高关注 token 并融合低关注 token 来减少冗余计算；A-ViT[28] 借助自适应停止机制使不同 token 在不同深度提前退出；ToMe[29] 则通过 token merging 在几乎不改训练流程的前提下提高吞吐；MPCViT[3] 进一步把“模型结构是否适合 MPC 执行”显式纳入搜索目标。这些方法说明，视觉 Transformer 的效率问题与 token 数量管理高度相关，但它们默认剪枝、融合、停止或合并决策可以在明文环境下直接观察和执行。</w:t>
      </w:r>
    </w:p>
    <w:p w14:paraId="5A2DB04B" w14:textId="77777777" w:rsidR="00035316" w:rsidRDefault="00831B25">
      <w:pPr>
        <w:spacing w:line="360" w:lineRule="auto"/>
        <w:ind w:firstLine="480"/>
        <w:rPr>
          <w:rFonts w:ascii="宋体" w:hAnsi="宋体" w:hint="eastAsia"/>
          <w:sz w:val="24"/>
        </w:rPr>
      </w:pPr>
      <w:r>
        <w:rPr>
          <w:rFonts w:ascii="宋体" w:hAnsi="宋体"/>
        </w:rPr>
        <w:t>正因为如此，明文高效 ViT 方法通常不能无改动地迁移到私有推理场景。无论是删除 token、让 token 提前停止，还是合并相似 token，本质上都涉及数据相关路径选择、变长结构或显式 importance 排序；若直接在安全执行域外部完成这些操作，就可能泄露输入分布、模型偏好甚至部分中间状态；若完全保留原始明文逻辑，又会使密态图难以固定、通信量和比较开销迅速上升。CipherPrune[21] 开始把词元重要性差异直接纳入私有推理优化目标，通过密态渐进式剔除低重要性词元并配合不同强度的多项式近似，同时缓解 token 数量和非线性算子开销带来的双重成本。这类工作的重要启发在于：安全推理中的 token 管理本身可以成为独立优化对象。相较之下，本作品的优势不主要体现在引入更激进的近似或更强的通用加速假设，而在于直接围绕医疗影像 DynamicViT 主线完成安全化改写，使训练语义、部署语义与两方执行边界保持一致；同时把浏览器本地分片、服务端权威快检、审计证据链和角色化部署骨架纳入同一交付链路，更适合形成可验证、可复现、可迁移的竞赛作品闭环。</w:t>
      </w:r>
    </w:p>
    <w:p w14:paraId="25D11BB1" w14:textId="77777777" w:rsidR="00035316" w:rsidRDefault="00831B25">
      <w:pPr>
        <w:spacing w:line="360" w:lineRule="auto"/>
        <w:ind w:firstLine="480"/>
        <w:rPr>
          <w:rFonts w:ascii="宋体" w:hAnsi="宋体" w:hint="eastAsia"/>
          <w:sz w:val="24"/>
        </w:rPr>
      </w:pPr>
      <w:r>
        <w:rPr>
          <w:rFonts w:ascii="宋体" w:hAnsi="宋体"/>
        </w:rPr>
        <w:t>综合来看，现有相关工作大致可分为三条路线：一是以 SecureML、MiniONN、GAZELLE、XONN、Delphi 和 CrypTen 为代表的通用私有推理系统，重点解决基础协议与通用神经网络算子问题；二是以 Iron、BOLT、BumbleBee、NEXUS、THE-X、MPCFormer、SecFormer 为代表的固定结构 Transformer 私有推理路线，重点降低 attention 及非线性算子的密态执行开销；三是以 DynamicViT、EViT、A-ViT、ToMe 和 CipherPrune 为代表的 token 稀疏化或动态推理路线，重点减少后续层 token 规模。本作品位于后两条路线的交叉点：它既继承了视觉 Transformer 动态 token 管理的建模思想，又必须满足两方私有推理的固定图与边界保护约束，因此研究重点不是单纯复现某一条现成方案，而是在动态剪枝、双向隐私与工程闭环之间完成兼容性重写。</w:t>
      </w:r>
    </w:p>
    <w:p w14:paraId="62202519" w14:textId="77777777" w:rsidR="00035316" w:rsidRDefault="00831B25">
      <w:pPr>
        <w:pStyle w:val="1"/>
        <w:jc w:val="center"/>
      </w:pPr>
      <w:bookmarkStart w:id="15" w:name="Transshield_TOC_chapter_2"/>
      <w:bookmarkStart w:id="16" w:name="_Toc230989538"/>
      <w:r>
        <w:rPr>
          <w:rFonts w:ascii="黑体" w:eastAsia="黑体" w:hAnsi="黑体"/>
        </w:rPr>
        <w:t>第二章 系统设计</w:t>
      </w:r>
      <w:bookmarkEnd w:id="15"/>
      <w:bookmarkEnd w:id="16"/>
    </w:p>
    <w:p w14:paraId="063C1B15" w14:textId="77777777" w:rsidR="00035316" w:rsidRDefault="00831B25">
      <w:pPr>
        <w:spacing w:line="360" w:lineRule="auto"/>
        <w:outlineLvl w:val="1"/>
      </w:pPr>
      <w:bookmarkStart w:id="17" w:name="Transshield_TOC_section_2_1"/>
      <w:bookmarkStart w:id="18" w:name="_Toc230989539"/>
      <w:r>
        <w:rPr>
          <w:rFonts w:ascii="黑体" w:eastAsia="黑体" w:hAnsi="黑体"/>
          <w:b/>
          <w:sz w:val="24"/>
        </w:rPr>
        <w:t>2.1 总体架构</w:t>
      </w:r>
      <w:bookmarkEnd w:id="17"/>
      <w:bookmarkEnd w:id="18"/>
    </w:p>
    <w:p w14:paraId="4AE7B6CA" w14:textId="77777777" w:rsidR="00035316" w:rsidRDefault="00831B25">
      <w:pPr>
        <w:spacing w:line="360" w:lineRule="auto"/>
        <w:ind w:firstLine="480"/>
      </w:pPr>
      <w:r>
        <w:rPr>
          <w:rFonts w:ascii="宋体" w:hAnsi="宋体"/>
          <w:sz w:val="24"/>
        </w:rPr>
        <w:t>系统由医院终端、本地浏览器工作线程、跨域传输通道、业务侧前置网关、服务端权威快检层和两方安全执行域共同组成。明文图像仅在浏览器工作线程中完成解码、裁剪、归一化、数据质量评估与分片生成，跨越信任边界后仅传输密态分片（share）、结构化元数据和审计摘要；服务端在进入 SPU 计算前完成协议与张量合法性检查，随后由两方安全执行链路联合输出最终分类结果。</w:t>
      </w:r>
    </w:p>
    <w:p w14:paraId="365C4C22" w14:textId="77777777" w:rsidR="00035316" w:rsidRDefault="00831B25">
      <w:pPr>
        <w:spacing w:line="360" w:lineRule="auto"/>
        <w:ind w:firstLine="480"/>
      </w:pPr>
      <w:r>
        <w:rPr>
          <w:rFonts w:ascii="宋体" w:hAnsi="宋体"/>
          <w:sz w:val="24"/>
        </w:rPr>
        <w:t>图 2-1 采用按信任边界分区的部署拓扑：左侧为医院终端与本地明文处理域，中间为广域网与隔离缓冲区（wide area network / demilitarized zone, WAN/DMZ）传输边界，右侧为业务侧前置网关、服务端权威快检层与参与方安全执行域。图中显式标注了明文终止点和密态分片生成起点，并以差异化图例区分本地明文处理与跨边界密态通信。</w:t>
      </w:r>
    </w:p>
    <w:p w14:paraId="0DE18BA5" w14:textId="77777777" w:rsidR="00035316" w:rsidRDefault="00831B25">
      <w:pPr>
        <w:spacing w:line="360" w:lineRule="auto"/>
        <w:jc w:val="center"/>
      </w:pPr>
      <w:r>
        <w:rPr>
          <w:rFonts w:hint="eastAsia"/>
          <w:noProof/>
        </w:rPr>
        <w:drawing>
          <wp:inline distT="0" distB="0" distL="114300" distR="114300" wp14:anchorId="0C82F54B" wp14:editId="1709068E">
            <wp:extent cx="5597525" cy="3396615"/>
            <wp:effectExtent l="0" t="0" r="3175" b="6985"/>
            <wp:docPr id="15" name="图片 15" descr="f61d9f31-548b-44af-8295-9ae299dc2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f61d9f31-548b-44af-8295-9ae299dc2848"/>
                    <pic:cNvPicPr>
                      <a:picLocks noChangeAspect="1"/>
                    </pic:cNvPicPr>
                  </pic:nvPicPr>
                  <pic:blipFill>
                    <a:blip r:embed="rId8"/>
                    <a:stretch>
                      <a:fillRect/>
                    </a:stretch>
                  </pic:blipFill>
                  <pic:spPr>
                    <a:xfrm>
                      <a:off x="0" y="0"/>
                      <a:ext cx="5597525" cy="3396615"/>
                    </a:xfrm>
                    <a:prstGeom prst="rect">
                      <a:avLst/>
                    </a:prstGeom>
                  </pic:spPr>
                </pic:pic>
              </a:graphicData>
            </a:graphic>
          </wp:inline>
        </w:drawing>
      </w:r>
    </w:p>
    <w:p w14:paraId="20B703DF" w14:textId="77777777" w:rsidR="00035316" w:rsidRDefault="00831B25">
      <w:pPr>
        <w:spacing w:line="288" w:lineRule="auto"/>
        <w:jc w:val="center"/>
      </w:pPr>
      <w:r>
        <w:rPr>
          <w:rFonts w:ascii="宋体" w:hAnsi="宋体"/>
          <w:sz w:val="20"/>
        </w:rPr>
        <w:t>图2-1 系统物理与逻辑部署图：绿色实线表示本地明文处理，红色虚线与锁图标表示跨越信任边界的密态分片与张量通信。</w:t>
      </w:r>
    </w:p>
    <w:p w14:paraId="281C4E11" w14:textId="77777777" w:rsidR="00035316" w:rsidRDefault="00831B25">
      <w:pPr>
        <w:spacing w:line="360" w:lineRule="auto"/>
        <w:outlineLvl w:val="1"/>
        <w:rPr>
          <w:rFonts w:ascii="黑体" w:eastAsia="黑体" w:hAnsi="黑体" w:hint="eastAsia"/>
          <w:b/>
          <w:sz w:val="24"/>
        </w:rPr>
      </w:pPr>
      <w:bookmarkStart w:id="19" w:name="Transshield_TOC_section_2_3"/>
      <w:bookmarkStart w:id="20" w:name="Transshield_TOC_section_2_2"/>
      <w:bookmarkStart w:id="21" w:name="_Toc230989540"/>
      <w:r>
        <w:rPr>
          <w:rFonts w:ascii="黑体" w:eastAsia="黑体" w:hAnsi="黑体"/>
          <w:b/>
          <w:sz w:val="24"/>
        </w:rPr>
        <w:t>2.3 软件流程</w:t>
      </w:r>
      <w:bookmarkEnd w:id="19"/>
      <w:bookmarkEnd w:id="21"/>
    </w:p>
    <w:p w14:paraId="60EBA3A9" w14:textId="77777777" w:rsidR="00035316" w:rsidRDefault="00831B25">
      <w:pPr>
        <w:spacing w:line="360" w:lineRule="auto"/>
        <w:ind w:firstLine="480"/>
      </w:pPr>
      <w:r>
        <w:rPr>
          <w:rFonts w:ascii="宋体" w:hAnsi="宋体"/>
          <w:sz w:val="24"/>
        </w:rPr>
        <w:t>图 2-2 给出了完整的软件流转时序。主线程仅负责本地影像加载、预览和请求编排；浏览器工作线程独立完成图像解码、裁剪、数据质量评估指标提取、审计链构建与分片序列化；服务端首先执行原始报文体、边界参数、报文头与多部件结构校验，再对结构化元数据、密态分片与重构张量进行权威快检，全部通过后方可进入 SPU 密态前向计算。最终结果回传时同时包含分类结论、质量裁决、审计摘要与控制面开销，使展示链路与安全链路保持一致。</w:t>
      </w:r>
    </w:p>
    <w:p w14:paraId="4AF28128" w14:textId="77777777" w:rsidR="00035316" w:rsidRDefault="00831B25">
      <w:pPr>
        <w:tabs>
          <w:tab w:val="center" w:pos="4470"/>
          <w:tab w:val="left" w:pos="5458"/>
        </w:tabs>
        <w:spacing w:line="360" w:lineRule="auto"/>
        <w:jc w:val="left"/>
      </w:pPr>
      <w:r>
        <w:rPr>
          <w:rFonts w:ascii="宋体" w:hAnsi="宋体" w:cs="宋体" w:hint="eastAsia"/>
          <w:sz w:val="24"/>
        </w:rPr>
        <w:tab/>
      </w:r>
      <w:r>
        <w:rPr>
          <w:rFonts w:ascii="宋体" w:hAnsi="宋体" w:cs="宋体" w:hint="eastAsia"/>
          <w:noProof/>
          <w:sz w:val="24"/>
        </w:rPr>
        <w:drawing>
          <wp:inline distT="0" distB="0" distL="114300" distR="114300" wp14:anchorId="504D33ED" wp14:editId="3CCDE9BC">
            <wp:extent cx="5591175" cy="3324860"/>
            <wp:effectExtent l="0" t="0" r="9525" b="2540"/>
            <wp:docPr id="13" name="图片 13" descr="717c457a-18f2-42ee-8538-3022092e4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717c457a-18f2-42ee-8538-3022092e4dbf"/>
                    <pic:cNvPicPr>
                      <a:picLocks noChangeAspect="1"/>
                    </pic:cNvPicPr>
                  </pic:nvPicPr>
                  <pic:blipFill>
                    <a:blip r:embed="rId9"/>
                    <a:stretch>
                      <a:fillRect/>
                    </a:stretch>
                  </pic:blipFill>
                  <pic:spPr>
                    <a:xfrm>
                      <a:off x="0" y="0"/>
                      <a:ext cx="5591175" cy="3324860"/>
                    </a:xfrm>
                    <a:prstGeom prst="rect">
                      <a:avLst/>
                    </a:prstGeom>
                  </pic:spPr>
                </pic:pic>
              </a:graphicData>
            </a:graphic>
          </wp:inline>
        </w:drawing>
      </w:r>
      <w:r>
        <w:rPr>
          <w:rFonts w:ascii="宋体" w:hAnsi="宋体" w:cs="宋体" w:hint="eastAsia"/>
          <w:sz w:val="24"/>
        </w:rPr>
        <w:tab/>
      </w:r>
    </w:p>
    <w:p w14:paraId="5451B18C" w14:textId="77777777" w:rsidR="00035316" w:rsidRDefault="00831B25">
      <w:pPr>
        <w:spacing w:line="288" w:lineRule="auto"/>
        <w:jc w:val="left"/>
        <w:rPr>
          <w:sz w:val="24"/>
        </w:rPr>
      </w:pPr>
      <w:r>
        <w:rPr>
          <w:rFonts w:ascii="宋体" w:hAnsi="宋体"/>
          <w:sz w:val="24"/>
        </w:rPr>
        <w:t>图2-2 端到端软件流转时序图：明文仅停留在浏览器工作线程域内，跨域仅传输密态分片与审计摘要。</w:t>
      </w:r>
    </w:p>
    <w:p w14:paraId="5D1535C7" w14:textId="77777777" w:rsidR="00035316" w:rsidRDefault="00831B25">
      <w:pPr>
        <w:spacing w:line="360" w:lineRule="auto"/>
        <w:outlineLvl w:val="1"/>
        <w:rPr>
          <w:rFonts w:ascii="黑体" w:eastAsia="黑体" w:hAnsi="黑体" w:hint="eastAsia"/>
          <w:b/>
          <w:sz w:val="24"/>
        </w:rPr>
      </w:pPr>
      <w:bookmarkStart w:id="22" w:name="_Toc230989541"/>
      <w:r>
        <w:rPr>
          <w:rFonts w:ascii="黑体" w:eastAsia="黑体" w:hAnsi="黑体"/>
          <w:b/>
          <w:sz w:val="24"/>
        </w:rPr>
        <w:t>2.2 威胁模型与安全边界</w:t>
      </w:r>
      <w:bookmarkEnd w:id="20"/>
      <w:bookmarkEnd w:id="22"/>
    </w:p>
    <w:p w14:paraId="11BCFF0B" w14:textId="77777777" w:rsidR="00035316" w:rsidRDefault="00831B25">
      <w:pPr>
        <w:spacing w:line="360" w:lineRule="auto"/>
        <w:ind w:firstLine="480"/>
        <w:rPr>
          <w:rFonts w:ascii="宋体" w:hAnsi="宋体" w:hint="eastAsia"/>
          <w:sz w:val="24"/>
        </w:rPr>
      </w:pPr>
      <w:r>
        <w:rPr>
          <w:rFonts w:ascii="宋体" w:hAnsi="宋体" w:hint="eastAsia"/>
          <w:sz w:val="24"/>
        </w:rPr>
        <w:t>本作品采用两方半诚实威胁模型。系统中，医院终端持有原始输入数据，模型持有方与协同计算方分别持有安全执行域中的不同份额。参与方均遵循协议执行，但可能试图从交互过程中推断对方的隐私信息。系统假设两方不串谋，且不考虑恶意篡改协议、主动注入畸形中间值或侧信道攻击等更强对抗情形。</w:t>
      </w:r>
    </w:p>
    <w:p w14:paraId="1A91041E" w14:textId="77777777" w:rsidR="00035316" w:rsidRDefault="00831B25">
      <w:pPr>
        <w:spacing w:line="360" w:lineRule="auto"/>
        <w:ind w:firstLine="480"/>
        <w:rPr>
          <w:rFonts w:ascii="宋体" w:hAnsi="宋体" w:hint="eastAsia"/>
          <w:sz w:val="24"/>
        </w:rPr>
      </w:pPr>
      <w:r>
        <w:rPr>
          <w:rFonts w:ascii="宋体" w:hAnsi="宋体" w:hint="eastAsia"/>
          <w:sz w:val="24"/>
        </w:rPr>
        <w:t>本作品保护的对象包括：原始影像、模型参数、中间特征、动态剪枝路径以及最终推理结果；系统允许暴露的对象仅包括最小必要的结构化元数据、审计摘要和最终分类结论。本文不声称覆盖生产环境中所有攻击面，尤其不覆盖恶意共谋、模型抽取、物理侧信道和输出反推风险。</w:t>
      </w:r>
      <w:r>
        <w:rPr>
          <w:rFonts w:ascii="宋体" w:hAnsi="宋体" w:cs="宋体"/>
          <w:sz w:val="24"/>
        </w:rPr>
        <w:t>系统的威胁模型、保护对象与安全边界核心定义如表 1 所示。</w:t>
      </w:r>
    </w:p>
    <w:p w14:paraId="4857B270" w14:textId="77777777" w:rsidR="00035316" w:rsidRDefault="00831B25">
      <w:pPr>
        <w:spacing w:line="360" w:lineRule="auto"/>
        <w:jc w:val="center"/>
        <w:rPr>
          <w:rFonts w:ascii="宋体" w:hAnsi="宋体" w:hint="eastAsia"/>
          <w:sz w:val="24"/>
        </w:rPr>
      </w:pPr>
      <w:r>
        <w:rPr>
          <w:rFonts w:ascii="宋体" w:hAnsi="宋体" w:cs="宋体"/>
          <w:sz w:val="24"/>
        </w:rPr>
        <w:t>表 1 系统威胁模型与安全边界定义</w:t>
      </w:r>
    </w:p>
    <w:tbl>
      <w:tblPr>
        <w:tblW w:w="8820" w:type="dxa"/>
        <w:jc w:val="center"/>
        <w:tblLook w:val="04A0" w:firstRow="1" w:lastRow="0" w:firstColumn="1" w:lastColumn="0" w:noHBand="0" w:noVBand="1"/>
      </w:tblPr>
      <w:tblGrid>
        <w:gridCol w:w="1436"/>
        <w:gridCol w:w="7384"/>
      </w:tblGrid>
      <w:tr w:rsidR="00035316" w14:paraId="6DFCEC1E" w14:textId="77777777">
        <w:trPr>
          <w:tblHeader/>
          <w:jc w:val="center"/>
        </w:trPr>
        <w:tc>
          <w:tcPr>
            <w:tcW w:w="1436" w:type="dxa"/>
            <w:tcBorders>
              <w:top w:val="single" w:sz="12" w:space="0" w:color="auto"/>
              <w:left w:val="nil"/>
              <w:bottom w:val="nil"/>
              <w:right w:val="nil"/>
            </w:tcBorders>
            <w:tcMar>
              <w:top w:w="-1" w:type="dxa"/>
              <w:left w:w="-1" w:type="dxa"/>
              <w:bottom w:w="-1" w:type="dxa"/>
              <w:right w:w="-1" w:type="dxa"/>
            </w:tcMar>
            <w:vAlign w:val="center"/>
          </w:tcPr>
          <w:p w14:paraId="67654DB9" w14:textId="77777777" w:rsidR="00035316" w:rsidRDefault="00831B25">
            <w:pPr>
              <w:keepNext/>
              <w:snapToGrid w:val="0"/>
              <w:jc w:val="center"/>
              <w:rPr>
                <w:rFonts w:ascii="宋体"/>
                <w:b/>
                <w:sz w:val="24"/>
              </w:rPr>
            </w:pPr>
            <w:r>
              <w:rPr>
                <w:rFonts w:ascii="宋体" w:hAnsi="宋体"/>
                <w:b/>
                <w:sz w:val="24"/>
              </w:rPr>
              <w:t>项目</w:t>
            </w:r>
          </w:p>
        </w:tc>
        <w:tc>
          <w:tcPr>
            <w:tcW w:w="7384" w:type="dxa"/>
            <w:tcBorders>
              <w:top w:val="single" w:sz="12" w:space="0" w:color="auto"/>
              <w:left w:val="nil"/>
              <w:bottom w:val="nil"/>
              <w:right w:val="nil"/>
            </w:tcBorders>
            <w:tcMar>
              <w:top w:w="-1" w:type="dxa"/>
              <w:left w:w="-1" w:type="dxa"/>
              <w:bottom w:w="-1" w:type="dxa"/>
              <w:right w:w="-1" w:type="dxa"/>
            </w:tcMar>
            <w:vAlign w:val="center"/>
          </w:tcPr>
          <w:p w14:paraId="3463A6A6" w14:textId="77777777" w:rsidR="00035316" w:rsidRDefault="00831B25">
            <w:pPr>
              <w:keepNext/>
              <w:snapToGrid w:val="0"/>
              <w:jc w:val="center"/>
              <w:rPr>
                <w:rFonts w:ascii="宋体"/>
                <w:b/>
                <w:sz w:val="24"/>
              </w:rPr>
            </w:pPr>
            <w:r>
              <w:rPr>
                <w:rFonts w:ascii="宋体" w:hAnsi="宋体"/>
                <w:b/>
                <w:sz w:val="24"/>
              </w:rPr>
              <w:t>说明</w:t>
            </w:r>
          </w:p>
        </w:tc>
      </w:tr>
      <w:tr w:rsidR="00035316" w14:paraId="4B7D207D" w14:textId="77777777">
        <w:trPr>
          <w:jc w:val="center"/>
        </w:trPr>
        <w:tc>
          <w:tcPr>
            <w:tcW w:w="1436" w:type="dxa"/>
            <w:tcBorders>
              <w:top w:val="single" w:sz="4" w:space="0" w:color="auto"/>
              <w:left w:val="nil"/>
              <w:bottom w:val="nil"/>
              <w:right w:val="nil"/>
            </w:tcBorders>
            <w:tcMar>
              <w:top w:w="-1" w:type="dxa"/>
              <w:left w:w="-1" w:type="dxa"/>
              <w:bottom w:w="-1" w:type="dxa"/>
              <w:right w:w="-1" w:type="dxa"/>
            </w:tcMar>
            <w:vAlign w:val="center"/>
          </w:tcPr>
          <w:p w14:paraId="1AFB357C" w14:textId="77777777" w:rsidR="00035316" w:rsidRDefault="00831B25">
            <w:pPr>
              <w:keepNext/>
              <w:snapToGrid w:val="0"/>
              <w:jc w:val="center"/>
              <w:rPr>
                <w:rFonts w:ascii="宋体"/>
                <w:sz w:val="24"/>
              </w:rPr>
            </w:pPr>
            <w:r>
              <w:rPr>
                <w:rFonts w:ascii="宋体" w:hAnsi="宋体"/>
                <w:sz w:val="24"/>
              </w:rPr>
              <w:t>保护对象</w:t>
            </w:r>
          </w:p>
        </w:tc>
        <w:tc>
          <w:tcPr>
            <w:tcW w:w="7384" w:type="dxa"/>
            <w:tcBorders>
              <w:top w:val="single" w:sz="4" w:space="0" w:color="auto"/>
              <w:left w:val="nil"/>
              <w:bottom w:val="nil"/>
              <w:right w:val="nil"/>
            </w:tcBorders>
            <w:tcMar>
              <w:top w:w="-1" w:type="dxa"/>
              <w:left w:w="-1" w:type="dxa"/>
              <w:bottom w:w="-1" w:type="dxa"/>
              <w:right w:w="-1" w:type="dxa"/>
            </w:tcMar>
            <w:vAlign w:val="center"/>
          </w:tcPr>
          <w:p w14:paraId="323F8FD1" w14:textId="77777777" w:rsidR="00035316" w:rsidRDefault="00831B25">
            <w:pPr>
              <w:keepNext/>
              <w:snapToGrid w:val="0"/>
              <w:jc w:val="left"/>
              <w:rPr>
                <w:rFonts w:ascii="宋体"/>
                <w:sz w:val="24"/>
              </w:rPr>
            </w:pPr>
            <w:r>
              <w:rPr>
                <w:rFonts w:ascii="宋体" w:hAnsi="宋体"/>
                <w:sz w:val="24"/>
              </w:rPr>
              <w:t>用户输入数据、模型参数、中间动态决策状态、审计与控制面证据</w:t>
            </w:r>
          </w:p>
        </w:tc>
      </w:tr>
      <w:tr w:rsidR="00035316" w14:paraId="670F2A17" w14:textId="77777777">
        <w:trPr>
          <w:jc w:val="center"/>
        </w:trPr>
        <w:tc>
          <w:tcPr>
            <w:tcW w:w="1436" w:type="dxa"/>
            <w:tcBorders>
              <w:top w:val="nil"/>
              <w:left w:val="nil"/>
              <w:bottom w:val="nil"/>
              <w:right w:val="nil"/>
            </w:tcBorders>
            <w:tcMar>
              <w:top w:w="-1" w:type="dxa"/>
              <w:left w:w="-1" w:type="dxa"/>
              <w:bottom w:w="-1" w:type="dxa"/>
              <w:right w:w="-1" w:type="dxa"/>
            </w:tcMar>
            <w:vAlign w:val="center"/>
          </w:tcPr>
          <w:p w14:paraId="1A5433E7" w14:textId="77777777" w:rsidR="00035316" w:rsidRDefault="00831B25">
            <w:pPr>
              <w:keepNext/>
              <w:snapToGrid w:val="0"/>
              <w:jc w:val="center"/>
              <w:rPr>
                <w:rFonts w:ascii="宋体"/>
                <w:sz w:val="24"/>
              </w:rPr>
            </w:pPr>
            <w:r>
              <w:rPr>
                <w:rFonts w:ascii="宋体" w:hAnsi="宋体"/>
                <w:sz w:val="24"/>
              </w:rPr>
              <w:t>参与方</w:t>
            </w:r>
          </w:p>
        </w:tc>
        <w:tc>
          <w:tcPr>
            <w:tcW w:w="7384" w:type="dxa"/>
            <w:tcBorders>
              <w:top w:val="nil"/>
              <w:left w:val="nil"/>
              <w:bottom w:val="nil"/>
              <w:right w:val="nil"/>
            </w:tcBorders>
            <w:tcMar>
              <w:top w:w="-1" w:type="dxa"/>
              <w:left w:w="-1" w:type="dxa"/>
              <w:bottom w:w="-1" w:type="dxa"/>
              <w:right w:w="-1" w:type="dxa"/>
            </w:tcMar>
            <w:vAlign w:val="center"/>
          </w:tcPr>
          <w:p w14:paraId="2B57EC40" w14:textId="77777777" w:rsidR="00035316" w:rsidRDefault="00831B25">
            <w:pPr>
              <w:keepNext/>
              <w:snapToGrid w:val="0"/>
              <w:jc w:val="left"/>
              <w:rPr>
                <w:rFonts w:ascii="宋体"/>
                <w:sz w:val="24"/>
              </w:rPr>
            </w:pPr>
            <w:r>
              <w:rPr>
                <w:rFonts w:ascii="宋体" w:hAnsi="宋体"/>
                <w:sz w:val="24"/>
              </w:rPr>
              <w:t>医院终端浏览器、浏览器工作线程、业务侧前置网关、服务端快检模块、两方 SPU 节点</w:t>
            </w:r>
          </w:p>
        </w:tc>
      </w:tr>
      <w:tr w:rsidR="00035316" w14:paraId="6EBB8CF0" w14:textId="77777777">
        <w:trPr>
          <w:jc w:val="center"/>
        </w:trPr>
        <w:tc>
          <w:tcPr>
            <w:tcW w:w="1436" w:type="dxa"/>
            <w:tcBorders>
              <w:top w:val="nil"/>
              <w:left w:val="nil"/>
              <w:bottom w:val="nil"/>
              <w:right w:val="nil"/>
            </w:tcBorders>
            <w:tcMar>
              <w:top w:w="-1" w:type="dxa"/>
              <w:left w:w="-1" w:type="dxa"/>
              <w:bottom w:w="-1" w:type="dxa"/>
              <w:right w:w="-1" w:type="dxa"/>
            </w:tcMar>
            <w:vAlign w:val="center"/>
          </w:tcPr>
          <w:p w14:paraId="4BCEA233" w14:textId="77777777" w:rsidR="00035316" w:rsidRDefault="00831B25">
            <w:pPr>
              <w:keepNext/>
              <w:snapToGrid w:val="0"/>
              <w:jc w:val="center"/>
              <w:rPr>
                <w:rFonts w:ascii="宋体"/>
                <w:sz w:val="24"/>
              </w:rPr>
            </w:pPr>
            <w:r>
              <w:rPr>
                <w:rFonts w:ascii="宋体" w:hAnsi="宋体"/>
                <w:sz w:val="24"/>
              </w:rPr>
              <w:t>攻击者能力</w:t>
            </w:r>
          </w:p>
        </w:tc>
        <w:tc>
          <w:tcPr>
            <w:tcW w:w="7384" w:type="dxa"/>
            <w:tcBorders>
              <w:top w:val="nil"/>
              <w:left w:val="nil"/>
              <w:bottom w:val="nil"/>
              <w:right w:val="nil"/>
            </w:tcBorders>
            <w:tcMar>
              <w:top w:w="-1" w:type="dxa"/>
              <w:left w:w="-1" w:type="dxa"/>
              <w:bottom w:w="-1" w:type="dxa"/>
              <w:right w:w="-1" w:type="dxa"/>
            </w:tcMar>
            <w:vAlign w:val="center"/>
          </w:tcPr>
          <w:p w14:paraId="5131634E" w14:textId="77777777" w:rsidR="00035316" w:rsidRDefault="00831B25">
            <w:pPr>
              <w:keepNext/>
              <w:snapToGrid w:val="0"/>
              <w:jc w:val="left"/>
              <w:rPr>
                <w:rFonts w:ascii="宋体"/>
                <w:sz w:val="24"/>
              </w:rPr>
            </w:pPr>
            <w:r>
              <w:rPr>
                <w:rFonts w:ascii="宋体" w:hAnsi="宋体"/>
                <w:sz w:val="24"/>
              </w:rPr>
              <w:t>可监听网络、构造畸形多部件表单报文（multipart/form-data）、伪造结构化元数据、重放一次性随机标识（nonce）、提交异常密态分片、实施并发探测</w:t>
            </w:r>
          </w:p>
        </w:tc>
      </w:tr>
      <w:tr w:rsidR="00035316" w14:paraId="16A8F930" w14:textId="77777777">
        <w:trPr>
          <w:jc w:val="center"/>
        </w:trPr>
        <w:tc>
          <w:tcPr>
            <w:tcW w:w="1436" w:type="dxa"/>
            <w:tcBorders>
              <w:top w:val="nil"/>
              <w:left w:val="nil"/>
              <w:bottom w:val="nil"/>
              <w:right w:val="nil"/>
            </w:tcBorders>
            <w:tcMar>
              <w:top w:w="-1" w:type="dxa"/>
              <w:left w:w="-1" w:type="dxa"/>
              <w:bottom w:w="-1" w:type="dxa"/>
              <w:right w:w="-1" w:type="dxa"/>
            </w:tcMar>
            <w:vAlign w:val="center"/>
          </w:tcPr>
          <w:p w14:paraId="2C1AB8B8" w14:textId="77777777" w:rsidR="00035316" w:rsidRDefault="00831B25">
            <w:pPr>
              <w:keepNext/>
              <w:snapToGrid w:val="0"/>
              <w:jc w:val="center"/>
              <w:rPr>
                <w:rFonts w:ascii="宋体"/>
                <w:sz w:val="24"/>
              </w:rPr>
            </w:pPr>
            <w:r>
              <w:rPr>
                <w:rFonts w:ascii="宋体" w:hAnsi="宋体"/>
                <w:sz w:val="24"/>
              </w:rPr>
              <w:t>安全假设</w:t>
            </w:r>
          </w:p>
        </w:tc>
        <w:tc>
          <w:tcPr>
            <w:tcW w:w="7384" w:type="dxa"/>
            <w:tcBorders>
              <w:top w:val="nil"/>
              <w:left w:val="nil"/>
              <w:bottom w:val="nil"/>
              <w:right w:val="nil"/>
            </w:tcBorders>
            <w:tcMar>
              <w:top w:w="-1" w:type="dxa"/>
              <w:left w:w="-1" w:type="dxa"/>
              <w:bottom w:w="-1" w:type="dxa"/>
              <w:right w:w="-1" w:type="dxa"/>
            </w:tcMar>
            <w:vAlign w:val="center"/>
          </w:tcPr>
          <w:p w14:paraId="182D231E" w14:textId="77777777" w:rsidR="00035316" w:rsidRDefault="00831B25">
            <w:pPr>
              <w:keepNext/>
              <w:snapToGrid w:val="0"/>
              <w:jc w:val="left"/>
              <w:rPr>
                <w:rFonts w:ascii="宋体"/>
                <w:sz w:val="24"/>
              </w:rPr>
            </w:pPr>
            <w:r>
              <w:rPr>
                <w:rFonts w:ascii="宋体" w:hAnsi="宋体"/>
                <w:sz w:val="24"/>
              </w:rPr>
              <w:t>两方半诚实；不引入额外可信第三方；前端不作为可信根，关键裁决以服务端复算为准</w:t>
            </w:r>
          </w:p>
        </w:tc>
      </w:tr>
      <w:tr w:rsidR="00035316" w14:paraId="4FD2E542" w14:textId="77777777">
        <w:trPr>
          <w:jc w:val="center"/>
        </w:trPr>
        <w:tc>
          <w:tcPr>
            <w:tcW w:w="1436" w:type="dxa"/>
            <w:tcBorders>
              <w:top w:val="nil"/>
              <w:left w:val="nil"/>
              <w:bottom w:val="nil"/>
              <w:right w:val="nil"/>
            </w:tcBorders>
            <w:tcMar>
              <w:top w:w="-1" w:type="dxa"/>
              <w:left w:w="-1" w:type="dxa"/>
              <w:bottom w:w="-1" w:type="dxa"/>
              <w:right w:w="-1" w:type="dxa"/>
            </w:tcMar>
            <w:vAlign w:val="center"/>
          </w:tcPr>
          <w:p w14:paraId="6B6C5E42" w14:textId="77777777" w:rsidR="00035316" w:rsidRDefault="00831B25">
            <w:pPr>
              <w:keepNext/>
              <w:snapToGrid w:val="0"/>
              <w:jc w:val="center"/>
              <w:rPr>
                <w:rFonts w:ascii="宋体"/>
                <w:sz w:val="24"/>
              </w:rPr>
            </w:pPr>
            <w:r>
              <w:rPr>
                <w:rFonts w:ascii="宋体" w:hAnsi="宋体"/>
                <w:sz w:val="24"/>
              </w:rPr>
              <w:t>不覆盖范围</w:t>
            </w:r>
          </w:p>
        </w:tc>
        <w:tc>
          <w:tcPr>
            <w:tcW w:w="7384" w:type="dxa"/>
            <w:tcBorders>
              <w:top w:val="nil"/>
              <w:left w:val="nil"/>
              <w:bottom w:val="nil"/>
              <w:right w:val="nil"/>
            </w:tcBorders>
            <w:tcMar>
              <w:top w:w="-1" w:type="dxa"/>
              <w:left w:w="-1" w:type="dxa"/>
              <w:bottom w:w="-1" w:type="dxa"/>
              <w:right w:w="-1" w:type="dxa"/>
            </w:tcMar>
            <w:vAlign w:val="center"/>
          </w:tcPr>
          <w:p w14:paraId="3768F02E" w14:textId="77777777" w:rsidR="00035316" w:rsidRDefault="00831B25">
            <w:pPr>
              <w:keepNext/>
              <w:snapToGrid w:val="0"/>
              <w:jc w:val="left"/>
              <w:rPr>
                <w:rFonts w:ascii="宋体"/>
                <w:sz w:val="24"/>
              </w:rPr>
            </w:pPr>
            <w:r>
              <w:rPr>
                <w:rFonts w:ascii="宋体" w:hAnsi="宋体"/>
                <w:sz w:val="24"/>
              </w:rPr>
              <w:t>恶意参与方串谋、浏览器被完全控制、进入长耗时 SPU 后的主动断连感知、生产级分布式 DoS、防输出反演攻击</w:t>
            </w:r>
          </w:p>
        </w:tc>
      </w:tr>
      <w:tr w:rsidR="00035316" w14:paraId="50EA3336" w14:textId="77777777">
        <w:trPr>
          <w:jc w:val="center"/>
        </w:trPr>
        <w:tc>
          <w:tcPr>
            <w:tcW w:w="1436" w:type="dxa"/>
            <w:tcBorders>
              <w:top w:val="nil"/>
              <w:left w:val="nil"/>
              <w:bottom w:val="single" w:sz="12" w:space="0" w:color="auto"/>
              <w:right w:val="nil"/>
            </w:tcBorders>
            <w:tcMar>
              <w:top w:w="-1" w:type="dxa"/>
              <w:left w:w="-1" w:type="dxa"/>
              <w:bottom w:w="-1" w:type="dxa"/>
              <w:right w:w="-1" w:type="dxa"/>
            </w:tcMar>
            <w:vAlign w:val="center"/>
          </w:tcPr>
          <w:p w14:paraId="68B1F8EE" w14:textId="77777777" w:rsidR="00035316" w:rsidRDefault="00831B25">
            <w:pPr>
              <w:keepNext/>
              <w:snapToGrid w:val="0"/>
              <w:jc w:val="center"/>
              <w:rPr>
                <w:rFonts w:ascii="宋体"/>
                <w:sz w:val="24"/>
              </w:rPr>
            </w:pPr>
            <w:r>
              <w:rPr>
                <w:rFonts w:ascii="宋体" w:hAnsi="宋体"/>
                <w:sz w:val="24"/>
              </w:rPr>
              <w:t>防护证据</w:t>
            </w:r>
          </w:p>
        </w:tc>
        <w:tc>
          <w:tcPr>
            <w:tcW w:w="7384" w:type="dxa"/>
            <w:tcBorders>
              <w:top w:val="nil"/>
              <w:left w:val="nil"/>
              <w:bottom w:val="single" w:sz="12" w:space="0" w:color="auto"/>
              <w:right w:val="nil"/>
            </w:tcBorders>
            <w:tcMar>
              <w:top w:w="-1" w:type="dxa"/>
              <w:left w:w="-1" w:type="dxa"/>
              <w:bottom w:w="-1" w:type="dxa"/>
              <w:right w:w="-1" w:type="dxa"/>
            </w:tcMar>
            <w:vAlign w:val="center"/>
          </w:tcPr>
          <w:p w14:paraId="0EA7A824" w14:textId="77777777" w:rsidR="00035316" w:rsidRDefault="00831B25">
            <w:pPr>
              <w:keepNext/>
              <w:snapToGrid w:val="0"/>
              <w:jc w:val="left"/>
              <w:rPr>
                <w:rFonts w:ascii="宋体"/>
                <w:sz w:val="24"/>
              </w:rPr>
            </w:pPr>
            <w:r>
              <w:rPr>
                <w:rFonts w:ascii="宋体" w:hAnsi="宋体"/>
                <w:sz w:val="24"/>
              </w:rPr>
              <w:t>协议层模糊测试、重放与并发守卫测试、服务端张量快检与审计落盘证据</w:t>
            </w:r>
          </w:p>
        </w:tc>
      </w:tr>
    </w:tbl>
    <w:p w14:paraId="43BB790E" w14:textId="77777777" w:rsidR="00035316" w:rsidRDefault="00831B25">
      <w:pPr>
        <w:spacing w:line="360" w:lineRule="auto"/>
        <w:jc w:val="left"/>
        <w:rPr>
          <w:rFonts w:ascii="宋体" w:hAnsi="宋体" w:cs="宋体" w:hint="eastAsia"/>
          <w:sz w:val="24"/>
        </w:rPr>
      </w:pPr>
      <w:r>
        <w:rPr>
          <w:rFonts w:ascii="宋体" w:hAnsi="宋体" w:cs="宋体"/>
          <w:sz w:val="24"/>
        </w:rPr>
        <w:t>注：本表格基于两方半诚实威胁模型制定，仅覆盖原型系统设计范围内的安全假设与防护边界，不代表生产级系统的完整安全承诺</w:t>
      </w:r>
    </w:p>
    <w:p w14:paraId="0A1FF125" w14:textId="77777777" w:rsidR="00035316" w:rsidRDefault="00831B25">
      <w:pPr>
        <w:spacing w:line="360" w:lineRule="auto"/>
        <w:jc w:val="center"/>
        <w:rPr>
          <w:rFonts w:ascii="宋体" w:hAnsi="宋体" w:hint="eastAsia"/>
          <w:sz w:val="24"/>
        </w:rPr>
      </w:pPr>
      <w:r>
        <w:rPr>
          <w:rFonts w:ascii="宋体" w:hAnsi="宋体" w:cs="宋体"/>
          <w:sz w:val="24"/>
        </w:rPr>
        <w:t>表 2 系统各维度安全边界覆盖情况</w:t>
      </w:r>
    </w:p>
    <w:tbl>
      <w:tblPr>
        <w:tblW w:w="8820" w:type="dxa"/>
        <w:jc w:val="center"/>
        <w:tblLook w:val="04A0" w:firstRow="1" w:lastRow="0" w:firstColumn="1" w:lastColumn="0" w:noHBand="0" w:noVBand="1"/>
      </w:tblPr>
      <w:tblGrid>
        <w:gridCol w:w="1536"/>
        <w:gridCol w:w="4356"/>
        <w:gridCol w:w="2928"/>
      </w:tblGrid>
      <w:tr w:rsidR="00035316" w14:paraId="16187CA6"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0672D0DE" w14:textId="77777777" w:rsidR="00035316" w:rsidRDefault="00831B25">
            <w:pPr>
              <w:snapToGrid w:val="0"/>
              <w:jc w:val="center"/>
              <w:rPr>
                <w:rFonts w:ascii="宋体"/>
                <w:b/>
                <w:sz w:val="24"/>
              </w:rPr>
            </w:pPr>
            <w:r>
              <w:rPr>
                <w:rFonts w:ascii="宋体" w:hAnsi="宋体"/>
                <w:b/>
                <w:sz w:val="24"/>
              </w:rPr>
              <w:t>边界项</w:t>
            </w:r>
          </w:p>
        </w:tc>
        <w:tc>
          <w:tcPr>
            <w:tcW w:w="4356" w:type="dxa"/>
            <w:tcBorders>
              <w:top w:val="single" w:sz="12" w:space="0" w:color="auto"/>
              <w:left w:val="nil"/>
              <w:bottom w:val="nil"/>
              <w:right w:val="nil"/>
            </w:tcBorders>
            <w:tcMar>
              <w:top w:w="-1" w:type="dxa"/>
              <w:left w:w="-1" w:type="dxa"/>
              <w:bottom w:w="-1" w:type="dxa"/>
              <w:right w:w="-1" w:type="dxa"/>
            </w:tcMar>
            <w:vAlign w:val="center"/>
          </w:tcPr>
          <w:p w14:paraId="7DC37F81" w14:textId="77777777" w:rsidR="00035316" w:rsidRDefault="00831B25">
            <w:pPr>
              <w:snapToGrid w:val="0"/>
              <w:jc w:val="center"/>
              <w:rPr>
                <w:rFonts w:ascii="宋体"/>
                <w:b/>
                <w:sz w:val="24"/>
              </w:rPr>
            </w:pPr>
            <w:r>
              <w:rPr>
                <w:rFonts w:ascii="宋体" w:hAnsi="宋体"/>
                <w:b/>
                <w:sz w:val="24"/>
              </w:rPr>
              <w:t>当前覆盖</w:t>
            </w:r>
          </w:p>
        </w:tc>
        <w:tc>
          <w:tcPr>
            <w:tcW w:w="2928" w:type="dxa"/>
            <w:tcBorders>
              <w:top w:val="single" w:sz="12" w:space="0" w:color="auto"/>
              <w:left w:val="nil"/>
              <w:bottom w:val="nil"/>
              <w:right w:val="nil"/>
            </w:tcBorders>
            <w:tcMar>
              <w:top w:w="-1" w:type="dxa"/>
              <w:left w:w="-1" w:type="dxa"/>
              <w:bottom w:w="-1" w:type="dxa"/>
              <w:right w:w="-1" w:type="dxa"/>
            </w:tcMar>
            <w:vAlign w:val="center"/>
          </w:tcPr>
          <w:p w14:paraId="4FFF742B" w14:textId="77777777" w:rsidR="00035316" w:rsidRDefault="00831B25">
            <w:pPr>
              <w:snapToGrid w:val="0"/>
              <w:jc w:val="center"/>
              <w:rPr>
                <w:rFonts w:ascii="宋体"/>
                <w:b/>
                <w:sz w:val="24"/>
              </w:rPr>
            </w:pPr>
            <w:r>
              <w:rPr>
                <w:rFonts w:ascii="宋体" w:hAnsi="宋体"/>
                <w:b/>
                <w:sz w:val="24"/>
              </w:rPr>
              <w:t>当前不覆盖或限制</w:t>
            </w:r>
          </w:p>
        </w:tc>
      </w:tr>
      <w:tr w:rsidR="00035316" w14:paraId="4773D8FA"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4472BCC7" w14:textId="77777777" w:rsidR="00035316" w:rsidRDefault="00831B25">
            <w:pPr>
              <w:snapToGrid w:val="0"/>
              <w:jc w:val="center"/>
              <w:rPr>
                <w:rFonts w:ascii="宋体"/>
                <w:sz w:val="24"/>
              </w:rPr>
            </w:pPr>
            <w:r>
              <w:rPr>
                <w:rFonts w:ascii="宋体" w:hAnsi="宋体"/>
                <w:sz w:val="24"/>
              </w:rPr>
              <w:t>输入明文保护</w:t>
            </w:r>
          </w:p>
        </w:tc>
        <w:tc>
          <w:tcPr>
            <w:tcW w:w="4356" w:type="dxa"/>
            <w:tcBorders>
              <w:top w:val="single" w:sz="4" w:space="0" w:color="auto"/>
              <w:left w:val="nil"/>
              <w:bottom w:val="nil"/>
              <w:right w:val="nil"/>
            </w:tcBorders>
            <w:tcMar>
              <w:top w:w="-1" w:type="dxa"/>
              <w:left w:w="-1" w:type="dxa"/>
              <w:bottom w:w="-1" w:type="dxa"/>
              <w:right w:w="-1" w:type="dxa"/>
            </w:tcMar>
            <w:vAlign w:val="center"/>
          </w:tcPr>
          <w:p w14:paraId="00C0FB48" w14:textId="77777777" w:rsidR="00035316" w:rsidRDefault="00831B25">
            <w:pPr>
              <w:snapToGrid w:val="0"/>
              <w:jc w:val="center"/>
              <w:rPr>
                <w:rFonts w:ascii="宋体"/>
                <w:sz w:val="24"/>
              </w:rPr>
            </w:pPr>
            <w:r>
              <w:rPr>
                <w:rFonts w:ascii="宋体" w:hAnsi="宋体"/>
                <w:sz w:val="24"/>
              </w:rPr>
              <w:t>明文图像只在浏览器工作线程内解码、裁剪与分片，服务端仅接收密态 share 与结构化元数据</w:t>
            </w:r>
          </w:p>
        </w:tc>
        <w:tc>
          <w:tcPr>
            <w:tcW w:w="2928" w:type="dxa"/>
            <w:tcBorders>
              <w:top w:val="single" w:sz="4" w:space="0" w:color="auto"/>
              <w:left w:val="nil"/>
              <w:bottom w:val="nil"/>
              <w:right w:val="nil"/>
            </w:tcBorders>
            <w:tcMar>
              <w:top w:w="-1" w:type="dxa"/>
              <w:left w:w="-1" w:type="dxa"/>
              <w:bottom w:w="-1" w:type="dxa"/>
              <w:right w:w="-1" w:type="dxa"/>
            </w:tcMar>
            <w:vAlign w:val="center"/>
          </w:tcPr>
          <w:p w14:paraId="0674BC98" w14:textId="77777777" w:rsidR="00035316" w:rsidRDefault="00831B25">
            <w:pPr>
              <w:snapToGrid w:val="0"/>
              <w:jc w:val="left"/>
              <w:rPr>
                <w:rFonts w:ascii="宋体"/>
                <w:sz w:val="24"/>
              </w:rPr>
            </w:pPr>
            <w:r>
              <w:rPr>
                <w:rFonts w:ascii="宋体" w:hAnsi="宋体"/>
                <w:sz w:val="24"/>
              </w:rPr>
              <w:t>不覆盖浏览器被完全控制或本地终端失陷后的明文窃取</w:t>
            </w:r>
          </w:p>
        </w:tc>
      </w:tr>
      <w:tr w:rsidR="00035316" w14:paraId="2FDBBD42"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4257D847" w14:textId="77777777" w:rsidR="00035316" w:rsidRDefault="00831B25">
            <w:pPr>
              <w:snapToGrid w:val="0"/>
              <w:jc w:val="center"/>
              <w:rPr>
                <w:rFonts w:ascii="宋体"/>
                <w:sz w:val="24"/>
              </w:rPr>
            </w:pPr>
            <w:r>
              <w:rPr>
                <w:rFonts w:ascii="宋体" w:hAnsi="宋体"/>
                <w:sz w:val="24"/>
              </w:rPr>
              <w:t>模型参数保护</w:t>
            </w:r>
          </w:p>
        </w:tc>
        <w:tc>
          <w:tcPr>
            <w:tcW w:w="4356" w:type="dxa"/>
            <w:tcBorders>
              <w:top w:val="nil"/>
              <w:left w:val="nil"/>
              <w:bottom w:val="nil"/>
              <w:right w:val="nil"/>
            </w:tcBorders>
            <w:tcMar>
              <w:top w:w="-1" w:type="dxa"/>
              <w:left w:w="-1" w:type="dxa"/>
              <w:bottom w:w="-1" w:type="dxa"/>
              <w:right w:w="-1" w:type="dxa"/>
            </w:tcMar>
            <w:vAlign w:val="center"/>
          </w:tcPr>
          <w:p w14:paraId="3F10F422" w14:textId="77777777" w:rsidR="00035316" w:rsidRDefault="00831B25">
            <w:pPr>
              <w:snapToGrid w:val="0"/>
              <w:jc w:val="center"/>
              <w:rPr>
                <w:rFonts w:ascii="宋体"/>
                <w:sz w:val="24"/>
              </w:rPr>
            </w:pPr>
            <w:r>
              <w:rPr>
                <w:rFonts w:ascii="宋体" w:hAnsi="宋体"/>
                <w:sz w:val="24"/>
              </w:rPr>
              <w:t>模型参数不向数据使用方以明文暴露，仅在两方安全执行域内参与计算</w:t>
            </w:r>
          </w:p>
        </w:tc>
        <w:tc>
          <w:tcPr>
            <w:tcW w:w="2928" w:type="dxa"/>
            <w:tcBorders>
              <w:top w:val="nil"/>
              <w:left w:val="nil"/>
              <w:bottom w:val="nil"/>
              <w:right w:val="nil"/>
            </w:tcBorders>
            <w:tcMar>
              <w:top w:w="-1" w:type="dxa"/>
              <w:left w:w="-1" w:type="dxa"/>
              <w:bottom w:w="-1" w:type="dxa"/>
              <w:right w:w="-1" w:type="dxa"/>
            </w:tcMar>
            <w:vAlign w:val="center"/>
          </w:tcPr>
          <w:p w14:paraId="08729C1D" w14:textId="77777777" w:rsidR="00035316" w:rsidRDefault="00831B25">
            <w:pPr>
              <w:snapToGrid w:val="0"/>
              <w:jc w:val="left"/>
              <w:rPr>
                <w:rFonts w:ascii="宋体"/>
                <w:sz w:val="24"/>
              </w:rPr>
            </w:pPr>
            <w:r>
              <w:rPr>
                <w:rFonts w:ascii="宋体" w:hAnsi="宋体"/>
                <w:sz w:val="24"/>
              </w:rPr>
              <w:t>不覆盖恶意参与方串谋、模型抽取与生产级侧信道分析</w:t>
            </w:r>
          </w:p>
        </w:tc>
      </w:tr>
      <w:tr w:rsidR="00035316" w14:paraId="3399A1FA"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1BF853B6" w14:textId="77777777" w:rsidR="00035316" w:rsidRDefault="00831B25">
            <w:pPr>
              <w:snapToGrid w:val="0"/>
              <w:jc w:val="center"/>
              <w:rPr>
                <w:rFonts w:ascii="宋体"/>
                <w:sz w:val="24"/>
              </w:rPr>
            </w:pPr>
            <w:r>
              <w:rPr>
                <w:rFonts w:ascii="宋体" w:hAnsi="宋体"/>
                <w:sz w:val="24"/>
              </w:rPr>
              <w:t>动态决策隐私</w:t>
            </w:r>
          </w:p>
        </w:tc>
        <w:tc>
          <w:tcPr>
            <w:tcW w:w="4356" w:type="dxa"/>
            <w:tcBorders>
              <w:top w:val="nil"/>
              <w:left w:val="nil"/>
              <w:bottom w:val="nil"/>
              <w:right w:val="nil"/>
            </w:tcBorders>
            <w:tcMar>
              <w:top w:w="-1" w:type="dxa"/>
              <w:left w:w="-1" w:type="dxa"/>
              <w:bottom w:w="-1" w:type="dxa"/>
              <w:right w:w="-1" w:type="dxa"/>
            </w:tcMar>
            <w:vAlign w:val="center"/>
          </w:tcPr>
          <w:p w14:paraId="20B03294" w14:textId="77777777" w:rsidR="00035316" w:rsidRDefault="00831B25">
            <w:pPr>
              <w:snapToGrid w:val="0"/>
              <w:jc w:val="center"/>
              <w:rPr>
                <w:rFonts w:ascii="宋体"/>
                <w:sz w:val="24"/>
              </w:rPr>
            </w:pPr>
            <w:r>
              <w:rPr>
                <w:rFonts w:ascii="宋体" w:hAnsi="宋体"/>
                <w:sz w:val="24"/>
              </w:rPr>
              <w:t>PredictorLG、阈值判断与并列分数决断保留在安全执行域内</w:t>
            </w:r>
          </w:p>
        </w:tc>
        <w:tc>
          <w:tcPr>
            <w:tcW w:w="2928" w:type="dxa"/>
            <w:tcBorders>
              <w:top w:val="nil"/>
              <w:left w:val="nil"/>
              <w:bottom w:val="nil"/>
              <w:right w:val="nil"/>
            </w:tcBorders>
            <w:tcMar>
              <w:top w:w="-1" w:type="dxa"/>
              <w:left w:w="-1" w:type="dxa"/>
              <w:bottom w:w="-1" w:type="dxa"/>
              <w:right w:w="-1" w:type="dxa"/>
            </w:tcMar>
            <w:vAlign w:val="center"/>
          </w:tcPr>
          <w:p w14:paraId="229119DB" w14:textId="77777777" w:rsidR="00035316" w:rsidRDefault="00831B25">
            <w:pPr>
              <w:snapToGrid w:val="0"/>
              <w:jc w:val="left"/>
              <w:rPr>
                <w:rFonts w:ascii="宋体"/>
                <w:sz w:val="24"/>
              </w:rPr>
            </w:pPr>
            <w:r>
              <w:rPr>
                <w:rFonts w:ascii="宋体" w:hAnsi="宋体"/>
                <w:sz w:val="24"/>
              </w:rPr>
              <w:t>不覆盖进入安全图后的主动任务取消、长连接断开感知与更强攻击模型</w:t>
            </w:r>
          </w:p>
        </w:tc>
      </w:tr>
      <w:tr w:rsidR="00035316" w14:paraId="69EDDC29"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27E7CF3C" w14:textId="77777777" w:rsidR="00035316" w:rsidRDefault="00831B25">
            <w:pPr>
              <w:snapToGrid w:val="0"/>
              <w:jc w:val="center"/>
              <w:rPr>
                <w:rFonts w:ascii="宋体"/>
                <w:sz w:val="24"/>
              </w:rPr>
            </w:pPr>
            <w:r>
              <w:rPr>
                <w:rFonts w:ascii="宋体" w:hAnsi="宋体"/>
                <w:sz w:val="24"/>
              </w:rPr>
              <w:t>协议与输入防护</w:t>
            </w:r>
          </w:p>
        </w:tc>
        <w:tc>
          <w:tcPr>
            <w:tcW w:w="4356" w:type="dxa"/>
            <w:tcBorders>
              <w:top w:val="nil"/>
              <w:left w:val="nil"/>
              <w:bottom w:val="nil"/>
              <w:right w:val="nil"/>
            </w:tcBorders>
            <w:tcMar>
              <w:top w:w="-1" w:type="dxa"/>
              <w:left w:w="-1" w:type="dxa"/>
              <w:bottom w:w="-1" w:type="dxa"/>
              <w:right w:w="-1" w:type="dxa"/>
            </w:tcMar>
            <w:vAlign w:val="center"/>
          </w:tcPr>
          <w:p w14:paraId="0305FB5B" w14:textId="77777777" w:rsidR="00035316" w:rsidRDefault="00831B25">
            <w:pPr>
              <w:snapToGrid w:val="0"/>
              <w:jc w:val="center"/>
              <w:rPr>
                <w:rFonts w:ascii="宋体"/>
                <w:sz w:val="24"/>
              </w:rPr>
            </w:pPr>
            <w:r>
              <w:rPr>
                <w:rFonts w:ascii="宋体" w:hAnsi="宋体"/>
                <w:sz w:val="24"/>
              </w:rPr>
              <w:t>原始多部件表单预检、JSON（JavaScript Object Notation）字节门、share 哈希与张量合法性快检、重放与并发守卫已落地</w:t>
            </w:r>
          </w:p>
        </w:tc>
        <w:tc>
          <w:tcPr>
            <w:tcW w:w="2928" w:type="dxa"/>
            <w:tcBorders>
              <w:top w:val="nil"/>
              <w:left w:val="nil"/>
              <w:bottom w:val="nil"/>
              <w:right w:val="nil"/>
            </w:tcBorders>
            <w:tcMar>
              <w:top w:w="-1" w:type="dxa"/>
              <w:left w:w="-1" w:type="dxa"/>
              <w:bottom w:w="-1" w:type="dxa"/>
              <w:right w:w="-1" w:type="dxa"/>
            </w:tcMar>
            <w:vAlign w:val="center"/>
          </w:tcPr>
          <w:p w14:paraId="17887B46" w14:textId="77777777" w:rsidR="00035316" w:rsidRDefault="00831B25">
            <w:pPr>
              <w:snapToGrid w:val="0"/>
              <w:jc w:val="left"/>
              <w:rPr>
                <w:rFonts w:ascii="宋体"/>
                <w:sz w:val="24"/>
              </w:rPr>
            </w:pPr>
            <w:r>
              <w:rPr>
                <w:rFonts w:ascii="宋体" w:hAnsi="宋体"/>
                <w:sz w:val="24"/>
              </w:rPr>
              <w:t>不覆盖生产级分布式 DoS、跨节点全局限流与外部 WAF/网关联动</w:t>
            </w:r>
          </w:p>
        </w:tc>
      </w:tr>
      <w:tr w:rsidR="00035316" w14:paraId="2AB890E8" w14:textId="77777777">
        <w:trPr>
          <w:jc w:val="center"/>
        </w:trPr>
        <w:tc>
          <w:tcPr>
            <w:tcW w:w="1536" w:type="dxa"/>
            <w:tcBorders>
              <w:top w:val="nil"/>
              <w:left w:val="nil"/>
              <w:bottom w:val="single" w:sz="12" w:space="0" w:color="auto"/>
              <w:right w:val="nil"/>
            </w:tcBorders>
            <w:tcMar>
              <w:top w:w="-1" w:type="dxa"/>
              <w:left w:w="-1" w:type="dxa"/>
              <w:bottom w:w="-1" w:type="dxa"/>
              <w:right w:w="-1" w:type="dxa"/>
            </w:tcMar>
            <w:vAlign w:val="center"/>
          </w:tcPr>
          <w:p w14:paraId="6523F66C" w14:textId="77777777" w:rsidR="00035316" w:rsidRDefault="00831B25">
            <w:pPr>
              <w:snapToGrid w:val="0"/>
              <w:jc w:val="center"/>
              <w:rPr>
                <w:rFonts w:ascii="宋体"/>
                <w:sz w:val="24"/>
              </w:rPr>
            </w:pPr>
            <w:r>
              <w:rPr>
                <w:rFonts w:ascii="宋体" w:hAnsi="宋体"/>
                <w:sz w:val="24"/>
              </w:rPr>
              <w:t>审计与复现</w:t>
            </w:r>
          </w:p>
        </w:tc>
        <w:tc>
          <w:tcPr>
            <w:tcW w:w="4356" w:type="dxa"/>
            <w:tcBorders>
              <w:top w:val="nil"/>
              <w:left w:val="nil"/>
              <w:bottom w:val="single" w:sz="12" w:space="0" w:color="auto"/>
              <w:right w:val="nil"/>
            </w:tcBorders>
            <w:tcMar>
              <w:top w:w="-1" w:type="dxa"/>
              <w:left w:w="-1" w:type="dxa"/>
              <w:bottom w:w="-1" w:type="dxa"/>
              <w:right w:w="-1" w:type="dxa"/>
            </w:tcMar>
            <w:vAlign w:val="center"/>
          </w:tcPr>
          <w:p w14:paraId="2FB16BCC" w14:textId="77777777" w:rsidR="00035316" w:rsidRDefault="00831B25">
            <w:pPr>
              <w:snapToGrid w:val="0"/>
              <w:jc w:val="center"/>
              <w:rPr>
                <w:rFonts w:ascii="宋体"/>
                <w:sz w:val="24"/>
              </w:rPr>
            </w:pPr>
            <w:r>
              <w:rPr>
                <w:rFonts w:ascii="宋体" w:hAnsi="宋体"/>
                <w:sz w:val="24"/>
              </w:rPr>
              <w:t>nonce、请求载荷（payload）、质量摘要与审计事件落盘，报告与脚本可回溯</w:t>
            </w:r>
          </w:p>
        </w:tc>
        <w:tc>
          <w:tcPr>
            <w:tcW w:w="2928" w:type="dxa"/>
            <w:tcBorders>
              <w:top w:val="nil"/>
              <w:left w:val="nil"/>
              <w:bottom w:val="single" w:sz="12" w:space="0" w:color="auto"/>
              <w:right w:val="nil"/>
            </w:tcBorders>
            <w:tcMar>
              <w:top w:w="-1" w:type="dxa"/>
              <w:left w:w="-1" w:type="dxa"/>
              <w:bottom w:w="-1" w:type="dxa"/>
              <w:right w:w="-1" w:type="dxa"/>
            </w:tcMar>
            <w:vAlign w:val="center"/>
          </w:tcPr>
          <w:p w14:paraId="44812D6D" w14:textId="77777777" w:rsidR="00035316" w:rsidRDefault="00831B25">
            <w:pPr>
              <w:snapToGrid w:val="0"/>
              <w:jc w:val="left"/>
              <w:rPr>
                <w:rFonts w:ascii="宋体"/>
                <w:sz w:val="24"/>
              </w:rPr>
            </w:pPr>
            <w:r>
              <w:rPr>
                <w:rFonts w:ascii="宋体" w:hAnsi="宋体"/>
                <w:sz w:val="24"/>
              </w:rPr>
              <w:t>不覆盖长期合规归档平台、外部 SIEM 集成与跨系统追责链</w:t>
            </w:r>
          </w:p>
        </w:tc>
      </w:tr>
    </w:tbl>
    <w:p w14:paraId="059BD3C0" w14:textId="77777777" w:rsidR="00035316" w:rsidRDefault="00831B25">
      <w:pPr>
        <w:spacing w:line="360" w:lineRule="auto"/>
        <w:rPr>
          <w:rFonts w:ascii="宋体" w:hAnsi="宋体" w:hint="eastAsia"/>
          <w:sz w:val="24"/>
        </w:rPr>
      </w:pPr>
      <w:r>
        <w:rPr>
          <w:rFonts w:ascii="宋体" w:hAnsi="宋体" w:cs="宋体"/>
          <w:sz w:val="24"/>
        </w:rPr>
        <w:t>注："当前覆盖" 项均已通过黑盒验证并留存审计证据；"当前不覆盖或限制" 项为原型系统明确不承诺的防护能力，需在生产部署中补充对应机制。</w:t>
      </w:r>
    </w:p>
    <w:p w14:paraId="46171A75" w14:textId="77777777" w:rsidR="00035316" w:rsidRDefault="00831B25">
      <w:pPr>
        <w:spacing w:line="360" w:lineRule="auto"/>
        <w:ind w:firstLine="480"/>
        <w:rPr>
          <w:rFonts w:ascii="宋体" w:hAnsi="宋体" w:hint="eastAsia"/>
          <w:sz w:val="24"/>
        </w:rPr>
      </w:pPr>
      <w:r>
        <w:rPr>
          <w:rFonts w:ascii="宋体" w:hAnsi="宋体" w:cs="宋体"/>
          <w:sz w:val="24"/>
        </w:rPr>
        <w:t>各维度安全边界的具体覆盖情况与明确未覆盖范围如表 2所示</w:t>
      </w:r>
      <w:r>
        <w:rPr>
          <w:rFonts w:ascii="宋体" w:hAnsi="宋体" w:hint="eastAsia"/>
          <w:sz w:val="24"/>
        </w:rPr>
        <w:t>，</w:t>
      </w:r>
      <w:r>
        <w:rPr>
          <w:rFonts w:ascii="宋体" w:hAnsi="宋体"/>
          <w:sz w:val="24"/>
        </w:rPr>
        <w:t>上述边界说明用于避免将原型级控制面夸大为生产级防御体系。更完整的未覆盖范围、输出侧风险与原型部署边界，统一放在第 5.5 节“当前局限性”中说明。</w:t>
      </w:r>
    </w:p>
    <w:p w14:paraId="7F5ECCB2" w14:textId="77777777" w:rsidR="00035316" w:rsidRDefault="00831B25">
      <w:pPr>
        <w:spacing w:line="360" w:lineRule="auto"/>
        <w:ind w:firstLine="480"/>
        <w:rPr>
          <w:rFonts w:ascii="宋体" w:hAnsi="宋体" w:hint="eastAsia"/>
          <w:sz w:val="24"/>
        </w:rPr>
      </w:pPr>
      <w:r>
        <w:rPr>
          <w:rFonts w:ascii="宋体" w:hAnsi="宋体" w:hint="eastAsia"/>
          <w:sz w:val="24"/>
        </w:rPr>
        <w:t>为便于从步骤层面概括端到端链路，算法1给出本作品从终端预处理、秘密分享、服务端预检到密态推理与结果回传的完整流程。该流程与图2-2所示时序一致，强调了明文仅停留在终端侧、跨域仅传输密态分片与审计摘要的边界约束。</w:t>
      </w:r>
    </w:p>
    <w:p w14:paraId="72DFD2D4" w14:textId="77777777" w:rsidR="00035316" w:rsidRDefault="00831B25">
      <w:pPr>
        <w:spacing w:line="360" w:lineRule="auto"/>
        <w:ind w:firstLine="480"/>
        <w:rPr>
          <w:rFonts w:ascii="宋体" w:hAnsi="宋体" w:hint="eastAsia"/>
          <w:sz w:val="24"/>
        </w:rPr>
      </w:pPr>
      <w:r>
        <w:rPr>
          <w:noProof/>
        </w:rPr>
        <w:drawing>
          <wp:inline distT="0" distB="0" distL="114300" distR="114300" wp14:anchorId="428C9495" wp14:editId="262CF651">
            <wp:extent cx="4474210" cy="2821940"/>
            <wp:effectExtent l="0" t="0" r="8890" b="1016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0"/>
                    <a:stretch>
                      <a:fillRect/>
                    </a:stretch>
                  </pic:blipFill>
                  <pic:spPr>
                    <a:xfrm>
                      <a:off x="0" y="0"/>
                      <a:ext cx="4474210" cy="2821940"/>
                    </a:xfrm>
                    <a:prstGeom prst="rect">
                      <a:avLst/>
                    </a:prstGeom>
                    <a:noFill/>
                    <a:ln>
                      <a:noFill/>
                    </a:ln>
                  </pic:spPr>
                </pic:pic>
              </a:graphicData>
            </a:graphic>
          </wp:inline>
        </w:drawing>
      </w:r>
    </w:p>
    <w:p w14:paraId="0FA80D20" w14:textId="77777777" w:rsidR="00035316" w:rsidRDefault="00831B25">
      <w:pPr>
        <w:spacing w:line="360" w:lineRule="auto"/>
        <w:ind w:firstLine="480"/>
        <w:rPr>
          <w:rFonts w:ascii="宋体" w:hAnsi="宋体" w:cs="宋体" w:hint="eastAsia"/>
          <w:sz w:val="24"/>
        </w:rPr>
      </w:pPr>
      <w:r>
        <w:rPr>
          <w:rFonts w:ascii="宋体" w:hAnsi="宋体"/>
          <w:sz w:val="24"/>
        </w:rPr>
        <w:t>从部署视角看，威胁模型不仅决定密码学协议选择，也决定系统哪些组件能够接触明文、哪些组件只能处理密态分片。许多系统只在算法层声明“保护输入与模型”，但不进一步说明原始文件、预处理张量、结构化元数据和审计记录分别落在何处。本作品在威胁模型中显式规定：原始影像与明文像素止于终端侧，跨边界传输对象被限制为 share、结构化元数据和审计摘要，服务端仅在全部快检通过后触发安全执行。这种“边界先于协议”的约束，是后续控制面设计和部署骨架成立的前提。</w:t>
      </w:r>
    </w:p>
    <w:p w14:paraId="3D0C2CB6" w14:textId="77777777" w:rsidR="00035316" w:rsidRDefault="00831B25">
      <w:pPr>
        <w:spacing w:line="360" w:lineRule="auto"/>
        <w:ind w:firstLine="480"/>
        <w:rPr>
          <w:rFonts w:ascii="宋体" w:hAnsi="宋体" w:hint="eastAsia"/>
          <w:sz w:val="24"/>
        </w:rPr>
      </w:pPr>
      <w:r>
        <w:rPr>
          <w:rFonts w:ascii="宋体" w:hAnsi="宋体"/>
        </w:rPr>
        <w:t>在安全边界之外，系统还需要处理“元数据最小化”问题。实际部署时，完全隐藏所有运行状态并不现实，因为服务端需要依据尺寸、哈希、质量摘要和任务标识完成预检、去重、审计与资源调度；但如果元数据过多，又可能间接泄露输入分布或动态路径。本作品采用最小必要原则，只保留验证任务完整性和运行可追溯所需的结构化字段，并将原始像素、明文张量、模型权重和剪枝决策限制在相应安全边界内。该设计为后续从本机展示样例迁移到医院侧与模型提供方分离部署提供了统一约束。</w:t>
      </w:r>
    </w:p>
    <w:p w14:paraId="171C22C7" w14:textId="77777777" w:rsidR="00035316" w:rsidRDefault="00831B25">
      <w:pPr>
        <w:spacing w:line="360" w:lineRule="auto"/>
        <w:outlineLvl w:val="1"/>
        <w:rPr>
          <w:rFonts w:ascii="黑体" w:eastAsia="黑体" w:hAnsi="黑体" w:hint="eastAsia"/>
          <w:b/>
          <w:sz w:val="24"/>
        </w:rPr>
      </w:pPr>
      <w:bookmarkStart w:id="23" w:name="Transshield_TOC_section_2_4"/>
      <w:bookmarkStart w:id="24" w:name="_Toc230989542"/>
      <w:r>
        <w:rPr>
          <w:rFonts w:ascii="黑体" w:eastAsia="黑体" w:hAnsi="黑体"/>
          <w:b/>
          <w:sz w:val="24"/>
        </w:rPr>
        <w:t>2.4 DynamicViT 密态改写</w:t>
      </w:r>
      <w:bookmarkEnd w:id="23"/>
      <w:bookmarkEnd w:id="24"/>
    </w:p>
    <w:p w14:paraId="2D6EEBE9" w14:textId="77777777" w:rsidR="00035316" w:rsidRDefault="00831B25">
      <w:pPr>
        <w:spacing w:line="360" w:lineRule="auto"/>
        <w:rPr>
          <w:rFonts w:ascii="宋体" w:hAnsi="宋体" w:cs="宋体" w:hint="eastAsia"/>
          <w:sz w:val="24"/>
        </w:rPr>
      </w:pPr>
      <w:r>
        <w:rPr>
          <w:rFonts w:ascii="宋体" w:hAnsi="宋体" w:cs="宋体"/>
          <w:sz w:val="24"/>
        </w:rPr>
        <w:t>原始 DynamicViT 中四类核心操作的安全计算困难点、本作品的改写方案、代价与验证方式如表 3 所示。</w:t>
      </w:r>
    </w:p>
    <w:p w14:paraId="135D054A" w14:textId="77777777" w:rsidR="00035316" w:rsidRDefault="00831B25">
      <w:pPr>
        <w:spacing w:line="360" w:lineRule="auto"/>
        <w:jc w:val="center"/>
        <w:rPr>
          <w:rFonts w:ascii="黑体" w:eastAsia="黑体" w:hAnsi="黑体" w:hint="eastAsia"/>
          <w:b/>
          <w:sz w:val="24"/>
        </w:rPr>
      </w:pPr>
      <w:r>
        <w:rPr>
          <w:rFonts w:ascii="宋体" w:hAnsi="宋体" w:cs="宋体"/>
          <w:sz w:val="24"/>
        </w:rPr>
        <w:t>表 3 DynamicViT 原始操作与密态语义改写对照表</w:t>
      </w:r>
    </w:p>
    <w:tbl>
      <w:tblPr>
        <w:tblW w:w="5376" w:type="pct"/>
        <w:jc w:val="center"/>
        <w:tblLook w:val="04A0" w:firstRow="1" w:lastRow="0" w:firstColumn="1" w:lastColumn="0" w:noHBand="0" w:noVBand="1"/>
      </w:tblPr>
      <w:tblGrid>
        <w:gridCol w:w="1645"/>
        <w:gridCol w:w="1680"/>
        <w:gridCol w:w="3006"/>
        <w:gridCol w:w="1257"/>
        <w:gridCol w:w="1895"/>
      </w:tblGrid>
      <w:tr w:rsidR="00035316" w14:paraId="411A6184" w14:textId="77777777">
        <w:trPr>
          <w:tblHeader/>
          <w:jc w:val="center"/>
        </w:trPr>
        <w:tc>
          <w:tcPr>
            <w:tcW w:w="867" w:type="pct"/>
            <w:tcBorders>
              <w:top w:val="single" w:sz="12" w:space="0" w:color="auto"/>
              <w:left w:val="nil"/>
              <w:bottom w:val="nil"/>
              <w:right w:val="nil"/>
            </w:tcBorders>
            <w:tcMar>
              <w:top w:w="-1" w:type="dxa"/>
              <w:left w:w="-1" w:type="dxa"/>
              <w:bottom w:w="-1" w:type="dxa"/>
              <w:right w:w="-1" w:type="dxa"/>
            </w:tcMar>
            <w:vAlign w:val="center"/>
          </w:tcPr>
          <w:p w14:paraId="72A0B1D6" w14:textId="77777777" w:rsidR="00035316" w:rsidRDefault="00831B25">
            <w:pPr>
              <w:snapToGrid w:val="0"/>
              <w:jc w:val="center"/>
              <w:rPr>
                <w:rFonts w:ascii="宋体"/>
                <w:b/>
                <w:sz w:val="24"/>
              </w:rPr>
            </w:pPr>
            <w:r>
              <w:rPr>
                <w:rFonts w:ascii="宋体" w:hAnsi="宋体"/>
                <w:b/>
                <w:sz w:val="24"/>
              </w:rPr>
              <w:t>原始DynamicViT操作</w:t>
            </w:r>
          </w:p>
        </w:tc>
        <w:tc>
          <w:tcPr>
            <w:tcW w:w="885" w:type="pct"/>
            <w:tcBorders>
              <w:top w:val="single" w:sz="12" w:space="0" w:color="auto"/>
              <w:left w:val="nil"/>
              <w:bottom w:val="nil"/>
              <w:right w:val="nil"/>
            </w:tcBorders>
            <w:tcMar>
              <w:top w:w="-1" w:type="dxa"/>
              <w:left w:w="-1" w:type="dxa"/>
              <w:bottom w:w="-1" w:type="dxa"/>
              <w:right w:w="-1" w:type="dxa"/>
            </w:tcMar>
            <w:vAlign w:val="center"/>
          </w:tcPr>
          <w:p w14:paraId="19D3434C" w14:textId="77777777" w:rsidR="00035316" w:rsidRDefault="00831B25">
            <w:pPr>
              <w:snapToGrid w:val="0"/>
              <w:jc w:val="center"/>
              <w:rPr>
                <w:rFonts w:ascii="宋体"/>
                <w:b/>
                <w:sz w:val="24"/>
              </w:rPr>
            </w:pPr>
            <w:r>
              <w:rPr>
                <w:rFonts w:ascii="宋体" w:hAnsi="宋体"/>
                <w:b/>
                <w:sz w:val="24"/>
              </w:rPr>
              <w:t>安全计算困难</w:t>
            </w:r>
          </w:p>
        </w:tc>
        <w:tc>
          <w:tcPr>
            <w:tcW w:w="1584" w:type="pct"/>
            <w:tcBorders>
              <w:top w:val="single" w:sz="12" w:space="0" w:color="auto"/>
              <w:left w:val="nil"/>
              <w:bottom w:val="nil"/>
              <w:right w:val="nil"/>
            </w:tcBorders>
            <w:tcMar>
              <w:top w:w="-1" w:type="dxa"/>
              <w:left w:w="-1" w:type="dxa"/>
              <w:bottom w:w="-1" w:type="dxa"/>
              <w:right w:w="-1" w:type="dxa"/>
            </w:tcMar>
            <w:vAlign w:val="center"/>
          </w:tcPr>
          <w:p w14:paraId="58C98B75" w14:textId="77777777" w:rsidR="00035316" w:rsidRDefault="00831B25">
            <w:pPr>
              <w:snapToGrid w:val="0"/>
              <w:jc w:val="center"/>
              <w:rPr>
                <w:rFonts w:ascii="宋体"/>
                <w:b/>
                <w:sz w:val="24"/>
              </w:rPr>
            </w:pPr>
            <w:r>
              <w:rPr>
                <w:rFonts w:ascii="宋体" w:hAnsi="宋体"/>
                <w:b/>
                <w:sz w:val="24"/>
              </w:rPr>
              <w:t>本作品改写方式</w:t>
            </w:r>
          </w:p>
        </w:tc>
        <w:tc>
          <w:tcPr>
            <w:tcW w:w="663" w:type="pct"/>
            <w:tcBorders>
              <w:top w:val="single" w:sz="12" w:space="0" w:color="auto"/>
              <w:left w:val="nil"/>
              <w:bottom w:val="nil"/>
              <w:right w:val="nil"/>
            </w:tcBorders>
            <w:tcMar>
              <w:top w:w="-1" w:type="dxa"/>
              <w:left w:w="-1" w:type="dxa"/>
              <w:bottom w:w="-1" w:type="dxa"/>
              <w:right w:w="-1" w:type="dxa"/>
            </w:tcMar>
            <w:vAlign w:val="center"/>
          </w:tcPr>
          <w:p w14:paraId="46F7E0F8" w14:textId="77777777" w:rsidR="00035316" w:rsidRDefault="00831B25">
            <w:pPr>
              <w:snapToGrid w:val="0"/>
              <w:jc w:val="center"/>
              <w:rPr>
                <w:rFonts w:ascii="宋体"/>
                <w:b/>
                <w:sz w:val="24"/>
              </w:rPr>
            </w:pPr>
            <w:r>
              <w:rPr>
                <w:rFonts w:ascii="宋体" w:hAnsi="宋体"/>
                <w:b/>
                <w:sz w:val="24"/>
              </w:rPr>
              <w:t>代价</w:t>
            </w:r>
          </w:p>
        </w:tc>
        <w:tc>
          <w:tcPr>
            <w:tcW w:w="998" w:type="pct"/>
            <w:tcBorders>
              <w:top w:val="single" w:sz="12" w:space="0" w:color="auto"/>
              <w:left w:val="nil"/>
              <w:bottom w:val="nil"/>
              <w:right w:val="nil"/>
            </w:tcBorders>
            <w:tcMar>
              <w:top w:w="-1" w:type="dxa"/>
              <w:left w:w="-1" w:type="dxa"/>
              <w:bottom w:w="-1" w:type="dxa"/>
              <w:right w:w="-1" w:type="dxa"/>
            </w:tcMar>
            <w:vAlign w:val="center"/>
          </w:tcPr>
          <w:p w14:paraId="2E7E5F4A" w14:textId="77777777" w:rsidR="00035316" w:rsidRDefault="00831B25">
            <w:pPr>
              <w:snapToGrid w:val="0"/>
              <w:jc w:val="center"/>
              <w:rPr>
                <w:rFonts w:ascii="宋体"/>
                <w:b/>
                <w:sz w:val="24"/>
              </w:rPr>
            </w:pPr>
            <w:r>
              <w:rPr>
                <w:rFonts w:ascii="宋体" w:hAnsi="宋体"/>
                <w:b/>
                <w:sz w:val="24"/>
              </w:rPr>
              <w:t>验证方式</w:t>
            </w:r>
          </w:p>
        </w:tc>
      </w:tr>
      <w:tr w:rsidR="00035316" w14:paraId="3BD93FC8" w14:textId="77777777">
        <w:trPr>
          <w:jc w:val="center"/>
        </w:trPr>
        <w:tc>
          <w:tcPr>
            <w:tcW w:w="867" w:type="pct"/>
            <w:tcBorders>
              <w:top w:val="single" w:sz="4" w:space="0" w:color="auto"/>
              <w:left w:val="nil"/>
              <w:bottom w:val="nil"/>
              <w:right w:val="nil"/>
            </w:tcBorders>
            <w:tcMar>
              <w:top w:w="-1" w:type="dxa"/>
              <w:left w:w="-1" w:type="dxa"/>
              <w:bottom w:w="-1" w:type="dxa"/>
              <w:right w:w="-1" w:type="dxa"/>
            </w:tcMar>
            <w:vAlign w:val="center"/>
          </w:tcPr>
          <w:p w14:paraId="2C1BD14E" w14:textId="77777777" w:rsidR="00035316" w:rsidRDefault="00831B25">
            <w:pPr>
              <w:snapToGrid w:val="0"/>
              <w:jc w:val="center"/>
              <w:rPr>
                <w:rFonts w:ascii="宋体"/>
                <w:sz w:val="24"/>
              </w:rPr>
            </w:pPr>
            <w:r>
              <w:rPr>
                <w:rFonts w:ascii="宋体" w:hAnsi="宋体"/>
                <w:sz w:val="24"/>
              </w:rPr>
              <w:t>直接删除 token</w:t>
            </w:r>
          </w:p>
        </w:tc>
        <w:tc>
          <w:tcPr>
            <w:tcW w:w="885" w:type="pct"/>
            <w:tcBorders>
              <w:top w:val="single" w:sz="4" w:space="0" w:color="auto"/>
              <w:left w:val="nil"/>
              <w:bottom w:val="nil"/>
              <w:right w:val="nil"/>
            </w:tcBorders>
            <w:tcMar>
              <w:top w:w="-1" w:type="dxa"/>
              <w:left w:w="-1" w:type="dxa"/>
              <w:bottom w:w="-1" w:type="dxa"/>
              <w:right w:w="-1" w:type="dxa"/>
            </w:tcMar>
            <w:vAlign w:val="center"/>
          </w:tcPr>
          <w:p w14:paraId="42397AB2" w14:textId="77777777" w:rsidR="00035316" w:rsidRDefault="00831B25">
            <w:pPr>
              <w:snapToGrid w:val="0"/>
              <w:jc w:val="center"/>
              <w:rPr>
                <w:rFonts w:ascii="宋体"/>
                <w:sz w:val="24"/>
              </w:rPr>
            </w:pPr>
            <w:r>
              <w:rPr>
                <w:rFonts w:ascii="宋体" w:hAnsi="宋体"/>
                <w:sz w:val="24"/>
              </w:rPr>
              <w:t>变长结构难以进入固定图安全执行，且会暴露路径</w:t>
            </w:r>
          </w:p>
        </w:tc>
        <w:tc>
          <w:tcPr>
            <w:tcW w:w="1584" w:type="pct"/>
            <w:tcBorders>
              <w:top w:val="single" w:sz="4" w:space="0" w:color="auto"/>
              <w:left w:val="nil"/>
              <w:bottom w:val="nil"/>
              <w:right w:val="nil"/>
            </w:tcBorders>
            <w:tcMar>
              <w:top w:w="-1" w:type="dxa"/>
              <w:left w:w="-1" w:type="dxa"/>
              <w:bottom w:w="-1" w:type="dxa"/>
              <w:right w:w="-1" w:type="dxa"/>
            </w:tcMar>
            <w:vAlign w:val="center"/>
          </w:tcPr>
          <w:p w14:paraId="3224E4F1" w14:textId="77777777" w:rsidR="00035316" w:rsidRDefault="00831B25">
            <w:pPr>
              <w:snapToGrid w:val="0"/>
              <w:jc w:val="center"/>
              <w:rPr>
                <w:rFonts w:ascii="宋体"/>
                <w:sz w:val="24"/>
              </w:rPr>
            </w:pPr>
            <w:r>
              <w:rPr>
                <w:rFonts w:ascii="宋体" w:hAnsi="宋体"/>
                <w:sz w:val="24"/>
              </w:rPr>
              <w:t>改写为保留/置零的掩码化表达（keep/zero），由安全选择完成保留决策</w:t>
            </w:r>
          </w:p>
        </w:tc>
        <w:tc>
          <w:tcPr>
            <w:tcW w:w="663" w:type="pct"/>
            <w:tcBorders>
              <w:top w:val="single" w:sz="4" w:space="0" w:color="auto"/>
              <w:left w:val="nil"/>
              <w:bottom w:val="nil"/>
              <w:right w:val="nil"/>
            </w:tcBorders>
            <w:tcMar>
              <w:top w:w="-1" w:type="dxa"/>
              <w:left w:w="-1" w:type="dxa"/>
              <w:bottom w:w="-1" w:type="dxa"/>
              <w:right w:w="-1" w:type="dxa"/>
            </w:tcMar>
            <w:vAlign w:val="center"/>
          </w:tcPr>
          <w:p w14:paraId="4C6FC911" w14:textId="77777777" w:rsidR="00035316" w:rsidRDefault="00831B25">
            <w:pPr>
              <w:snapToGrid w:val="0"/>
              <w:jc w:val="center"/>
              <w:rPr>
                <w:rFonts w:ascii="宋体"/>
                <w:sz w:val="24"/>
              </w:rPr>
            </w:pPr>
            <w:r>
              <w:rPr>
                <w:rFonts w:ascii="宋体" w:hAnsi="宋体"/>
                <w:sz w:val="24"/>
              </w:rPr>
              <w:t>保留了部分冗余计算</w:t>
            </w:r>
          </w:p>
        </w:tc>
        <w:tc>
          <w:tcPr>
            <w:tcW w:w="998" w:type="pct"/>
            <w:tcBorders>
              <w:top w:val="single" w:sz="4" w:space="0" w:color="auto"/>
              <w:left w:val="nil"/>
              <w:bottom w:val="nil"/>
              <w:right w:val="nil"/>
            </w:tcBorders>
            <w:tcMar>
              <w:top w:w="-1" w:type="dxa"/>
              <w:left w:w="-1" w:type="dxa"/>
              <w:bottom w:w="-1" w:type="dxa"/>
              <w:right w:w="-1" w:type="dxa"/>
            </w:tcMar>
            <w:vAlign w:val="center"/>
          </w:tcPr>
          <w:p w14:paraId="77817102" w14:textId="77777777" w:rsidR="00035316" w:rsidRDefault="00831B25">
            <w:pPr>
              <w:snapToGrid w:val="0"/>
              <w:jc w:val="center"/>
              <w:rPr>
                <w:rFonts w:ascii="宋体"/>
                <w:sz w:val="24"/>
              </w:rPr>
            </w:pPr>
            <w:r>
              <w:rPr>
                <w:rFonts w:ascii="宋体" w:hAnsi="宋体"/>
                <w:sz w:val="24"/>
              </w:rPr>
              <w:t>本地明文参考路径与 secure replay 一致性对齐</w:t>
            </w:r>
          </w:p>
        </w:tc>
      </w:tr>
      <w:tr w:rsidR="00035316" w14:paraId="4346C078" w14:textId="77777777">
        <w:trPr>
          <w:jc w:val="center"/>
        </w:trPr>
        <w:tc>
          <w:tcPr>
            <w:tcW w:w="867" w:type="pct"/>
            <w:tcBorders>
              <w:top w:val="nil"/>
              <w:left w:val="nil"/>
              <w:bottom w:val="nil"/>
              <w:right w:val="nil"/>
            </w:tcBorders>
            <w:tcMar>
              <w:top w:w="-1" w:type="dxa"/>
              <w:left w:w="-1" w:type="dxa"/>
              <w:bottom w:w="-1" w:type="dxa"/>
              <w:right w:w="-1" w:type="dxa"/>
            </w:tcMar>
            <w:vAlign w:val="center"/>
          </w:tcPr>
          <w:p w14:paraId="18709E6C" w14:textId="77777777" w:rsidR="00035316" w:rsidRDefault="00831B25">
            <w:pPr>
              <w:snapToGrid w:val="0"/>
              <w:jc w:val="center"/>
              <w:rPr>
                <w:rFonts w:ascii="宋体"/>
                <w:sz w:val="24"/>
              </w:rPr>
            </w:pPr>
            <w:r>
              <w:rPr>
                <w:rFonts w:ascii="宋体" w:hAnsi="宋体"/>
                <w:sz w:val="24"/>
              </w:rPr>
              <w:t>明文阈值比较</w:t>
            </w:r>
          </w:p>
        </w:tc>
        <w:tc>
          <w:tcPr>
            <w:tcW w:w="885" w:type="pct"/>
            <w:tcBorders>
              <w:top w:val="nil"/>
              <w:left w:val="nil"/>
              <w:bottom w:val="nil"/>
              <w:right w:val="nil"/>
            </w:tcBorders>
            <w:tcMar>
              <w:top w:w="-1" w:type="dxa"/>
              <w:left w:w="-1" w:type="dxa"/>
              <w:bottom w:w="-1" w:type="dxa"/>
              <w:right w:w="-1" w:type="dxa"/>
            </w:tcMar>
            <w:vAlign w:val="center"/>
          </w:tcPr>
          <w:p w14:paraId="337A42A4" w14:textId="77777777" w:rsidR="00035316" w:rsidRDefault="00831B25">
            <w:pPr>
              <w:snapToGrid w:val="0"/>
              <w:jc w:val="center"/>
              <w:rPr>
                <w:rFonts w:ascii="宋体"/>
                <w:sz w:val="24"/>
              </w:rPr>
            </w:pPr>
            <w:r>
              <w:rPr>
                <w:rFonts w:ascii="宋体" w:hAnsi="宋体"/>
                <w:sz w:val="24"/>
              </w:rPr>
              <w:t>数据相关分支会泄露剪枝边界</w:t>
            </w:r>
          </w:p>
        </w:tc>
        <w:tc>
          <w:tcPr>
            <w:tcW w:w="1584" w:type="pct"/>
            <w:tcBorders>
              <w:top w:val="nil"/>
              <w:left w:val="nil"/>
              <w:bottom w:val="nil"/>
              <w:right w:val="nil"/>
            </w:tcBorders>
            <w:tcMar>
              <w:top w:w="-1" w:type="dxa"/>
              <w:left w:w="-1" w:type="dxa"/>
              <w:bottom w:w="-1" w:type="dxa"/>
              <w:right w:w="-1" w:type="dxa"/>
            </w:tcMar>
            <w:vAlign w:val="center"/>
          </w:tcPr>
          <w:p w14:paraId="745B6A43" w14:textId="77777777" w:rsidR="00035316" w:rsidRDefault="00831B25">
            <w:pPr>
              <w:snapToGrid w:val="0"/>
              <w:jc w:val="center"/>
              <w:rPr>
                <w:rFonts w:ascii="宋体"/>
                <w:sz w:val="24"/>
              </w:rPr>
            </w:pPr>
            <w:r>
              <w:rPr>
                <w:rFonts w:ascii="宋体" w:hAnsi="宋体"/>
                <w:sz w:val="24"/>
              </w:rPr>
              <w:t>将比较逻辑改写为安全比较语义</w:t>
            </w:r>
          </w:p>
        </w:tc>
        <w:tc>
          <w:tcPr>
            <w:tcW w:w="663" w:type="pct"/>
            <w:tcBorders>
              <w:top w:val="nil"/>
              <w:left w:val="nil"/>
              <w:bottom w:val="nil"/>
              <w:right w:val="nil"/>
            </w:tcBorders>
            <w:tcMar>
              <w:top w:w="-1" w:type="dxa"/>
              <w:left w:w="-1" w:type="dxa"/>
              <w:bottom w:w="-1" w:type="dxa"/>
              <w:right w:w="-1" w:type="dxa"/>
            </w:tcMar>
            <w:vAlign w:val="center"/>
          </w:tcPr>
          <w:p w14:paraId="720880A0" w14:textId="77777777" w:rsidR="00035316" w:rsidRDefault="00831B25">
            <w:pPr>
              <w:snapToGrid w:val="0"/>
              <w:jc w:val="center"/>
              <w:rPr>
                <w:rFonts w:ascii="宋体"/>
                <w:sz w:val="24"/>
              </w:rPr>
            </w:pPr>
            <w:r>
              <w:rPr>
                <w:rFonts w:ascii="宋体" w:hAnsi="宋体"/>
                <w:sz w:val="24"/>
              </w:rPr>
              <w:t>增加比较通信与控制流复杂度</w:t>
            </w:r>
          </w:p>
        </w:tc>
        <w:tc>
          <w:tcPr>
            <w:tcW w:w="998" w:type="pct"/>
            <w:tcBorders>
              <w:top w:val="nil"/>
              <w:left w:val="nil"/>
              <w:bottom w:val="nil"/>
              <w:right w:val="nil"/>
            </w:tcBorders>
            <w:tcMar>
              <w:top w:w="-1" w:type="dxa"/>
              <w:left w:w="-1" w:type="dxa"/>
              <w:bottom w:w="-1" w:type="dxa"/>
              <w:right w:w="-1" w:type="dxa"/>
            </w:tcMar>
            <w:vAlign w:val="center"/>
          </w:tcPr>
          <w:p w14:paraId="4B3B76BB" w14:textId="77777777" w:rsidR="00035316" w:rsidRDefault="00831B25">
            <w:pPr>
              <w:snapToGrid w:val="0"/>
              <w:jc w:val="center"/>
              <w:rPr>
                <w:rFonts w:ascii="宋体"/>
                <w:sz w:val="24"/>
              </w:rPr>
            </w:pPr>
            <w:r>
              <w:rPr>
                <w:rFonts w:ascii="宋体" w:hAnsi="宋体"/>
                <w:sz w:val="24"/>
              </w:rPr>
              <w:t>部署阈值回代与输出一致性验证</w:t>
            </w:r>
          </w:p>
        </w:tc>
      </w:tr>
      <w:tr w:rsidR="00035316" w14:paraId="66B57624" w14:textId="77777777">
        <w:trPr>
          <w:jc w:val="center"/>
        </w:trPr>
        <w:tc>
          <w:tcPr>
            <w:tcW w:w="867" w:type="pct"/>
            <w:tcBorders>
              <w:top w:val="nil"/>
              <w:left w:val="nil"/>
              <w:bottom w:val="nil"/>
              <w:right w:val="nil"/>
            </w:tcBorders>
            <w:tcMar>
              <w:top w:w="-1" w:type="dxa"/>
              <w:left w:w="-1" w:type="dxa"/>
              <w:bottom w:w="-1" w:type="dxa"/>
              <w:right w:w="-1" w:type="dxa"/>
            </w:tcMar>
            <w:vAlign w:val="center"/>
          </w:tcPr>
          <w:p w14:paraId="0C52A1F3" w14:textId="77777777" w:rsidR="00035316" w:rsidRDefault="00831B25">
            <w:pPr>
              <w:snapToGrid w:val="0"/>
              <w:jc w:val="center"/>
              <w:rPr>
                <w:rFonts w:ascii="宋体"/>
                <w:sz w:val="24"/>
              </w:rPr>
            </w:pPr>
            <w:r>
              <w:rPr>
                <w:rFonts w:ascii="宋体" w:hAnsi="宋体"/>
                <w:sz w:val="24"/>
              </w:rPr>
              <w:t>数据相关 Top-</w:t>
            </w:r>
            <m:oMath>
              <m:r>
                <w:rPr>
                  <w:rFonts w:ascii="Cambria Math" w:hAnsi="Cambria Math"/>
                  <w:sz w:val="24"/>
                </w:rPr>
                <m:t>K</m:t>
              </m:r>
            </m:oMath>
            <w:r>
              <w:rPr>
                <w:rFonts w:ascii="宋体" w:hAnsi="宋体"/>
                <w:sz w:val="24"/>
              </w:rPr>
              <w:t>选择</w:t>
            </w:r>
          </w:p>
        </w:tc>
        <w:tc>
          <w:tcPr>
            <w:tcW w:w="885" w:type="pct"/>
            <w:tcBorders>
              <w:top w:val="nil"/>
              <w:left w:val="nil"/>
              <w:bottom w:val="nil"/>
              <w:right w:val="nil"/>
            </w:tcBorders>
            <w:tcMar>
              <w:top w:w="-1" w:type="dxa"/>
              <w:left w:w="-1" w:type="dxa"/>
              <w:bottom w:w="-1" w:type="dxa"/>
              <w:right w:w="-1" w:type="dxa"/>
            </w:tcMar>
            <w:vAlign w:val="center"/>
          </w:tcPr>
          <w:p w14:paraId="591B9F66" w14:textId="77777777" w:rsidR="00035316" w:rsidRDefault="00831B25">
            <w:pPr>
              <w:snapToGrid w:val="0"/>
              <w:jc w:val="center"/>
              <w:rPr>
                <w:rFonts w:ascii="宋体"/>
                <w:sz w:val="24"/>
              </w:rPr>
            </w:pPr>
            <w:r>
              <w:rPr>
                <w:rFonts w:ascii="宋体" w:hAnsi="宋体"/>
                <w:sz w:val="24"/>
              </w:rPr>
              <w:t>动态索引与并列分数处理不稳定</w:t>
            </w:r>
          </w:p>
        </w:tc>
        <w:tc>
          <w:tcPr>
            <w:tcW w:w="1584" w:type="pct"/>
            <w:tcBorders>
              <w:top w:val="nil"/>
              <w:left w:val="nil"/>
              <w:bottom w:val="nil"/>
              <w:right w:val="nil"/>
            </w:tcBorders>
            <w:tcMar>
              <w:top w:w="-1" w:type="dxa"/>
              <w:left w:w="-1" w:type="dxa"/>
              <w:bottom w:w="-1" w:type="dxa"/>
              <w:right w:w="-1" w:type="dxa"/>
            </w:tcMar>
            <w:vAlign w:val="center"/>
          </w:tcPr>
          <w:p w14:paraId="13BEE7C5" w14:textId="77777777" w:rsidR="00035316" w:rsidRDefault="00831B25">
            <w:pPr>
              <w:snapToGrid w:val="0"/>
              <w:jc w:val="center"/>
              <w:rPr>
                <w:rFonts w:ascii="宋体"/>
                <w:sz w:val="24"/>
              </w:rPr>
            </w:pPr>
            <w:r>
              <w:rPr>
                <w:rFonts w:ascii="宋体" w:hAnsi="宋体"/>
                <w:sz w:val="24"/>
              </w:rPr>
              <w:t>采用编码索引跟踪与排序网络构造保留掩码（keep-mask）</w:t>
            </w:r>
          </w:p>
        </w:tc>
        <w:tc>
          <w:tcPr>
            <w:tcW w:w="663" w:type="pct"/>
            <w:tcBorders>
              <w:top w:val="nil"/>
              <w:left w:val="nil"/>
              <w:bottom w:val="nil"/>
              <w:right w:val="nil"/>
            </w:tcBorders>
            <w:tcMar>
              <w:top w:w="-1" w:type="dxa"/>
              <w:left w:w="-1" w:type="dxa"/>
              <w:bottom w:w="-1" w:type="dxa"/>
              <w:right w:w="-1" w:type="dxa"/>
            </w:tcMar>
            <w:vAlign w:val="center"/>
          </w:tcPr>
          <w:p w14:paraId="1DCE30A2" w14:textId="77777777" w:rsidR="00035316" w:rsidRDefault="00831B25">
            <w:pPr>
              <w:snapToGrid w:val="0"/>
              <w:jc w:val="center"/>
              <w:rPr>
                <w:rFonts w:ascii="宋体"/>
                <w:sz w:val="24"/>
              </w:rPr>
            </w:pPr>
            <w:r>
              <w:rPr>
                <w:rFonts w:ascii="宋体" w:hAnsi="宋体"/>
                <w:sz w:val="24"/>
              </w:rPr>
              <w:t>排序代价上升</w:t>
            </w:r>
          </w:p>
        </w:tc>
        <w:tc>
          <w:tcPr>
            <w:tcW w:w="998" w:type="pct"/>
            <w:tcBorders>
              <w:top w:val="nil"/>
              <w:left w:val="nil"/>
              <w:bottom w:val="nil"/>
              <w:right w:val="nil"/>
            </w:tcBorders>
            <w:tcMar>
              <w:top w:w="-1" w:type="dxa"/>
              <w:left w:w="-1" w:type="dxa"/>
              <w:bottom w:w="-1" w:type="dxa"/>
              <w:right w:w="-1" w:type="dxa"/>
            </w:tcMar>
            <w:vAlign w:val="center"/>
          </w:tcPr>
          <w:p w14:paraId="0A2C75F2" w14:textId="77777777" w:rsidR="00035316" w:rsidRDefault="00831B25">
            <w:pPr>
              <w:snapToGrid w:val="0"/>
              <w:jc w:val="center"/>
              <w:rPr>
                <w:rFonts w:ascii="宋体"/>
                <w:sz w:val="24"/>
              </w:rPr>
            </w:pPr>
            <w:r>
              <w:rPr>
                <w:rFonts w:ascii="宋体" w:hAnsi="宋体"/>
                <w:sz w:val="24"/>
              </w:rPr>
              <w:t>排序结果与后续决策链功能验证</w:t>
            </w:r>
          </w:p>
        </w:tc>
      </w:tr>
      <w:tr w:rsidR="00035316" w14:paraId="74E28560" w14:textId="77777777">
        <w:trPr>
          <w:jc w:val="center"/>
        </w:trPr>
        <w:tc>
          <w:tcPr>
            <w:tcW w:w="867" w:type="pct"/>
            <w:tcBorders>
              <w:top w:val="nil"/>
              <w:left w:val="nil"/>
              <w:bottom w:val="single" w:sz="12" w:space="0" w:color="auto"/>
              <w:right w:val="nil"/>
            </w:tcBorders>
            <w:tcMar>
              <w:top w:w="-1" w:type="dxa"/>
              <w:left w:w="-1" w:type="dxa"/>
              <w:bottom w:w="-1" w:type="dxa"/>
              <w:right w:w="-1" w:type="dxa"/>
            </w:tcMar>
            <w:vAlign w:val="center"/>
          </w:tcPr>
          <w:p w14:paraId="5A8229E1" w14:textId="77777777" w:rsidR="00035316" w:rsidRDefault="00831B25">
            <w:pPr>
              <w:snapToGrid w:val="0"/>
              <w:jc w:val="center"/>
              <w:rPr>
                <w:rFonts w:ascii="宋体"/>
                <w:sz w:val="24"/>
              </w:rPr>
            </w:pPr>
            <w:r>
              <w:rPr>
                <w:rFonts w:ascii="宋体" w:hAnsi="宋体"/>
                <w:sz w:val="24"/>
              </w:rPr>
              <w:t>外部明文决定 keep-mask</w:t>
            </w:r>
          </w:p>
        </w:tc>
        <w:tc>
          <w:tcPr>
            <w:tcW w:w="885" w:type="pct"/>
            <w:tcBorders>
              <w:top w:val="nil"/>
              <w:left w:val="nil"/>
              <w:bottom w:val="single" w:sz="12" w:space="0" w:color="auto"/>
              <w:right w:val="nil"/>
            </w:tcBorders>
            <w:tcMar>
              <w:top w:w="-1" w:type="dxa"/>
              <w:left w:w="-1" w:type="dxa"/>
              <w:bottom w:w="-1" w:type="dxa"/>
              <w:right w:w="-1" w:type="dxa"/>
            </w:tcMar>
            <w:vAlign w:val="center"/>
          </w:tcPr>
          <w:p w14:paraId="4E8D7EAB" w14:textId="77777777" w:rsidR="00035316" w:rsidRDefault="00831B25">
            <w:pPr>
              <w:snapToGrid w:val="0"/>
              <w:jc w:val="center"/>
              <w:rPr>
                <w:rFonts w:ascii="宋体"/>
                <w:sz w:val="24"/>
              </w:rPr>
            </w:pPr>
            <w:r>
              <w:rPr>
                <w:rFonts w:ascii="宋体" w:hAnsi="宋体"/>
                <w:sz w:val="24"/>
              </w:rPr>
              <w:t>会退化为半隐私运行</w:t>
            </w:r>
          </w:p>
        </w:tc>
        <w:tc>
          <w:tcPr>
            <w:tcW w:w="1584" w:type="pct"/>
            <w:tcBorders>
              <w:top w:val="nil"/>
              <w:left w:val="nil"/>
              <w:bottom w:val="single" w:sz="12" w:space="0" w:color="auto"/>
              <w:right w:val="nil"/>
            </w:tcBorders>
            <w:tcMar>
              <w:top w:w="-1" w:type="dxa"/>
              <w:left w:w="-1" w:type="dxa"/>
              <w:bottom w:w="-1" w:type="dxa"/>
              <w:right w:w="-1" w:type="dxa"/>
            </w:tcMar>
            <w:vAlign w:val="center"/>
          </w:tcPr>
          <w:p w14:paraId="25414F79" w14:textId="77777777" w:rsidR="00035316" w:rsidRDefault="00831B25">
            <w:pPr>
              <w:snapToGrid w:val="0"/>
              <w:jc w:val="center"/>
              <w:rPr>
                <w:rFonts w:ascii="宋体"/>
                <w:sz w:val="24"/>
              </w:rPr>
            </w:pPr>
            <w:r>
              <w:rPr>
                <w:rFonts w:ascii="宋体" w:hAnsi="宋体"/>
                <w:sz w:val="24"/>
              </w:rPr>
              <w:t>将 PredictorLG、阈值判断和并列分数决断（tie）保留在安全执行域内</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55929745" w14:textId="77777777" w:rsidR="00035316" w:rsidRDefault="00831B25">
            <w:pPr>
              <w:snapToGrid w:val="0"/>
              <w:jc w:val="center"/>
              <w:rPr>
                <w:rFonts w:ascii="宋体"/>
                <w:sz w:val="24"/>
              </w:rPr>
            </w:pPr>
            <w:r>
              <w:rPr>
                <w:rFonts w:ascii="宋体" w:hAnsi="宋体"/>
                <w:sz w:val="24"/>
              </w:rPr>
              <w:t>图规模扩大、执行时间增长</w:t>
            </w:r>
          </w:p>
        </w:tc>
        <w:tc>
          <w:tcPr>
            <w:tcW w:w="998" w:type="pct"/>
            <w:tcBorders>
              <w:top w:val="nil"/>
              <w:left w:val="nil"/>
              <w:bottom w:val="single" w:sz="12" w:space="0" w:color="auto"/>
              <w:right w:val="nil"/>
            </w:tcBorders>
            <w:tcMar>
              <w:top w:w="-1" w:type="dxa"/>
              <w:left w:w="-1" w:type="dxa"/>
              <w:bottom w:w="-1" w:type="dxa"/>
              <w:right w:w="-1" w:type="dxa"/>
            </w:tcMar>
            <w:vAlign w:val="center"/>
          </w:tcPr>
          <w:p w14:paraId="73C20263" w14:textId="77777777" w:rsidR="00035316" w:rsidRDefault="00831B25">
            <w:pPr>
              <w:snapToGrid w:val="0"/>
              <w:jc w:val="center"/>
              <w:rPr>
                <w:rFonts w:ascii="宋体"/>
                <w:sz w:val="24"/>
              </w:rPr>
            </w:pPr>
            <w:r>
              <w:rPr>
                <w:rFonts w:ascii="宋体" w:hAnsi="宋体"/>
                <w:sz w:val="24"/>
              </w:rPr>
              <w:t>双向隐私运行链与前端控制面联调</w:t>
            </w:r>
          </w:p>
        </w:tc>
      </w:tr>
    </w:tbl>
    <w:p w14:paraId="3123A5FE" w14:textId="77777777" w:rsidR="00035316" w:rsidRDefault="00831B25">
      <w:pPr>
        <w:spacing w:line="360" w:lineRule="auto"/>
        <w:rPr>
          <w:rFonts w:ascii="宋体" w:hAnsi="宋体" w:hint="eastAsia"/>
          <w:sz w:val="24"/>
        </w:rPr>
      </w:pPr>
      <w:r>
        <w:rPr>
          <w:rFonts w:ascii="宋体" w:hAnsi="宋体" w:cs="宋体"/>
          <w:sz w:val="24"/>
        </w:rPr>
        <w:t>注：所有改写操作均在 SecretFlow SPU 0.9.3.dev20241118 框架下实现，验证方式包含本地明文参考对齐与密态执行一致性校验。</w:t>
      </w:r>
    </w:p>
    <w:p w14:paraId="3FA3CD53" w14:textId="77777777" w:rsidR="00035316" w:rsidRDefault="00831B25">
      <w:pPr>
        <w:spacing w:line="360" w:lineRule="auto"/>
        <w:ind w:firstLine="480"/>
      </w:pPr>
      <w:r>
        <w:rPr>
          <w:rFonts w:ascii="宋体" w:hAnsi="宋体"/>
          <w:sz w:val="24"/>
        </w:rPr>
        <w:t>为便于从工程层面理解本节中的协议友好重写，图 2-3 将原始 DynamicViT 的删除式剪枝路径与本作品的掩码化密态语义重写并列展示。其核心差异在于：正式交付链路不再直接删除词元，而是以 keep-mask 表达保留边界，从而在固定图安全执行约束下保留动态剪枝能力。</w:t>
      </w:r>
    </w:p>
    <w:p w14:paraId="0A08D102" w14:textId="77777777" w:rsidR="00407270" w:rsidRDefault="009543CE">
      <w:pPr>
        <w:spacing w:line="360" w:lineRule="auto"/>
        <w:ind w:firstLine="480"/>
        <w:rPr>
          <w:rFonts w:ascii="宋体" w:hAnsi="宋体" w:hint="eastAsia"/>
          <w:sz w:val="24"/>
        </w:rPr>
      </w:pPr>
      <w:r>
        <w:rPr>
          <w:rFonts w:ascii="宋体" w:hAnsi="宋体"/>
        </w:rPr>
        <w:t>从技术实现角度看，本作品并不是简单把原始剪枝算子“搬进”安全执行域，而是将原有的打分、比较、排序、删除与回排逻辑拆解为更适合固定图执行的两层语义：其一，由 PredictorLG 在两方安全执行环境内部产生词元重要性得分；其二，由编码键、排序网络与 keep-mask 更新逻辑在同形状张量上恢复保留边界。这样一来，剪枝状态不再表现为外部可见的变长 token 列表，而被改写为固定维度张量上的掩码更新过程，从而同时满足安全图可编译、路径不外泄和并列分数可稳定裁决三项要求。</w:t>
      </w:r>
    </w:p>
    <w:p w14:paraId="0F46E3C4" w14:textId="77777777" w:rsidR="00B52F25" w:rsidRDefault="00FF347E">
      <w:pPr>
        <w:spacing w:line="360" w:lineRule="auto"/>
        <w:ind w:firstLine="480"/>
        <w:rPr>
          <w:rFonts w:ascii="宋体" w:hAnsi="宋体" w:hint="eastAsia"/>
          <w:sz w:val="24"/>
        </w:rPr>
      </w:pPr>
      <w:r>
        <w:rPr>
          <w:rFonts w:ascii="宋体" w:hAnsi="宋体"/>
        </w:rPr>
        <w:t>这一重写之所以能够稳定落地，还依赖训练导出与部署固化之间的一致性。当前训练主线在 `main.py` 中把剪枝位置固定在第 3、6、9 个 stage，并按 r、r^2、r^3 的方式递减 token 保留率；部署侧再把 PredictorLG、静态前向参数和必要校准项打包进冻结 bundle，由 `integrations/transshield_runtime/e2e_secure_vit` 中的执行器统一读取。因而，报告中的“动态安全剪枝链路”并不是部署期临时拼接出的近似逻辑，而是训练语义、bundle 语义和安全运行语义能够逐层对应的结果。</w:t>
      </w:r>
    </w:p>
    <w:p w14:paraId="2D9C85DC" w14:textId="77777777" w:rsidR="000A6A38" w:rsidRDefault="00355533">
      <w:pPr>
        <w:spacing w:line="360" w:lineRule="auto"/>
        <w:ind w:firstLine="480"/>
        <w:rPr>
          <w:rFonts w:ascii="宋体" w:hAnsi="宋体" w:hint="eastAsia"/>
          <w:sz w:val="24"/>
        </w:rPr>
      </w:pPr>
      <w:r>
        <w:rPr>
          <w:rFonts w:ascii="宋体" w:hAnsi="宋体"/>
        </w:rPr>
        <w:t>更细致地看，训练侧与部署侧的一致性并不是口头上的</w:t>
      </w:r>
      <w:r>
        <w:rPr>
          <w:rFonts w:ascii="宋体" w:hAnsi="宋体"/>
        </w:rPr>
        <w:t>“</w:t>
      </w:r>
      <w:r>
        <w:rPr>
          <w:rFonts w:ascii="宋体" w:hAnsi="宋体"/>
        </w:rPr>
        <w:t>同一模型</w:t>
      </w:r>
      <w:r>
        <w:rPr>
          <w:rFonts w:ascii="宋体" w:hAnsi="宋体"/>
        </w:rPr>
        <w:t>”</w:t>
      </w:r>
      <w:r>
        <w:rPr>
          <w:rFonts w:ascii="宋体" w:hAnsi="宋体"/>
        </w:rPr>
        <w:t>，而是体现在多个实现细节同步成立。训练主线中，剪枝位置固定为第</w:t>
      </w:r>
      <w:r>
        <w:rPr>
          <w:rFonts w:ascii="宋体" w:hAnsi="宋体"/>
        </w:rPr>
        <w:t xml:space="preserve"> 3</w:t>
      </w:r>
      <w:r>
        <w:rPr>
          <w:rFonts w:ascii="宋体" w:hAnsi="宋体"/>
        </w:rPr>
        <w:t>、</w:t>
      </w:r>
      <w:r>
        <w:rPr>
          <w:rFonts w:ascii="宋体" w:hAnsi="宋体"/>
        </w:rPr>
        <w:t>6</w:t>
      </w:r>
      <w:r>
        <w:rPr>
          <w:rFonts w:ascii="宋体" w:hAnsi="宋体"/>
        </w:rPr>
        <w:t>、</w:t>
      </w:r>
      <w:r>
        <w:rPr>
          <w:rFonts w:ascii="宋体" w:hAnsi="宋体"/>
        </w:rPr>
        <w:t xml:space="preserve">9 </w:t>
      </w:r>
      <w:r>
        <w:rPr>
          <w:rFonts w:ascii="宋体" w:hAnsi="宋体"/>
        </w:rPr>
        <w:t>个</w:t>
      </w:r>
      <w:r>
        <w:rPr>
          <w:rFonts w:ascii="宋体" w:hAnsi="宋体"/>
        </w:rPr>
        <w:t xml:space="preserve"> stage</w:t>
      </w:r>
      <w:r>
        <w:rPr>
          <w:rFonts w:ascii="宋体" w:hAnsi="宋体"/>
        </w:rPr>
        <w:t>，</w:t>
      </w:r>
      <w:r>
        <w:rPr>
          <w:rFonts w:ascii="宋体" w:hAnsi="宋体"/>
        </w:rPr>
        <w:t xml:space="preserve">token </w:t>
      </w:r>
      <w:r>
        <w:rPr>
          <w:rFonts w:ascii="宋体" w:hAnsi="宋体"/>
        </w:rPr>
        <w:t>保留率按</w:t>
      </w:r>
      <w:r>
        <w:rPr>
          <w:rFonts w:ascii="宋体" w:hAnsi="宋体"/>
        </w:rPr>
        <w:t xml:space="preserve"> r</w:t>
      </w:r>
      <w:r>
        <w:rPr>
          <w:rFonts w:ascii="宋体" w:hAnsi="宋体"/>
        </w:rPr>
        <w:t>、</w:t>
      </w:r>
      <w:r>
        <w:rPr>
          <w:rFonts w:ascii="宋体" w:hAnsi="宋体"/>
        </w:rPr>
        <w:t>r^2</w:t>
      </w:r>
      <w:r>
        <w:rPr>
          <w:rFonts w:ascii="宋体" w:hAnsi="宋体"/>
        </w:rPr>
        <w:t>、</w:t>
      </w:r>
      <w:r>
        <w:rPr>
          <w:rFonts w:ascii="宋体" w:hAnsi="宋体"/>
        </w:rPr>
        <w:t xml:space="preserve">r^3 </w:t>
      </w:r>
      <w:r>
        <w:rPr>
          <w:rFonts w:ascii="宋体" w:hAnsi="宋体"/>
        </w:rPr>
        <w:t>递减；模型内部的</w:t>
      </w:r>
      <w:r>
        <w:rPr>
          <w:rFonts w:ascii="宋体" w:hAnsi="宋体"/>
        </w:rPr>
        <w:t xml:space="preserve"> PredictorLG </w:t>
      </w:r>
      <w:r>
        <w:rPr>
          <w:rFonts w:ascii="宋体" w:hAnsi="宋体"/>
        </w:rPr>
        <w:t>由</w:t>
      </w:r>
      <w:r>
        <w:rPr>
          <w:rFonts w:ascii="宋体" w:hAnsi="宋体"/>
        </w:rPr>
        <w:t xml:space="preserve"> LayerNorm</w:t>
      </w:r>
      <w:r>
        <w:rPr>
          <w:rFonts w:ascii="宋体" w:hAnsi="宋体"/>
        </w:rPr>
        <w:t>、线性层和平方族激活组成，先在通道维度上融合局部</w:t>
      </w:r>
      <w:r>
        <w:rPr>
          <w:rFonts w:ascii="宋体" w:hAnsi="宋体"/>
        </w:rPr>
        <w:t xml:space="preserve"> token </w:t>
      </w:r>
      <w:r>
        <w:rPr>
          <w:rFonts w:ascii="宋体" w:hAnsi="宋体"/>
        </w:rPr>
        <w:t>特征与按</w:t>
      </w:r>
      <w:r>
        <w:rPr>
          <w:rFonts w:ascii="宋体" w:hAnsi="宋体"/>
        </w:rPr>
        <w:t xml:space="preserve"> policy </w:t>
      </w:r>
      <w:r>
        <w:rPr>
          <w:rFonts w:ascii="宋体" w:hAnsi="宋体"/>
        </w:rPr>
        <w:t>聚合得到的全局上下文，再输出两维</w:t>
      </w:r>
      <w:r>
        <w:rPr>
          <w:rFonts w:ascii="宋体" w:hAnsi="宋体"/>
        </w:rPr>
        <w:t xml:space="preserve"> log-score</w:t>
      </w:r>
      <w:r>
        <w:rPr>
          <w:rFonts w:ascii="宋体" w:hAnsi="宋体"/>
        </w:rPr>
        <w:t>，用于表达</w:t>
      </w:r>
      <w:r>
        <w:rPr>
          <w:rFonts w:ascii="宋体" w:hAnsi="宋体"/>
        </w:rPr>
        <w:t>“</w:t>
      </w:r>
      <w:r>
        <w:rPr>
          <w:rFonts w:ascii="宋体" w:hAnsi="宋体"/>
        </w:rPr>
        <w:t>保留</w:t>
      </w:r>
      <w:r>
        <w:rPr>
          <w:rFonts w:ascii="宋体" w:hAnsi="宋体"/>
        </w:rPr>
        <w:t xml:space="preserve"> / </w:t>
      </w:r>
      <w:r>
        <w:rPr>
          <w:rFonts w:ascii="宋体" w:hAnsi="宋体"/>
        </w:rPr>
        <w:t>不保留</w:t>
      </w:r>
      <w:r>
        <w:rPr>
          <w:rFonts w:ascii="宋体" w:hAnsi="宋体"/>
        </w:rPr>
        <w:t>”</w:t>
      </w:r>
      <w:r>
        <w:rPr>
          <w:rFonts w:ascii="宋体" w:hAnsi="宋体"/>
        </w:rPr>
        <w:t>决策。部署侧读取冻结</w:t>
      </w:r>
      <w:r>
        <w:rPr>
          <w:rFonts w:ascii="宋体" w:hAnsi="宋体"/>
        </w:rPr>
        <w:t xml:space="preserve"> bundle </w:t>
      </w:r>
      <w:r>
        <w:rPr>
          <w:rFonts w:ascii="宋体" w:hAnsi="宋体"/>
        </w:rPr>
        <w:t>后，不再重新发明另一套启发式评分逻辑，而是直接提取同一组</w:t>
      </w:r>
      <w:r>
        <w:rPr>
          <w:rFonts w:ascii="宋体" w:hAnsi="宋体"/>
        </w:rPr>
        <w:t xml:space="preserve"> PredictorLG </w:t>
      </w:r>
      <w:r>
        <w:rPr>
          <w:rFonts w:ascii="宋体" w:hAnsi="宋体"/>
        </w:rPr>
        <w:t>参数、同一组</w:t>
      </w:r>
      <w:r>
        <w:rPr>
          <w:rFonts w:ascii="宋体" w:hAnsi="宋体"/>
        </w:rPr>
        <w:t xml:space="preserve"> pruning_loc </w:t>
      </w:r>
      <w:r>
        <w:rPr>
          <w:rFonts w:ascii="宋体" w:hAnsi="宋体"/>
        </w:rPr>
        <w:t>与</w:t>
      </w:r>
      <w:r>
        <w:rPr>
          <w:rFonts w:ascii="宋体" w:hAnsi="宋体"/>
        </w:rPr>
        <w:t xml:space="preserve"> token_keep_counts</w:t>
      </w:r>
      <w:r>
        <w:rPr>
          <w:rFonts w:ascii="宋体" w:hAnsi="宋体"/>
        </w:rPr>
        <w:t>，使训练出来的判别边界能够被安全前向路径原样继承。</w:t>
      </w:r>
    </w:p>
    <w:p w14:paraId="68C8107A" w14:textId="77777777" w:rsidR="000A6A38" w:rsidRDefault="00355533">
      <w:pPr>
        <w:spacing w:line="360" w:lineRule="auto"/>
        <w:ind w:firstLine="480"/>
        <w:rPr>
          <w:rFonts w:ascii="宋体" w:hAnsi="宋体" w:hint="eastAsia"/>
          <w:sz w:val="24"/>
        </w:rPr>
      </w:pPr>
      <w:r>
        <w:rPr>
          <w:rFonts w:ascii="宋体" w:hAnsi="宋体"/>
        </w:rPr>
        <w:t>在</w:t>
      </w:r>
      <w:r>
        <w:rPr>
          <w:rFonts w:ascii="宋体" w:hAnsi="宋体"/>
        </w:rPr>
        <w:t xml:space="preserve"> SPU </w:t>
      </w:r>
      <w:r>
        <w:rPr>
          <w:rFonts w:ascii="宋体" w:hAnsi="宋体"/>
        </w:rPr>
        <w:t>侧，安全化执行的关键并不只是</w:t>
      </w:r>
      <w:r>
        <w:rPr>
          <w:rFonts w:ascii="宋体" w:hAnsi="宋体"/>
        </w:rPr>
        <w:t>“</w:t>
      </w:r>
      <w:r>
        <w:rPr>
          <w:rFonts w:ascii="宋体" w:hAnsi="宋体"/>
        </w:rPr>
        <w:t>把排序搬进去</w:t>
      </w:r>
      <w:r>
        <w:rPr>
          <w:rFonts w:ascii="宋体" w:hAnsi="宋体"/>
        </w:rPr>
        <w:t>”</w:t>
      </w:r>
      <w:r>
        <w:rPr>
          <w:rFonts w:ascii="宋体" w:hAnsi="宋体"/>
        </w:rPr>
        <w:t>，而是把排序放在整个剪枝链的正确位置上。当前</w:t>
      </w:r>
      <w:r>
        <w:rPr>
          <w:rFonts w:ascii="宋体" w:hAnsi="宋体"/>
        </w:rPr>
        <w:t xml:space="preserve"> `spu_static_vit.py` </w:t>
      </w:r>
      <w:r>
        <w:rPr>
          <w:rFonts w:ascii="宋体" w:hAnsi="宋体"/>
        </w:rPr>
        <w:t>中的</w:t>
      </w:r>
      <w:r>
        <w:rPr>
          <w:rFonts w:ascii="宋体" w:hAnsi="宋体"/>
        </w:rPr>
        <w:t xml:space="preserve"> `_secure_build_keep_decision` </w:t>
      </w:r>
      <w:r>
        <w:rPr>
          <w:rFonts w:ascii="宋体" w:hAnsi="宋体"/>
        </w:rPr>
        <w:t>先对</w:t>
      </w:r>
      <w:r>
        <w:rPr>
          <w:rFonts w:ascii="宋体" w:hAnsi="宋体"/>
        </w:rPr>
        <w:t xml:space="preserve"> score </w:t>
      </w:r>
      <w:r>
        <w:rPr>
          <w:rFonts w:ascii="宋体" w:hAnsi="宋体"/>
        </w:rPr>
        <w:t>注入按索引递减的极小扰动，形成</w:t>
      </w:r>
      <w:r>
        <w:rPr>
          <w:rFonts w:ascii="宋体" w:hAnsi="宋体"/>
        </w:rPr>
        <w:t xml:space="preserve"> encoded_key</w:t>
      </w:r>
      <w:r>
        <w:rPr>
          <w:rFonts w:ascii="宋体" w:hAnsi="宋体"/>
        </w:rPr>
        <w:t>；再把无效</w:t>
      </w:r>
      <w:r>
        <w:rPr>
          <w:rFonts w:ascii="宋体" w:hAnsi="宋体"/>
        </w:rPr>
        <w:t xml:space="preserve"> token </w:t>
      </w:r>
      <w:r>
        <w:rPr>
          <w:rFonts w:ascii="宋体" w:hAnsi="宋体"/>
        </w:rPr>
        <w:t>位置填为负无穷；随后把长度</w:t>
      </w:r>
      <w:r>
        <w:rPr>
          <w:rFonts w:ascii="宋体" w:hAnsi="宋体"/>
        </w:rPr>
        <w:t xml:space="preserve"> pad </w:t>
      </w:r>
      <w:r>
        <w:rPr>
          <w:rFonts w:ascii="宋体" w:hAnsi="宋体"/>
        </w:rPr>
        <w:t>到</w:t>
      </w:r>
      <w:r>
        <w:rPr>
          <w:rFonts w:ascii="宋体" w:hAnsi="宋体"/>
        </w:rPr>
        <w:t xml:space="preserve"> 2 </w:t>
      </w:r>
      <w:r>
        <w:rPr>
          <w:rFonts w:ascii="宋体" w:hAnsi="宋体"/>
        </w:rPr>
        <w:t>的幂次，以便进入</w:t>
      </w:r>
      <w:r>
        <w:rPr>
          <w:rFonts w:ascii="宋体" w:hAnsi="宋体"/>
        </w:rPr>
        <w:t xml:space="preserve"> index-tracking bitonic sort</w:t>
      </w:r>
      <w:r>
        <w:rPr>
          <w:rFonts w:ascii="宋体" w:hAnsi="宋体"/>
        </w:rPr>
        <w:t>；最后不再额外执行一次</w:t>
      </w:r>
      <w:r>
        <w:rPr>
          <w:rFonts w:ascii="宋体" w:hAnsi="宋体"/>
        </w:rPr>
        <w:t>“</w:t>
      </w:r>
      <w:r>
        <w:rPr>
          <w:rFonts w:ascii="宋体" w:hAnsi="宋体"/>
        </w:rPr>
        <w:t>全体</w:t>
      </w:r>
      <w:r>
        <w:rPr>
          <w:rFonts w:ascii="宋体" w:hAnsi="宋体"/>
        </w:rPr>
        <w:t xml:space="preserve"> token </w:t>
      </w:r>
      <w:r>
        <w:rPr>
          <w:rFonts w:ascii="宋体" w:hAnsi="宋体"/>
        </w:rPr>
        <w:t>与阈值比较</w:t>
      </w:r>
      <w:r>
        <w:rPr>
          <w:rFonts w:ascii="宋体" w:hAnsi="宋体"/>
        </w:rPr>
        <w:t>”</w:t>
      </w:r>
      <w:r>
        <w:rPr>
          <w:rFonts w:ascii="宋体" w:hAnsi="宋体"/>
        </w:rPr>
        <w:t>，而是直接根据排序后的前</w:t>
      </w:r>
      <w:r>
        <w:rPr>
          <w:rFonts w:ascii="宋体" w:hAnsi="宋体"/>
        </w:rPr>
        <w:t xml:space="preserve"> K </w:t>
      </w:r>
      <w:r>
        <w:rPr>
          <w:rFonts w:ascii="宋体" w:hAnsi="宋体"/>
        </w:rPr>
        <w:t>个索引构造</w:t>
      </w:r>
      <w:r>
        <w:rPr>
          <w:rFonts w:ascii="宋体" w:hAnsi="宋体"/>
        </w:rPr>
        <w:t xml:space="preserve"> keep-mask</w:t>
      </w:r>
      <w:r>
        <w:rPr>
          <w:rFonts w:ascii="宋体" w:hAnsi="宋体"/>
        </w:rPr>
        <w:t>。这样做比</w:t>
      </w:r>
      <w:r>
        <w:rPr>
          <w:rFonts w:ascii="宋体" w:hAnsi="宋体"/>
        </w:rPr>
        <w:t>“</w:t>
      </w:r>
      <w:r>
        <w:rPr>
          <w:rFonts w:ascii="宋体" w:hAnsi="宋体"/>
        </w:rPr>
        <w:t>排序求阈值</w:t>
      </w:r>
      <w:r>
        <w:rPr>
          <w:rFonts w:ascii="宋体" w:hAnsi="宋体"/>
        </w:rPr>
        <w:t xml:space="preserve"> + </w:t>
      </w:r>
      <w:r>
        <w:rPr>
          <w:rFonts w:ascii="宋体" w:hAnsi="宋体"/>
        </w:rPr>
        <w:t>再比较一次</w:t>
      </w:r>
      <w:r>
        <w:rPr>
          <w:rFonts w:ascii="宋体" w:hAnsi="宋体"/>
        </w:rPr>
        <w:t>”</w:t>
      </w:r>
      <w:r>
        <w:rPr>
          <w:rFonts w:ascii="宋体" w:hAnsi="宋体"/>
        </w:rPr>
        <w:t>的两步写法更短，也更符合安全计算里尽量减少额外比较轮次的原则。</w:t>
      </w:r>
    </w:p>
    <w:p w14:paraId="5E2D0411" w14:textId="77777777" w:rsidR="000A6A38" w:rsidRDefault="00355533">
      <w:pPr>
        <w:spacing w:line="360" w:lineRule="auto"/>
        <w:ind w:firstLine="480"/>
        <w:rPr>
          <w:rFonts w:ascii="宋体" w:hAnsi="宋体" w:hint="eastAsia"/>
          <w:sz w:val="24"/>
        </w:rPr>
      </w:pPr>
      <w:r>
        <w:rPr>
          <w:rFonts w:ascii="宋体" w:hAnsi="宋体"/>
        </w:rPr>
        <w:t>此外，本作品并未把被丢弃</w:t>
      </w:r>
      <w:r>
        <w:rPr>
          <w:rFonts w:ascii="宋体" w:hAnsi="宋体"/>
        </w:rPr>
        <w:t xml:space="preserve"> token </w:t>
      </w:r>
      <w:r>
        <w:rPr>
          <w:rFonts w:ascii="宋体" w:hAnsi="宋体"/>
        </w:rPr>
        <w:t>简单视为应立即归零的无用对象。当前安全前向路径在正式掩码化之前还保留了</w:t>
      </w:r>
      <w:r>
        <w:rPr>
          <w:rFonts w:ascii="宋体" w:hAnsi="宋体"/>
        </w:rPr>
        <w:t xml:space="preserve"> Dropped-Token Context Recycling</w:t>
      </w:r>
      <w:r>
        <w:rPr>
          <w:rFonts w:ascii="宋体" w:hAnsi="宋体"/>
        </w:rPr>
        <w:t>：先依据</w:t>
      </w:r>
      <w:r>
        <w:rPr>
          <w:rFonts w:ascii="宋体" w:hAnsi="宋体"/>
        </w:rPr>
        <w:t xml:space="preserve"> 1−sigmoid(score) </w:t>
      </w:r>
      <w:r>
        <w:rPr>
          <w:rFonts w:ascii="宋体" w:hAnsi="宋体"/>
        </w:rPr>
        <w:t>为即将被丢弃的</w:t>
      </w:r>
      <w:r>
        <w:rPr>
          <w:rFonts w:ascii="宋体" w:hAnsi="宋体"/>
        </w:rPr>
        <w:t xml:space="preserve"> token </w:t>
      </w:r>
      <w:r>
        <w:rPr>
          <w:rFonts w:ascii="宋体" w:hAnsi="宋体"/>
        </w:rPr>
        <w:t>生成软权重摘要，再按比例注入</w:t>
      </w:r>
      <w:r>
        <w:rPr>
          <w:rFonts w:ascii="宋体" w:hAnsi="宋体"/>
        </w:rPr>
        <w:t xml:space="preserve"> CLS token</w:t>
      </w:r>
      <w:r>
        <w:rPr>
          <w:rFonts w:ascii="宋体" w:hAnsi="宋体"/>
        </w:rPr>
        <w:t>，随后才对空间</w:t>
      </w:r>
      <w:r>
        <w:rPr>
          <w:rFonts w:ascii="宋体" w:hAnsi="宋体"/>
        </w:rPr>
        <w:t xml:space="preserve"> token </w:t>
      </w:r>
      <w:r>
        <w:rPr>
          <w:rFonts w:ascii="宋体" w:hAnsi="宋体"/>
        </w:rPr>
        <w:t>执行掩码化。其工程含义在于，系统既维持了后续层固定图执行所需的掩码表达，又尽量回收被丢弃</w:t>
      </w:r>
      <w:r>
        <w:rPr>
          <w:rFonts w:ascii="宋体" w:hAnsi="宋体"/>
        </w:rPr>
        <w:t xml:space="preserve"> token </w:t>
      </w:r>
      <w:r>
        <w:rPr>
          <w:rFonts w:ascii="宋体" w:hAnsi="宋体"/>
        </w:rPr>
        <w:t>中仍有价值的全局上下文信息，从而减轻</w:t>
      </w:r>
      <w:r>
        <w:rPr>
          <w:rFonts w:ascii="宋体" w:hAnsi="宋体"/>
        </w:rPr>
        <w:t>“</w:t>
      </w:r>
      <w:r>
        <w:rPr>
          <w:rFonts w:ascii="宋体" w:hAnsi="宋体"/>
        </w:rPr>
        <w:t>纯置零剪枝</w:t>
      </w:r>
      <w:r>
        <w:rPr>
          <w:rFonts w:ascii="宋体" w:hAnsi="宋体"/>
        </w:rPr>
        <w:t>”</w:t>
      </w:r>
      <w:r>
        <w:rPr>
          <w:rFonts w:ascii="宋体" w:hAnsi="宋体"/>
        </w:rPr>
        <w:t>对分类头判别边界的冲击。</w:t>
      </w:r>
    </w:p>
    <w:p w14:paraId="0001E1A9" w14:textId="77777777" w:rsidR="00035316" w:rsidRDefault="00831B25">
      <w:pPr>
        <w:spacing w:line="360" w:lineRule="auto"/>
        <w:jc w:val="center"/>
      </w:pPr>
      <w:r>
        <w:rPr>
          <w:noProof/>
        </w:rPr>
        <w:drawing>
          <wp:inline distT="0" distB="0" distL="114300" distR="114300" wp14:anchorId="25F24144" wp14:editId="59BE9E40">
            <wp:extent cx="5600065" cy="3063240"/>
            <wp:effectExtent l="0" t="0" r="635"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1"/>
                    <a:stretch>
                      <a:fillRect/>
                    </a:stretch>
                  </pic:blipFill>
                  <pic:spPr>
                    <a:xfrm>
                      <a:off x="0" y="0"/>
                      <a:ext cx="5600065" cy="3063240"/>
                    </a:xfrm>
                    <a:prstGeom prst="rect">
                      <a:avLst/>
                    </a:prstGeom>
                    <a:noFill/>
                    <a:ln>
                      <a:noFill/>
                    </a:ln>
                  </pic:spPr>
                </pic:pic>
              </a:graphicData>
            </a:graphic>
          </wp:inline>
        </w:drawing>
      </w:r>
    </w:p>
    <w:p w14:paraId="633ACFEF" w14:textId="77777777" w:rsidR="00035316" w:rsidRDefault="00831B25">
      <w:pPr>
        <w:spacing w:line="288" w:lineRule="auto"/>
        <w:jc w:val="center"/>
      </w:pPr>
      <w:r>
        <w:rPr>
          <w:rFonts w:ascii="宋体" w:hAnsi="宋体"/>
          <w:sz w:val="20"/>
        </w:rPr>
        <w:t>图2-3 DynamicViT 密态改写前后对照图：左侧为原始删除式剪枝，右侧为本作品的掩码化重写与固定图密态前向。</w:t>
      </w:r>
    </w:p>
    <w:p w14:paraId="6247DEDD" w14:textId="77777777" w:rsidR="00035316" w:rsidRDefault="00831B25">
      <w:pPr>
        <w:spacing w:line="360" w:lineRule="auto"/>
        <w:outlineLvl w:val="1"/>
        <w:rPr>
          <w:rFonts w:ascii="黑体" w:eastAsia="黑体" w:hAnsi="黑体" w:hint="eastAsia"/>
          <w:b/>
          <w:sz w:val="24"/>
        </w:rPr>
      </w:pPr>
      <w:bookmarkStart w:id="25" w:name="Transshield_TOC_section_2_5"/>
      <w:bookmarkStart w:id="26" w:name="_Toc230989543"/>
      <w:r>
        <w:rPr>
          <w:rFonts w:ascii="黑体" w:eastAsia="黑体" w:hAnsi="黑体"/>
          <w:b/>
          <w:sz w:val="24"/>
        </w:rPr>
        <w:t>2.5 硬件部署与软件基准</w:t>
      </w:r>
      <w:bookmarkEnd w:id="25"/>
      <w:bookmarkEnd w:id="26"/>
    </w:p>
    <w:p w14:paraId="7A3DA038" w14:textId="77777777" w:rsidR="00035316" w:rsidRDefault="00831B25">
      <w:pPr>
        <w:spacing w:line="360" w:lineRule="auto"/>
        <w:ind w:firstLineChars="200" w:firstLine="480"/>
        <w:rPr>
          <w:rFonts w:ascii="宋体" w:hAnsi="宋体" w:cs="宋体" w:hint="eastAsia"/>
          <w:sz w:val="24"/>
        </w:rPr>
      </w:pPr>
      <w:r>
        <w:rPr>
          <w:rFonts w:ascii="宋体" w:hAnsi="宋体" w:cs="宋体"/>
          <w:sz w:val="24"/>
        </w:rPr>
        <w:t>本作品所有实验与性能测试均在统一的硬件与软件环境下执行，具体配置基准如表 4 所示。</w:t>
      </w:r>
    </w:p>
    <w:p w14:paraId="29387FAD" w14:textId="77777777" w:rsidR="00035316" w:rsidRDefault="00831B25">
      <w:pPr>
        <w:spacing w:line="360" w:lineRule="auto"/>
        <w:ind w:firstLineChars="200" w:firstLine="480"/>
        <w:jc w:val="center"/>
        <w:rPr>
          <w:rFonts w:ascii="宋体" w:hAnsi="宋体" w:cs="宋体" w:hint="eastAsia"/>
          <w:sz w:val="24"/>
        </w:rPr>
      </w:pPr>
      <w:r>
        <w:rPr>
          <w:rFonts w:ascii="宋体" w:hAnsi="宋体" w:cs="宋体"/>
          <w:sz w:val="24"/>
        </w:rPr>
        <w:t>表 4 原型系统硬件部署与软件环境基准</w:t>
      </w:r>
    </w:p>
    <w:tbl>
      <w:tblPr>
        <w:tblW w:w="8820" w:type="dxa"/>
        <w:jc w:val="center"/>
        <w:tblLook w:val="04A0" w:firstRow="1" w:lastRow="0" w:firstColumn="1" w:lastColumn="0" w:noHBand="0" w:noVBand="1"/>
      </w:tblPr>
      <w:tblGrid>
        <w:gridCol w:w="1270"/>
        <w:gridCol w:w="7550"/>
      </w:tblGrid>
      <w:tr w:rsidR="00035316" w14:paraId="2165A917" w14:textId="77777777">
        <w:trPr>
          <w:tblHeader/>
          <w:jc w:val="center"/>
        </w:trPr>
        <w:tc>
          <w:tcPr>
            <w:tcW w:w="1270" w:type="dxa"/>
            <w:tcBorders>
              <w:top w:val="single" w:sz="12" w:space="0" w:color="auto"/>
              <w:left w:val="nil"/>
              <w:bottom w:val="nil"/>
              <w:right w:val="nil"/>
            </w:tcBorders>
            <w:tcMar>
              <w:top w:w="-1" w:type="dxa"/>
              <w:left w:w="-1" w:type="dxa"/>
              <w:bottom w:w="-1" w:type="dxa"/>
              <w:right w:w="-1" w:type="dxa"/>
            </w:tcMar>
          </w:tcPr>
          <w:p w14:paraId="7786E916" w14:textId="77777777" w:rsidR="00035316" w:rsidRDefault="00831B25">
            <w:pPr>
              <w:snapToGrid w:val="0"/>
              <w:jc w:val="center"/>
              <w:rPr>
                <w:sz w:val="24"/>
              </w:rPr>
            </w:pPr>
            <w:r>
              <w:rPr>
                <w:rFonts w:ascii="宋体" w:hAnsi="宋体"/>
                <w:b/>
                <w:sz w:val="24"/>
              </w:rPr>
              <w:t>项目</w:t>
            </w:r>
          </w:p>
        </w:tc>
        <w:tc>
          <w:tcPr>
            <w:tcW w:w="7550" w:type="dxa"/>
            <w:tcBorders>
              <w:top w:val="single" w:sz="12" w:space="0" w:color="auto"/>
              <w:left w:val="nil"/>
              <w:bottom w:val="nil"/>
              <w:right w:val="nil"/>
            </w:tcBorders>
            <w:tcMar>
              <w:top w:w="-1" w:type="dxa"/>
              <w:left w:w="-1" w:type="dxa"/>
              <w:bottom w:w="-1" w:type="dxa"/>
              <w:right w:w="-1" w:type="dxa"/>
            </w:tcMar>
          </w:tcPr>
          <w:p w14:paraId="0DA8D7A6" w14:textId="77777777" w:rsidR="00035316" w:rsidRDefault="00831B25">
            <w:pPr>
              <w:snapToGrid w:val="0"/>
              <w:jc w:val="center"/>
              <w:rPr>
                <w:sz w:val="24"/>
              </w:rPr>
            </w:pPr>
            <w:r>
              <w:rPr>
                <w:rFonts w:ascii="宋体" w:hAnsi="宋体"/>
                <w:b/>
                <w:sz w:val="24"/>
              </w:rPr>
              <w:t>配置</w:t>
            </w:r>
          </w:p>
        </w:tc>
      </w:tr>
      <w:tr w:rsidR="00035316" w14:paraId="61E61618" w14:textId="77777777">
        <w:trPr>
          <w:tblHeader/>
          <w:jc w:val="center"/>
        </w:trPr>
        <w:tc>
          <w:tcPr>
            <w:tcW w:w="1270" w:type="dxa"/>
            <w:tcBorders>
              <w:top w:val="single" w:sz="4" w:space="0" w:color="auto"/>
              <w:left w:val="nil"/>
              <w:bottom w:val="nil"/>
              <w:right w:val="nil"/>
            </w:tcBorders>
            <w:tcMar>
              <w:top w:w="-1" w:type="dxa"/>
              <w:left w:w="-1" w:type="dxa"/>
              <w:bottom w:w="-1" w:type="dxa"/>
              <w:right w:w="-1" w:type="dxa"/>
            </w:tcMar>
          </w:tcPr>
          <w:p w14:paraId="54148A28" w14:textId="77777777" w:rsidR="00035316" w:rsidRDefault="00831B25">
            <w:pPr>
              <w:snapToGrid w:val="0"/>
              <w:rPr>
                <w:sz w:val="24"/>
              </w:rPr>
            </w:pPr>
            <w:r>
              <w:rPr>
                <w:rFonts w:ascii="宋体" w:hAnsi="宋体"/>
                <w:sz w:val="24"/>
              </w:rPr>
              <w:t>CPU</w:t>
            </w:r>
          </w:p>
        </w:tc>
        <w:tc>
          <w:tcPr>
            <w:tcW w:w="7550" w:type="dxa"/>
            <w:tcBorders>
              <w:top w:val="single" w:sz="4" w:space="0" w:color="auto"/>
              <w:left w:val="nil"/>
              <w:bottom w:val="nil"/>
              <w:right w:val="nil"/>
            </w:tcBorders>
            <w:tcMar>
              <w:top w:w="-1" w:type="dxa"/>
              <w:left w:w="-1" w:type="dxa"/>
              <w:bottom w:w="-1" w:type="dxa"/>
              <w:right w:w="-1" w:type="dxa"/>
            </w:tcMar>
          </w:tcPr>
          <w:p w14:paraId="33050037" w14:textId="77777777" w:rsidR="00035316" w:rsidRDefault="00831B25">
            <w:pPr>
              <w:snapToGrid w:val="0"/>
              <w:rPr>
                <w:sz w:val="24"/>
              </w:rPr>
            </w:pPr>
            <w:r>
              <w:rPr>
                <w:rFonts w:ascii="宋体" w:hAnsi="宋体"/>
                <w:sz w:val="24"/>
              </w:rPr>
              <w:t>Intel Xeon Gold 6148 @ 2.40GHz，80 逻辑核（2 路，每路 20 核，超线程开启）</w:t>
            </w:r>
          </w:p>
        </w:tc>
      </w:tr>
      <w:tr w:rsidR="00035316" w14:paraId="30828E0A" w14:textId="77777777">
        <w:trPr>
          <w:tblHeader/>
          <w:jc w:val="center"/>
        </w:trPr>
        <w:tc>
          <w:tcPr>
            <w:tcW w:w="1270" w:type="dxa"/>
            <w:tcBorders>
              <w:top w:val="nil"/>
              <w:left w:val="nil"/>
              <w:bottom w:val="nil"/>
              <w:right w:val="nil"/>
            </w:tcBorders>
            <w:tcMar>
              <w:top w:w="-1" w:type="dxa"/>
              <w:left w:w="-1" w:type="dxa"/>
              <w:bottom w:w="-1" w:type="dxa"/>
              <w:right w:w="-1" w:type="dxa"/>
            </w:tcMar>
          </w:tcPr>
          <w:p w14:paraId="52EA87EF" w14:textId="77777777" w:rsidR="00035316" w:rsidRDefault="00831B25">
            <w:pPr>
              <w:snapToGrid w:val="0"/>
              <w:rPr>
                <w:sz w:val="24"/>
              </w:rPr>
            </w:pPr>
            <w:r>
              <w:rPr>
                <w:rFonts w:ascii="宋体" w:hAnsi="宋体"/>
                <w:sz w:val="24"/>
              </w:rPr>
              <w:t>物理内存</w:t>
            </w:r>
          </w:p>
        </w:tc>
        <w:tc>
          <w:tcPr>
            <w:tcW w:w="7550" w:type="dxa"/>
            <w:tcBorders>
              <w:top w:val="nil"/>
              <w:left w:val="nil"/>
              <w:bottom w:val="nil"/>
              <w:right w:val="nil"/>
            </w:tcBorders>
            <w:tcMar>
              <w:top w:w="-1" w:type="dxa"/>
              <w:left w:w="-1" w:type="dxa"/>
              <w:bottom w:w="-1" w:type="dxa"/>
              <w:right w:w="-1" w:type="dxa"/>
            </w:tcMar>
          </w:tcPr>
          <w:p w14:paraId="0A6DC746" w14:textId="77777777" w:rsidR="00035316" w:rsidRDefault="00831B25">
            <w:pPr>
              <w:snapToGrid w:val="0"/>
              <w:rPr>
                <w:sz w:val="24"/>
              </w:rPr>
            </w:pPr>
            <w:r>
              <w:rPr>
                <w:rFonts w:ascii="宋体" w:hAnsi="宋体"/>
                <w:sz w:val="24"/>
              </w:rPr>
              <w:t>62 GiB</w:t>
            </w:r>
          </w:p>
        </w:tc>
      </w:tr>
      <w:tr w:rsidR="00035316" w14:paraId="57E2B833" w14:textId="77777777">
        <w:trPr>
          <w:tblHeader/>
          <w:jc w:val="center"/>
        </w:trPr>
        <w:tc>
          <w:tcPr>
            <w:tcW w:w="1270" w:type="dxa"/>
            <w:tcBorders>
              <w:top w:val="nil"/>
              <w:left w:val="nil"/>
              <w:bottom w:val="nil"/>
              <w:right w:val="nil"/>
            </w:tcBorders>
            <w:tcMar>
              <w:top w:w="-1" w:type="dxa"/>
              <w:left w:w="-1" w:type="dxa"/>
              <w:bottom w:w="-1" w:type="dxa"/>
              <w:right w:w="-1" w:type="dxa"/>
            </w:tcMar>
          </w:tcPr>
          <w:p w14:paraId="1B8FE5A9" w14:textId="77777777" w:rsidR="00035316" w:rsidRDefault="00831B25">
            <w:pPr>
              <w:snapToGrid w:val="0"/>
              <w:rPr>
                <w:sz w:val="24"/>
              </w:rPr>
            </w:pPr>
            <w:r>
              <w:rPr>
                <w:rFonts w:ascii="宋体" w:hAnsi="宋体"/>
                <w:sz w:val="24"/>
              </w:rPr>
              <w:t>操作系统</w:t>
            </w:r>
          </w:p>
        </w:tc>
        <w:tc>
          <w:tcPr>
            <w:tcW w:w="7550" w:type="dxa"/>
            <w:tcBorders>
              <w:top w:val="nil"/>
              <w:left w:val="nil"/>
              <w:bottom w:val="nil"/>
              <w:right w:val="nil"/>
            </w:tcBorders>
            <w:tcMar>
              <w:top w:w="-1" w:type="dxa"/>
              <w:left w:w="-1" w:type="dxa"/>
              <w:bottom w:w="-1" w:type="dxa"/>
              <w:right w:w="-1" w:type="dxa"/>
            </w:tcMar>
          </w:tcPr>
          <w:p w14:paraId="7A6A3791" w14:textId="77777777" w:rsidR="00035316" w:rsidRDefault="00831B25">
            <w:pPr>
              <w:snapToGrid w:val="0"/>
              <w:rPr>
                <w:sz w:val="24"/>
              </w:rPr>
            </w:pPr>
            <w:r>
              <w:rPr>
                <w:rFonts w:ascii="宋体" w:hAnsi="宋体"/>
                <w:sz w:val="24"/>
              </w:rPr>
              <w:t>Ubuntu 20.04.6 LTS</w:t>
            </w:r>
          </w:p>
        </w:tc>
      </w:tr>
      <w:tr w:rsidR="00035316" w14:paraId="62F01B0F" w14:textId="77777777">
        <w:trPr>
          <w:tblHeader/>
          <w:jc w:val="center"/>
        </w:trPr>
        <w:tc>
          <w:tcPr>
            <w:tcW w:w="1270" w:type="dxa"/>
            <w:tcBorders>
              <w:top w:val="nil"/>
              <w:left w:val="nil"/>
              <w:bottom w:val="nil"/>
              <w:right w:val="nil"/>
            </w:tcBorders>
            <w:tcMar>
              <w:top w:w="-1" w:type="dxa"/>
              <w:left w:w="-1" w:type="dxa"/>
              <w:bottom w:w="-1" w:type="dxa"/>
              <w:right w:w="-1" w:type="dxa"/>
            </w:tcMar>
          </w:tcPr>
          <w:p w14:paraId="2FC1668D" w14:textId="77777777" w:rsidR="00035316" w:rsidRDefault="00831B25">
            <w:pPr>
              <w:snapToGrid w:val="0"/>
              <w:rPr>
                <w:sz w:val="24"/>
              </w:rPr>
            </w:pPr>
            <w:r>
              <w:rPr>
                <w:rFonts w:ascii="宋体" w:hAnsi="宋体"/>
                <w:sz w:val="24"/>
              </w:rPr>
              <w:t>内核版本</w:t>
            </w:r>
          </w:p>
        </w:tc>
        <w:tc>
          <w:tcPr>
            <w:tcW w:w="7550" w:type="dxa"/>
            <w:tcBorders>
              <w:top w:val="nil"/>
              <w:left w:val="nil"/>
              <w:bottom w:val="nil"/>
              <w:right w:val="nil"/>
            </w:tcBorders>
            <w:tcMar>
              <w:top w:w="-1" w:type="dxa"/>
              <w:left w:w="-1" w:type="dxa"/>
              <w:bottom w:w="-1" w:type="dxa"/>
              <w:right w:w="-1" w:type="dxa"/>
            </w:tcMar>
          </w:tcPr>
          <w:p w14:paraId="298809E3" w14:textId="77777777" w:rsidR="00035316" w:rsidRDefault="00831B25">
            <w:pPr>
              <w:snapToGrid w:val="0"/>
              <w:rPr>
                <w:sz w:val="24"/>
              </w:rPr>
            </w:pPr>
            <w:r>
              <w:rPr>
                <w:rFonts w:ascii="宋体" w:hAnsi="宋体"/>
                <w:sz w:val="24"/>
              </w:rPr>
              <w:t>Linux 5.15.0-139-generic</w:t>
            </w:r>
          </w:p>
        </w:tc>
      </w:tr>
      <w:tr w:rsidR="00035316" w14:paraId="36F265D2" w14:textId="77777777">
        <w:trPr>
          <w:tblHeader/>
          <w:jc w:val="center"/>
        </w:trPr>
        <w:tc>
          <w:tcPr>
            <w:tcW w:w="1270" w:type="dxa"/>
            <w:tcBorders>
              <w:top w:val="nil"/>
              <w:left w:val="nil"/>
              <w:bottom w:val="nil"/>
              <w:right w:val="nil"/>
            </w:tcBorders>
            <w:tcMar>
              <w:top w:w="-1" w:type="dxa"/>
              <w:left w:w="-1" w:type="dxa"/>
              <w:bottom w:w="-1" w:type="dxa"/>
              <w:right w:w="-1" w:type="dxa"/>
            </w:tcMar>
          </w:tcPr>
          <w:p w14:paraId="304B073C" w14:textId="77777777" w:rsidR="00035316" w:rsidRDefault="00831B25">
            <w:pPr>
              <w:snapToGrid w:val="0"/>
              <w:rPr>
                <w:sz w:val="24"/>
              </w:rPr>
            </w:pPr>
            <w:r>
              <w:rPr>
                <w:rFonts w:ascii="宋体" w:hAnsi="宋体"/>
                <w:sz w:val="24"/>
              </w:rPr>
              <w:t>Python</w:t>
            </w:r>
          </w:p>
        </w:tc>
        <w:tc>
          <w:tcPr>
            <w:tcW w:w="7550" w:type="dxa"/>
            <w:tcBorders>
              <w:top w:val="nil"/>
              <w:left w:val="nil"/>
              <w:bottom w:val="nil"/>
              <w:right w:val="nil"/>
            </w:tcBorders>
            <w:tcMar>
              <w:top w:w="-1" w:type="dxa"/>
              <w:left w:w="-1" w:type="dxa"/>
              <w:bottom w:w="-1" w:type="dxa"/>
              <w:right w:w="-1" w:type="dxa"/>
            </w:tcMar>
          </w:tcPr>
          <w:p w14:paraId="49615B25" w14:textId="77777777" w:rsidR="00035316" w:rsidRDefault="00831B25">
            <w:pPr>
              <w:snapToGrid w:val="0"/>
              <w:rPr>
                <w:sz w:val="24"/>
              </w:rPr>
            </w:pPr>
            <w:r>
              <w:rPr>
                <w:rFonts w:ascii="宋体" w:hAnsi="宋体"/>
                <w:sz w:val="24"/>
              </w:rPr>
              <w:t>Python 3.9.25</w:t>
            </w:r>
          </w:p>
        </w:tc>
      </w:tr>
      <w:tr w:rsidR="00035316" w14:paraId="0E9149E0" w14:textId="77777777">
        <w:trPr>
          <w:tblHeader/>
          <w:jc w:val="center"/>
        </w:trPr>
        <w:tc>
          <w:tcPr>
            <w:tcW w:w="1270" w:type="dxa"/>
            <w:tcBorders>
              <w:top w:val="nil"/>
              <w:left w:val="nil"/>
              <w:bottom w:val="nil"/>
              <w:right w:val="nil"/>
            </w:tcBorders>
            <w:tcMar>
              <w:top w:w="-1" w:type="dxa"/>
              <w:left w:w="-1" w:type="dxa"/>
              <w:bottom w:w="-1" w:type="dxa"/>
              <w:right w:w="-1" w:type="dxa"/>
            </w:tcMar>
          </w:tcPr>
          <w:p w14:paraId="0C38F8CB" w14:textId="77777777" w:rsidR="00035316" w:rsidRDefault="00831B25">
            <w:pPr>
              <w:snapToGrid w:val="0"/>
              <w:rPr>
                <w:sz w:val="24"/>
              </w:rPr>
            </w:pPr>
            <w:r>
              <w:rPr>
                <w:rFonts w:ascii="宋体" w:hAnsi="宋体"/>
                <w:sz w:val="24"/>
              </w:rPr>
              <w:t>安全计算底座</w:t>
            </w:r>
          </w:p>
        </w:tc>
        <w:tc>
          <w:tcPr>
            <w:tcW w:w="7550" w:type="dxa"/>
            <w:tcBorders>
              <w:top w:val="nil"/>
              <w:left w:val="nil"/>
              <w:bottom w:val="nil"/>
              <w:right w:val="nil"/>
            </w:tcBorders>
            <w:tcMar>
              <w:top w:w="-1" w:type="dxa"/>
              <w:left w:w="-1" w:type="dxa"/>
              <w:bottom w:w="-1" w:type="dxa"/>
              <w:right w:w="-1" w:type="dxa"/>
            </w:tcMar>
          </w:tcPr>
          <w:p w14:paraId="00AD2C83" w14:textId="77777777" w:rsidR="00035316" w:rsidRDefault="00831B25">
            <w:pPr>
              <w:snapToGrid w:val="0"/>
              <w:rPr>
                <w:sz w:val="24"/>
              </w:rPr>
            </w:pPr>
            <w:r>
              <w:rPr>
                <w:rFonts w:ascii="宋体" w:hAnsi="宋体"/>
                <w:sz w:val="24"/>
              </w:rPr>
              <w:t>SecretFlow SPU 0.9.3.dev20241118（Apache License 2.0）</w:t>
            </w:r>
          </w:p>
        </w:tc>
      </w:tr>
      <w:tr w:rsidR="00035316" w14:paraId="087741BB" w14:textId="77777777">
        <w:trPr>
          <w:tblHeader/>
          <w:jc w:val="center"/>
        </w:trPr>
        <w:tc>
          <w:tcPr>
            <w:tcW w:w="1270" w:type="dxa"/>
            <w:tcBorders>
              <w:top w:val="nil"/>
              <w:left w:val="nil"/>
              <w:bottom w:val="nil"/>
              <w:right w:val="nil"/>
            </w:tcBorders>
            <w:tcMar>
              <w:top w:w="-1" w:type="dxa"/>
              <w:left w:w="-1" w:type="dxa"/>
              <w:bottom w:w="-1" w:type="dxa"/>
              <w:right w:w="-1" w:type="dxa"/>
            </w:tcMar>
          </w:tcPr>
          <w:p w14:paraId="76CBD743" w14:textId="77777777" w:rsidR="00035316" w:rsidRDefault="00831B25">
            <w:pPr>
              <w:snapToGrid w:val="0"/>
              <w:rPr>
                <w:sz w:val="24"/>
              </w:rPr>
            </w:pPr>
            <w:r>
              <w:rPr>
                <w:rFonts w:ascii="宋体" w:hAnsi="宋体"/>
                <w:sz w:val="24"/>
              </w:rPr>
              <w:t>原型运行模式</w:t>
            </w:r>
          </w:p>
        </w:tc>
        <w:tc>
          <w:tcPr>
            <w:tcW w:w="7550" w:type="dxa"/>
            <w:tcBorders>
              <w:top w:val="nil"/>
              <w:left w:val="nil"/>
              <w:bottom w:val="nil"/>
              <w:right w:val="nil"/>
            </w:tcBorders>
            <w:tcMar>
              <w:top w:w="-1" w:type="dxa"/>
              <w:left w:w="-1" w:type="dxa"/>
              <w:bottom w:w="-1" w:type="dxa"/>
              <w:right w:w="-1" w:type="dxa"/>
            </w:tcMar>
          </w:tcPr>
          <w:p w14:paraId="050E1639" w14:textId="77777777" w:rsidR="00035316" w:rsidRDefault="00831B25">
            <w:pPr>
              <w:snapToGrid w:val="0"/>
              <w:rPr>
                <w:sz w:val="24"/>
              </w:rPr>
            </w:pPr>
            <w:r>
              <w:rPr>
                <w:rFonts w:ascii="宋体" w:hAnsi="宋体"/>
                <w:sz w:val="24"/>
              </w:rPr>
              <w:t>两方 2PC colocated localhost 原型链路，通信量来自同配置 fresh rerun 的 SPU LinkDetails 计数器</w:t>
            </w:r>
          </w:p>
        </w:tc>
      </w:tr>
      <w:tr w:rsidR="00035316" w14:paraId="6A524F85" w14:textId="77777777">
        <w:trPr>
          <w:tblHeader/>
          <w:jc w:val="center"/>
        </w:trPr>
        <w:tc>
          <w:tcPr>
            <w:tcW w:w="1270" w:type="dxa"/>
            <w:tcBorders>
              <w:top w:val="nil"/>
              <w:left w:val="nil"/>
              <w:bottom w:val="single" w:sz="12" w:space="0" w:color="auto"/>
              <w:right w:val="nil"/>
            </w:tcBorders>
            <w:tcMar>
              <w:top w:w="-1" w:type="dxa"/>
              <w:left w:w="-1" w:type="dxa"/>
              <w:bottom w:w="-1" w:type="dxa"/>
              <w:right w:w="-1" w:type="dxa"/>
            </w:tcMar>
          </w:tcPr>
          <w:p w14:paraId="62215F2D" w14:textId="77777777" w:rsidR="00035316" w:rsidRDefault="00831B25">
            <w:pPr>
              <w:snapToGrid w:val="0"/>
              <w:rPr>
                <w:rFonts w:ascii="宋体" w:hAnsi="宋体" w:hint="eastAsia"/>
                <w:sz w:val="24"/>
              </w:rPr>
            </w:pPr>
            <w:r>
              <w:rPr>
                <w:rFonts w:ascii="宋体" w:hAnsi="宋体" w:hint="eastAsia"/>
                <w:sz w:val="24"/>
              </w:rPr>
              <w:t>GPU</w:t>
            </w:r>
          </w:p>
        </w:tc>
        <w:tc>
          <w:tcPr>
            <w:tcW w:w="7550" w:type="dxa"/>
            <w:tcBorders>
              <w:top w:val="nil"/>
              <w:left w:val="nil"/>
              <w:bottom w:val="single" w:sz="12" w:space="0" w:color="auto"/>
              <w:right w:val="nil"/>
            </w:tcBorders>
            <w:tcMar>
              <w:top w:w="-1" w:type="dxa"/>
              <w:left w:w="-1" w:type="dxa"/>
              <w:bottom w:w="-1" w:type="dxa"/>
              <w:right w:w="-1" w:type="dxa"/>
            </w:tcMar>
          </w:tcPr>
          <w:p w14:paraId="354D1CB0" w14:textId="77777777" w:rsidR="00035316" w:rsidRDefault="00831B25">
            <w:pPr>
              <w:snapToGrid w:val="0"/>
              <w:rPr>
                <w:rFonts w:ascii="宋体" w:hAnsi="宋体" w:hint="eastAsia"/>
                <w:sz w:val="24"/>
              </w:rPr>
            </w:pPr>
            <w:r>
              <w:rPr>
                <w:rFonts w:ascii="宋体" w:hAnsi="宋体" w:hint="eastAsia"/>
                <w:sz w:val="24"/>
              </w:rPr>
              <w:t>服务器侧配备 4 张 NVIDIA GeForce RTX 3090 GPU，单卡显存 24576 MiB（约 24 GiB），驱动版本为 570.133.07，CUDA 版本为 12.8。</w:t>
            </w:r>
          </w:p>
        </w:tc>
      </w:tr>
    </w:tbl>
    <w:p w14:paraId="72C19B5F" w14:textId="77777777" w:rsidR="00035316" w:rsidRDefault="00831B25">
      <w:pPr>
        <w:rPr>
          <w:rFonts w:ascii="黑体" w:eastAsia="黑体" w:hAnsi="黑体" w:hint="eastAsia"/>
          <w:b/>
          <w:sz w:val="44"/>
        </w:rPr>
      </w:pPr>
      <w:r>
        <w:rPr>
          <w:rFonts w:ascii="黑体" w:eastAsia="黑体" w:hAnsi="黑体"/>
          <w:b/>
          <w:sz w:val="44"/>
        </w:rPr>
        <w:br w:type="page"/>
      </w:r>
    </w:p>
    <w:p w14:paraId="08728799" w14:textId="77777777" w:rsidR="00035316" w:rsidRDefault="00831B25">
      <w:pPr>
        <w:spacing w:line="360" w:lineRule="auto"/>
        <w:ind w:firstLineChars="200" w:firstLine="480"/>
        <w:rPr>
          <w:rFonts w:ascii="宋体" w:hAnsi="宋体" w:cs="宋体" w:hint="eastAsia"/>
          <w:sz w:val="24"/>
        </w:rPr>
      </w:pPr>
      <w:r>
        <w:rPr>
          <w:rFonts w:ascii="宋体" w:hAnsi="宋体"/>
          <w:sz w:val="24"/>
        </w:rPr>
        <w:t>需要说明的是，表 4 记录的是当前原型系统在统一软件栈和统一硬件条件下的实验基准，而不是医院生产环境的最终配置。安全推理时延同时受到协议轮次、矩阵规模、底层数值库、并发方式和网络条件影响；若脱离统一环境去比较动态主线、静态基线与外部相关工作，结论容易失真。因此，后续章节中出现的通信量、端到端时延和鲁棒性指标，均默认建立在本节给出的统一基准之上。</w:t>
      </w:r>
    </w:p>
    <w:p w14:paraId="2CC8A444" w14:textId="77777777" w:rsidR="00035316" w:rsidRDefault="00831B25">
      <w:pPr>
        <w:spacing w:line="360" w:lineRule="auto"/>
        <w:outlineLvl w:val="1"/>
        <w:rPr>
          <w:rFonts w:ascii="黑体" w:eastAsia="黑体" w:hAnsi="黑体" w:hint="eastAsia"/>
          <w:b/>
          <w:sz w:val="24"/>
        </w:rPr>
      </w:pPr>
      <w:bookmarkStart w:id="27" w:name="_Toc230989544"/>
      <w:r>
        <w:rPr>
          <w:rFonts w:ascii="黑体" w:eastAsia="黑体" w:hAnsi="黑体"/>
          <w:b/>
          <w:sz w:val="24"/>
        </w:rPr>
        <w:t>2.6 展示样例与真实部署框架</w:t>
      </w:r>
      <w:bookmarkEnd w:id="27"/>
    </w:p>
    <w:p w14:paraId="28529A93" w14:textId="77777777" w:rsidR="00035316" w:rsidRDefault="00831B25">
      <w:pPr>
        <w:spacing w:line="360" w:lineRule="auto"/>
        <w:ind w:firstLineChars="200" w:firstLine="480"/>
        <w:rPr>
          <w:rFonts w:ascii="宋体" w:hAnsi="宋体" w:cs="宋体" w:hint="eastAsia"/>
          <w:sz w:val="24"/>
        </w:rPr>
      </w:pPr>
      <w:r>
        <w:rPr>
          <w:rFonts w:ascii="宋体" w:hAnsi="宋体"/>
          <w:sz w:val="24"/>
        </w:rPr>
        <w:t>为区分原型演示与后续部署边界，本作品在工程实现中将系统形态划分为“本机展示样例”和“真实部署框架”两类。本机展示样例用于验证端到端流程：系统在一台机器上启动本地双节点安全处理器单元（Secure Processing Unit, SPU），由展示站前端完成图像选择、预处理与分片生成，后端完成协议校验、审计记录和密态前向计算，形成可运行、可追踪的闭环。</w:t>
      </w:r>
    </w:p>
    <w:p w14:paraId="0400B307" w14:textId="77777777" w:rsidR="00035316" w:rsidRDefault="00831B25">
      <w:pPr>
        <w:spacing w:line="360" w:lineRule="auto"/>
        <w:ind w:firstLineChars="200" w:firstLine="480"/>
        <w:rPr>
          <w:rFonts w:ascii="宋体" w:hAnsi="宋体" w:cs="宋体" w:hint="eastAsia"/>
          <w:sz w:val="24"/>
        </w:rPr>
      </w:pPr>
      <w:r>
        <w:rPr>
          <w:rFonts w:ascii="宋体" w:hAnsi="宋体"/>
          <w:sz w:val="24"/>
        </w:rPr>
        <w:t>真实部署框架面向医院侧与模型提供方分离部署。该框架保留了 public manifest、P1/P2 party manifest、单方 share 加载、远程 2PC 配置生成、医院侧/AI 侧/协调侧三类网关角色以及部署包生成脚本。医院侧负责原始影像接收、预处理与 P1 share 留存，AI 或模型提供方负责 P2 share 与模型 manifest 管理，协调侧负责公开任务状态、运行编排和最终可公开结果的返回。</w:t>
      </w:r>
    </w:p>
    <w:p w14:paraId="29E0BACF" w14:textId="77777777" w:rsidR="00802BF6" w:rsidRDefault="00D442AD">
      <w:pPr>
        <w:spacing w:line="360" w:lineRule="auto"/>
        <w:ind w:firstLine="480"/>
        <w:rPr>
          <w:rFonts w:ascii="宋体" w:hAnsi="宋体" w:hint="eastAsia"/>
          <w:sz w:val="24"/>
        </w:rPr>
      </w:pPr>
      <w:r>
        <w:rPr>
          <w:rFonts w:ascii="宋体" w:hAnsi="宋体"/>
        </w:rPr>
        <w:t>对应到当前仓库保留的正式代码入口，这一“真实部署框架”并非停留在概念说明层面，而已经具备三类可核验骨架：第一类是 split public manifest、P1/P2 party manifest 与 `--party-local-share-load`，用于把医院侧与模型提供方的私有 share 输入边界在运行参数层面显式拆开；第二类是 `render-deployment` 与 `start-party` 一类部署脚本，用于把单机原型重写为医院侧节点、AI 侧节点和协调侧可分别启动的远程 2PC 配置；第三类是 `showcase_api.split_gateway` 与 `tools/split_gateway_smoke.py` 提供的最小三方网关框架，用于验证医院图片入口、AI 侧 P2 share 接收和协调方异步任务编排是否能够独立成立。因而，本节所说的“真实部署框架”强调的是迁移基础已经具备，而不是声称生产化条件已经全部完成。</w:t>
      </w:r>
    </w:p>
    <w:p w14:paraId="2D6B5192" w14:textId="77777777" w:rsidR="00035316" w:rsidRDefault="00831B25">
      <w:pPr>
        <w:spacing w:line="360" w:lineRule="auto"/>
        <w:ind w:firstLineChars="200" w:firstLine="480"/>
        <w:rPr>
          <w:rFonts w:ascii="宋体" w:hAnsi="宋体" w:cs="宋体" w:hint="eastAsia"/>
          <w:sz w:val="24"/>
        </w:rPr>
      </w:pPr>
      <w:r>
        <w:rPr>
          <w:rFonts w:ascii="宋体" w:hAnsi="宋体"/>
          <w:sz w:val="24"/>
        </w:rPr>
        <w:t>二者对应同一安全推理思想下的不同交付层次：本机展示样例证明流程可运行、可审计、可复现；真实部署框架提供向两方部署迁移的接口、配置和脚本骨架。当前框架提供的是部署迁移基础，不直接覆盖生产环境中的医院 HIS/PACS 接入、机构身份认证、TLS/VPN、长期审计、任务队列、密钥管理和模型私有加载策略，相关内容需要在具体医院与模型提供方环境中按现场规范继续集成。</w:t>
      </w:r>
    </w:p>
    <w:p w14:paraId="092514A0" w14:textId="77777777" w:rsidR="00035316" w:rsidRDefault="00831B25">
      <w:pPr>
        <w:pStyle w:val="1"/>
        <w:jc w:val="center"/>
      </w:pPr>
      <w:bookmarkStart w:id="28" w:name="Transshield_TOC_chapter_3"/>
      <w:bookmarkStart w:id="29" w:name="_Toc230989545"/>
      <w:r>
        <w:rPr>
          <w:rFonts w:ascii="黑体" w:eastAsia="黑体" w:hAnsi="黑体"/>
        </w:rPr>
        <w:t>第三章 系统实现</w:t>
      </w:r>
      <w:bookmarkEnd w:id="28"/>
      <w:bookmarkEnd w:id="29"/>
    </w:p>
    <w:p w14:paraId="6E94F5A5" w14:textId="77777777" w:rsidR="00035316" w:rsidRDefault="00831B25">
      <w:pPr>
        <w:spacing w:line="360" w:lineRule="auto"/>
        <w:outlineLvl w:val="1"/>
      </w:pPr>
      <w:bookmarkStart w:id="30" w:name="Transshield_TOC_section_3_1"/>
      <w:bookmarkStart w:id="31" w:name="_Toc230989546"/>
      <w:r>
        <w:rPr>
          <w:rFonts w:ascii="黑体" w:eastAsia="黑体" w:hAnsi="黑体"/>
          <w:b/>
          <w:sz w:val="24"/>
        </w:rPr>
        <w:t>3.1 模型改造与两方安全推理链路</w:t>
      </w:r>
      <w:bookmarkEnd w:id="30"/>
      <w:bookmarkEnd w:id="31"/>
    </w:p>
    <w:p w14:paraId="63A0ABA2" w14:textId="77777777" w:rsidR="00035316" w:rsidRDefault="00831B25">
      <w:pPr>
        <w:spacing w:line="360" w:lineRule="auto"/>
        <w:ind w:firstLine="480"/>
      </w:pPr>
      <w:r>
        <w:rPr>
          <w:rFonts w:ascii="宋体" w:hAnsi="宋体"/>
          <w:sz w:val="24"/>
        </w:rPr>
        <w:t>模型实现遵循“明文训练、密态执行语义重写、双向隐私推理落地”三层结构。训练阶段保留 DynamicViT 的词元打分与样本级动态边界能力；部署阶段将删除式剪枝语义改写为固定图可执行的掩码化表达；推理阶段由 SPU 与 OpenBumbleBee 两方安全推理集成层承担密态执行，仅对外返回最终分类结果。该实现路径的目标不是复现一条完全等价的可变长明文执行图，而是在固定图安全执行约束下尽可能保留动态剪枝边界的判别价值。</w:t>
      </w:r>
    </w:p>
    <w:p w14:paraId="25E546E3" w14:textId="77777777" w:rsidR="009C5E3E" w:rsidRDefault="00C47836">
      <w:r>
        <w:rPr>
          <w:rFonts w:ascii="宋体" w:hAnsi="宋体"/>
        </w:rPr>
        <w:t>对应到训练主线，当前仓库保留的是以 DeiT-S 形状为骨架的 DynamicViT 变体：`main.py` 中将剪枝位置固定在第 3、6、9 个 stage，并按 `r, r^2, r^3` 的方式递减 token 保留率；学生模型与教师模型共同参与蒸馏损失计算，训练阶段还保留了近似注意力与不同激活族配置的可切换入口。报告在部署部分不重复展开全部训练超参数，但这一实现事实说明，本作品并非把一个静态 ViT 直接包裹进安全计算框架，而是从训练期开始就围绕“动态 token 保留如何迁移到部署侧”组织模型语义。</w:t>
      </w:r>
    </w:p>
    <w:p w14:paraId="67DD2E8E" w14:textId="77777777" w:rsidR="00035316" w:rsidRDefault="00831B25">
      <w:pPr>
        <w:outlineLvl w:val="2"/>
      </w:pPr>
      <w:bookmarkStart w:id="32" w:name="_Toc230989547"/>
      <w:r>
        <w:rPr>
          <w:rFonts w:ascii="黑体" w:eastAsia="黑体" w:hAnsi="黑体"/>
          <w:sz w:val="24"/>
        </w:rPr>
        <w:t>3.1.1 固定图安全化重写</w:t>
      </w:r>
      <w:bookmarkEnd w:id="32"/>
    </w:p>
    <w:p w14:paraId="2B4FF15A" w14:textId="77777777" w:rsidR="00035316" w:rsidRDefault="00831B25">
      <w:pPr>
        <w:spacing w:line="360" w:lineRule="auto"/>
        <w:ind w:firstLine="480"/>
      </w:pPr>
      <w:r>
        <w:rPr>
          <w:rFonts w:ascii="宋体" w:hAnsi="宋体"/>
          <w:sz w:val="24"/>
        </w:rPr>
        <w:t>对应到动态词元剪枝的核心计算关系，医疗动态安全剪枝链路不再直接删除词元，而是先确定当前 stage 的保留边界，再生成固定形状的 keep-mask，并据此完成后续安全选择。关键关系见式（3-1）至式（3-2e）：</w:t>
      </w:r>
    </w:p>
    <w:p w14:paraId="34EAD586" w14:textId="77777777" w:rsidR="00035316" w:rsidRDefault="00831B25">
      <w:pPr>
        <w:tabs>
          <w:tab w:val="center" w:pos="4536"/>
          <w:tab w:val="right" w:pos="8712"/>
        </w:tabs>
        <w:spacing w:before="40" w:after="60"/>
        <w:jc w:val="left"/>
      </w:pPr>
      <w:r>
        <w:tab/>
      </w:r>
      <m:oMath>
        <m:sSup>
          <m:sSupPr>
            <m:ctrlPr>
              <w:rPr>
                <w:rFonts w:ascii="Cambria Math" w:hAnsi="Cambria Math"/>
              </w:rPr>
            </m:ctrlPr>
          </m:sSupPr>
          <m:e>
            <m:r>
              <w:rPr>
                <w:rFonts w:ascii="Cambria Math" w:hAnsi="Cambria Math"/>
              </w:rPr>
              <m:t>τ</m:t>
            </m:r>
          </m:e>
          <m:sup>
            <m:d>
              <m:dPr>
                <m:ctrlPr>
                  <w:rPr>
                    <w:rFonts w:ascii="Cambria Math" w:hAnsi="Cambria Math"/>
                  </w:rPr>
                </m:ctrlPr>
              </m:dPr>
              <m:e>
                <m:r>
                  <w:rPr>
                    <w:rFonts w:ascii="Cambria Math" w:hAnsi="Cambria Math"/>
                  </w:rPr>
                  <m:t>l</m:t>
                </m:r>
              </m:e>
            </m:d>
          </m:sup>
        </m:sSup>
        <m:r>
          <m:rPr>
            <m:sty m:val="p"/>
          </m:rPr>
          <w:rPr>
            <w:rFonts w:ascii="Cambria Math" w:hAnsi="Cambria Math"/>
          </w:rPr>
          <m:t>=TopKBoundary</m:t>
        </m:r>
        <m:d>
          <m:dPr>
            <m:ctrlPr>
              <w:rPr>
                <w:rFonts w:ascii="Cambria Math" w:hAnsi="Cambria Math"/>
              </w:rPr>
            </m:ctrlPr>
          </m:dPr>
          <m:e>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l</m:t>
                    </m:r>
                  </m:e>
                </m:d>
              </m:sup>
            </m:sSup>
            <m:r>
              <m:rPr>
                <m:sty m:val="p"/>
              </m:rPr>
              <w:rPr>
                <w:rFonts w:ascii="Cambria Math" w:hAnsi="Cambria Math"/>
              </w:rPr>
              <m:t>,</m:t>
            </m:r>
            <m:sSup>
              <m:sSupPr>
                <m:ctrlPr>
                  <w:rPr>
                    <w:rFonts w:ascii="Cambria Math" w:hAnsi="Cambria Math"/>
                  </w:rPr>
                </m:ctrlPr>
              </m:sSupPr>
              <m:e>
                <m:r>
                  <w:rPr>
                    <w:rFonts w:ascii="Cambria Math" w:hAnsi="Cambria Math"/>
                  </w:rPr>
                  <m:t>K</m:t>
                </m:r>
              </m:e>
              <m:sup>
                <m:d>
                  <m:dPr>
                    <m:ctrlPr>
                      <w:rPr>
                        <w:rFonts w:ascii="Cambria Math" w:hAnsi="Cambria Math"/>
                      </w:rPr>
                    </m:ctrlPr>
                  </m:dPr>
                  <m:e>
                    <m:r>
                      <w:rPr>
                        <w:rFonts w:ascii="Cambria Math" w:hAnsi="Cambria Math"/>
                      </w:rPr>
                      <m:t>l</m:t>
                    </m:r>
                  </m:e>
                </m:d>
              </m:sup>
            </m:sSup>
          </m:e>
        </m:d>
        <m:r>
          <m:rPr>
            <m:sty m:val="p"/>
          </m:rP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=1</m:t>
        </m:r>
        <m:d>
          <m:dPr>
            <m:begChr m:val="["/>
            <m:endChr m:val="]"/>
            <m:ctrlPr>
              <w:rPr>
                <w:rFonts w:ascii="Cambria Math" w:hAnsi="Cambria Math"/>
              </w:rPr>
            </m:ctrlPr>
          </m:dPr>
          <m:e>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τ</m:t>
                </m:r>
              </m:e>
              <m:sup>
                <m:d>
                  <m:dPr>
                    <m:ctrlPr>
                      <w:rPr>
                        <w:rFonts w:ascii="Cambria Math" w:hAnsi="Cambria Math"/>
                      </w:rPr>
                    </m:ctrlPr>
                  </m:dPr>
                  <m:e>
                    <m:r>
                      <w:rPr>
                        <w:rFonts w:ascii="Cambria Math" w:hAnsi="Cambria Math"/>
                      </w:rPr>
                      <m:t>l</m:t>
                    </m:r>
                  </m:e>
                </m:d>
              </m:sup>
            </m:sSup>
          </m:e>
        </m:d>
      </m:oMath>
      <w:r>
        <w:rPr>
          <w:rFonts w:eastAsia="Times New Roman"/>
        </w:rPr>
        <w:tab/>
        <w:t>(3-1)</w:t>
      </w:r>
    </w:p>
    <w:p w14:paraId="300E48A0" w14:textId="77777777" w:rsidR="00035316" w:rsidRDefault="00831B25">
      <w:pPr>
        <w:tabs>
          <w:tab w:val="center" w:pos="4536"/>
          <w:tab w:val="right" w:pos="8712"/>
        </w:tabs>
        <w:spacing w:before="40" w:after="60"/>
        <w:jc w:val="left"/>
      </w:pPr>
      <w:r>
        <w:tab/>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e>
            </m:d>
          </m:sup>
        </m:sSubSup>
      </m:oMath>
      <w:r>
        <w:rPr>
          <w:rFonts w:eastAsia="Times New Roman"/>
        </w:rPr>
        <w:tab/>
        <w:t>(3-2)</w:t>
      </w:r>
    </w:p>
    <w:p w14:paraId="2F04FEE3" w14:textId="77777777" w:rsidR="00035316" w:rsidRDefault="00831B25">
      <w:pPr>
        <w:tabs>
          <w:tab w:val="center" w:pos="4536"/>
          <w:tab w:val="right" w:pos="8712"/>
        </w:tabs>
        <w:spacing w:before="40" w:after="60"/>
        <w:jc w:val="left"/>
      </w:pPr>
      <w:r>
        <w:tab/>
      </w:r>
      <m:oMath>
        <m:sSubSup>
          <m:sSubSupPr>
            <m:ctrlPr>
              <w:rPr>
                <w:rFonts w:ascii="Cambria Math" w:hAnsi="Cambria Math"/>
              </w:rPr>
            </m:ctrlPr>
          </m:sSubSupPr>
          <m:e>
            <m:r>
              <w:rPr>
                <w:rFonts w:ascii="Cambria Math" w:hAnsi="Cambria Math"/>
              </w:rPr>
              <m:t>e</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-ε·</m:t>
        </m:r>
        <m:r>
          <w:rPr>
            <w:rFonts w:ascii="Cambria Math" w:hAnsi="Cambria Math"/>
          </w:rPr>
          <m:t>i</m:t>
        </m:r>
      </m:oMath>
      <w:r>
        <w:rPr>
          <w:rFonts w:eastAsia="Times New Roman"/>
        </w:rPr>
        <w:tab/>
        <w:t>(3-2a)</w:t>
      </w:r>
    </w:p>
    <w:p w14:paraId="6DB31F5B" w14:textId="77777777" w:rsidR="00035316" w:rsidRDefault="00831B25">
      <w:pPr>
        <w:tabs>
          <w:tab w:val="center" w:pos="4536"/>
          <w:tab w:val="right" w:pos="8712"/>
        </w:tabs>
        <w:spacing w:before="40" w:after="60"/>
        <w:jc w:val="left"/>
      </w:pPr>
      <w:r>
        <w:tab/>
      </w:r>
      <m:oMath>
        <m:sSup>
          <m:sSupPr>
            <m:ctrlPr>
              <w:rPr>
                <w:rFonts w:ascii="Cambria Math" w:hAnsi="Cambria Math"/>
              </w:rPr>
            </m:ctrlPr>
          </m:sSupPr>
          <m:e>
            <m:r>
              <w:rPr>
                <w:rFonts w:ascii="Cambria Math" w:hAnsi="Cambria Math"/>
              </w:rPr>
              <m:t>π</m:t>
            </m:r>
          </m:e>
          <m:sup>
            <m:d>
              <m:dPr>
                <m:ctrlPr>
                  <w:rPr>
                    <w:rFonts w:ascii="Cambria Math" w:hAnsi="Cambria Math"/>
                  </w:rPr>
                </m:ctrlPr>
              </m:dPr>
              <m:e>
                <m:r>
                  <w:rPr>
                    <w:rFonts w:ascii="Cambria Math" w:hAnsi="Cambria Math"/>
                  </w:rPr>
                  <m:t>l</m:t>
                </m:r>
              </m:e>
            </m:d>
          </m:sup>
        </m:sSup>
        <m:r>
          <m:rPr>
            <m:sty m:val="p"/>
          </m:rPr>
          <w:rPr>
            <w:rFonts w:ascii="Cambria Math" w:hAnsi="Cambria Math"/>
          </w:rPr>
          <m:t>=BitonicSortDesc</m:t>
        </m:r>
        <m:d>
          <m:dPr>
            <m:ctrlPr>
              <w:rPr>
                <w:rFonts w:ascii="Cambria Math" w:hAnsi="Cambria Math"/>
              </w:rPr>
            </m:ctrlPr>
          </m:dPr>
          <m:e>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l</m:t>
                    </m:r>
                  </m:e>
                </m:d>
              </m:sup>
            </m:sSup>
          </m:e>
        </m:d>
        <m:r>
          <m:rPr>
            <m:sty m:val="p"/>
          </m:rP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π</m:t>
                    </m:r>
                  </m:e>
                  <m:sup>
                    <m:d>
                      <m:dPr>
                        <m:ctrlPr>
                          <w:rPr>
                            <w:rFonts w:ascii="Cambria Math" w:hAnsi="Cambria Math"/>
                          </w:rPr>
                        </m:ctrlPr>
                      </m:dPr>
                      <m:e>
                        <m:r>
                          <w:rPr>
                            <w:rFonts w:ascii="Cambria Math" w:hAnsi="Cambria Math"/>
                          </w:rPr>
                          <m:t>l</m:t>
                        </m:r>
                      </m:e>
                    </m:d>
                  </m:sup>
                </m:sSup>
              </m:e>
              <m:sub>
                <m:r>
                  <m:rPr>
                    <m:sty m:val="p"/>
                  </m:rPr>
                  <w:rPr>
                    <w:rFonts w:ascii="Cambria Math" w:hAnsi="Cambria Math"/>
                  </w:rPr>
                  <m:t>1:</m:t>
                </m:r>
                <m:sSup>
                  <m:sSupPr>
                    <m:ctrlPr>
                      <w:rPr>
                        <w:rFonts w:ascii="Cambria Math" w:hAnsi="Cambria Math"/>
                      </w:rPr>
                    </m:ctrlPr>
                  </m:sSupPr>
                  <m:e>
                    <m:r>
                      <w:rPr>
                        <w:rFonts w:ascii="Cambria Math" w:hAnsi="Cambria Math"/>
                      </w:rPr>
                      <m:t>K</m:t>
                    </m:r>
                  </m:e>
                  <m:sup>
                    <m:d>
                      <m:dPr>
                        <m:ctrlPr>
                          <w:rPr>
                            <w:rFonts w:ascii="Cambria Math" w:hAnsi="Cambria Math"/>
                          </w:rPr>
                        </m:ctrlPr>
                      </m:dPr>
                      <m:e>
                        <m:r>
                          <w:rPr>
                            <w:rFonts w:ascii="Cambria Math" w:hAnsi="Cambria Math"/>
                          </w:rPr>
                          <m:t>l</m:t>
                        </m:r>
                      </m:e>
                    </m:d>
                  </m:sup>
                </m:sSup>
              </m:sub>
            </m:sSub>
          </m:e>
        </m:d>
      </m:oMath>
      <w:r>
        <w:rPr>
          <w:rFonts w:eastAsia="Times New Roman"/>
        </w:rPr>
        <w:tab/>
        <w:t>(3-2b)</w:t>
      </w:r>
    </w:p>
    <w:p w14:paraId="0BC6DE8C" w14:textId="77777777" w:rsidR="00035316" w:rsidRDefault="00831B25">
      <w:pPr>
        <w:spacing w:line="360" w:lineRule="auto"/>
        <w:ind w:firstLine="480"/>
      </w:pPr>
      <w:r>
        <w:rPr>
          <w:rFonts w:ascii="宋体" w:hAnsi="宋体"/>
          <w:sz w:val="24"/>
        </w:rPr>
        <w:t>其中，s^(l) 表示第 l 个剪枝 stage 的词元得分向量，K^(l) 表示该 stage 允许保留的词元数，tau^(l) 表示由排序边界导出的保留阈值，e_i^(l) 表示在分数中注入索引微扰后的编码键，pi^(l) 表示经编码键双调排序得到的索引排列，m_i^(l) 表示第 i 个词元的保留掩码。相应地，报告中的 F_less 可理解为安全比较原语，F_mux 可理解为安全选择原语，二者共同承担“判定是否保留”与“对保留边界执行固定图选择”的职责。</w:t>
      </w:r>
      <m:oMath>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l</m:t>
                </m:r>
              </m:e>
            </m:d>
          </m:sup>
        </m:sSup>
        <m:sSup>
          <m:sSupPr>
            <m:ctrlPr>
              <w:rPr>
                <w:rFonts w:ascii="Cambria Math" w:hAnsi="Cambria Math"/>
              </w:rPr>
            </m:ctrlPr>
          </m:sSupPr>
          <m:e>
            <m:r>
              <w:rPr>
                <w:rFonts w:ascii="Cambria Math" w:hAnsi="Cambria Math"/>
              </w:rPr>
              <m:t>K</m:t>
            </m:r>
          </m:e>
          <m:sup>
            <m:d>
              <m:dPr>
                <m:ctrlPr>
                  <w:rPr>
                    <w:rFonts w:ascii="Cambria Math" w:hAnsi="Cambria Math"/>
                  </w:rPr>
                </m:ctrlPr>
              </m:dPr>
              <m:e>
                <m:r>
                  <w:rPr>
                    <w:rFonts w:ascii="Cambria Math" w:hAnsi="Cambria Math"/>
                  </w:rPr>
                  <m:t>l</m:t>
                </m:r>
              </m:e>
            </m:d>
          </m:sup>
        </m:sSup>
        <m:sSup>
          <m:sSupPr>
            <m:ctrlPr>
              <w:rPr>
                <w:rFonts w:ascii="Cambria Math" w:hAnsi="Cambria Math"/>
              </w:rPr>
            </m:ctrlPr>
          </m:sSupPr>
          <m:e>
            <m:r>
              <w:rPr>
                <w:rFonts w:ascii="Cambria Math" w:hAnsi="Cambria Math"/>
              </w:rPr>
              <m:t>τ</m:t>
            </m:r>
          </m:e>
          <m:sup>
            <m:d>
              <m:dPr>
                <m:ctrlPr>
                  <w:rPr>
                    <w:rFonts w:ascii="Cambria Math" w:hAnsi="Cambria Math"/>
                  </w:rPr>
                </m:ctrlPr>
              </m:dPr>
              <m:e>
                <m:r>
                  <w:rPr>
                    <w:rFonts w:ascii="Cambria Math" w:hAnsi="Cambria Math"/>
                  </w:rPr>
                  <m:t>l</m:t>
                </m:r>
              </m:e>
            </m:d>
          </m:sup>
        </m:sSup>
        <m:sSubSup>
          <m:sSubSupPr>
            <m:ctrlPr>
              <w:rPr>
                <w:rFonts w:ascii="Cambria Math" w:hAnsi="Cambria Math"/>
              </w:rPr>
            </m:ctrlPr>
          </m:sSubSupPr>
          <m:e>
            <m:r>
              <w:rPr>
                <w:rFonts w:ascii="Cambria Math" w:hAnsi="Cambria Math"/>
              </w:rPr>
              <m:t>e</m:t>
            </m:r>
          </m:e>
          <m:sub>
            <m:r>
              <w:rPr>
                <w:rFonts w:ascii="Cambria Math" w:hAnsi="Cambria Math"/>
              </w:rPr>
              <m:t>i</m:t>
            </m:r>
          </m:sub>
          <m:sup>
            <m:d>
              <m:dPr>
                <m:ctrlPr>
                  <w:rPr>
                    <w:rFonts w:ascii="Cambria Math" w:hAnsi="Cambria Math"/>
                  </w:rPr>
                </m:ctrlPr>
              </m:dPr>
              <m:e>
                <m:r>
                  <w:rPr>
                    <w:rFonts w:ascii="Cambria Math" w:hAnsi="Cambria Math"/>
                  </w:rPr>
                  <m:t>l</m:t>
                </m:r>
              </m:e>
            </m:d>
          </m:sup>
        </m:sSubSup>
        <m:sSup>
          <m:sSupPr>
            <m:ctrlPr>
              <w:rPr>
                <w:rFonts w:ascii="Cambria Math" w:hAnsi="Cambria Math"/>
              </w:rPr>
            </m:ctrlPr>
          </m:sSupPr>
          <m:e>
            <m:r>
              <w:rPr>
                <w:rFonts w:ascii="Cambria Math" w:hAnsi="Cambria Math"/>
              </w:rPr>
              <m:t>π</m:t>
            </m:r>
          </m:e>
          <m:sup>
            <m:d>
              <m:dPr>
                <m:ctrlPr>
                  <w:rPr>
                    <w:rFonts w:ascii="Cambria Math" w:hAnsi="Cambria Math"/>
                  </w:rPr>
                </m:ctrlPr>
              </m:dPr>
              <m:e>
                <m:r>
                  <w:rPr>
                    <w:rFonts w:ascii="Cambria Math" w:hAnsi="Cambria Math"/>
                  </w:rPr>
                  <m:t>l</m:t>
                </m:r>
              </m:e>
            </m:d>
          </m:sup>
        </m:sSup>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F</m:t>
            </m:r>
          </m:e>
          <m:sub>
            <m:r>
              <m:rPr>
                <m:sty m:val="p"/>
              </m:rPr>
              <w:rPr>
                <w:rFonts w:ascii="Cambria Math" w:hAnsi="Cambria Math"/>
              </w:rPr>
              <m:t>mux</m:t>
            </m:r>
          </m:sub>
        </m:sSub>
        <m:sSub>
          <m:sSubPr>
            <m:ctrlPr>
              <w:rPr>
                <w:rFonts w:ascii="Cambria Math" w:hAnsi="Cambria Math"/>
              </w:rPr>
            </m:ctrlPr>
          </m:sSubPr>
          <m:e>
            <m:r>
              <w:rPr>
                <w:rFonts w:ascii="Cambria Math" w:hAnsi="Cambria Math"/>
              </w:rPr>
              <m:t>F</m:t>
            </m:r>
          </m:e>
          <m:sub>
            <m:r>
              <m:rPr>
                <m:sty m:val="p"/>
              </m:rPr>
              <w:rPr>
                <w:rFonts w:ascii="Cambria Math" w:hAnsi="Cambria Math"/>
              </w:rPr>
              <m:t>less</m:t>
            </m:r>
          </m:sub>
        </m:sSub>
      </m:oMath>
    </w:p>
    <w:p w14:paraId="67545755" w14:textId="77777777" w:rsidR="00035316" w:rsidRDefault="00831B25">
      <w:pPr>
        <w:spacing w:line="360" w:lineRule="auto"/>
        <w:ind w:firstLine="480"/>
      </w:pPr>
      <w:r>
        <w:rPr>
          <w:rFonts w:ascii="宋体" w:hAnsi="宋体"/>
          <w:sz w:val="24"/>
        </w:rPr>
        <w:t>式（3-2a）与式（3-2b）对应当前密态执行中的并列分数稳定化策略：先通过编码键将词元得分与索引绑定，再在固定比较网络中执行按索引跟踪的双调排序，最后直接从排序结果的前</w:t>
      </w:r>
      <m:oMath>
        <m:r>
          <w:rPr>
            <w:rFonts w:ascii="Cambria Math" w:hAnsi="Cambria Math"/>
          </w:rPr>
          <m:t>K</m:t>
        </m:r>
      </m:oMath>
      <w:r>
        <w:rPr>
          <w:rFonts w:ascii="宋体" w:hAnsi="宋体"/>
          <w:sz w:val="24"/>
        </w:rPr>
        <w:t>个索引构造 keep-mask。这样做避免了“先排序求阈值、再对全体词元执行一次阈值比较”的二次密态比较开销，同时保证并列分数情况下的保留决策具有确定性。</w:t>
      </w:r>
    </w:p>
    <w:p w14:paraId="29A733BE" w14:textId="77777777" w:rsidR="00035316" w:rsidRDefault="00831B25">
      <w:pPr>
        <w:tabs>
          <w:tab w:val="center" w:pos="4536"/>
          <w:tab w:val="right" w:pos="8712"/>
        </w:tabs>
        <w:spacing w:before="40" w:after="60"/>
        <w:jc w:val="left"/>
      </w:pPr>
      <w:r>
        <w:tab/>
      </w:r>
      <m:oMath>
        <m:sSup>
          <m:sSupPr>
            <m:ctrlPr>
              <w:rPr>
                <w:rFonts w:ascii="Cambria Math" w:hAnsi="Cambria Math"/>
              </w:rPr>
            </m:ctrlPr>
          </m:sSupPr>
          <m:e>
            <m:r>
              <w:rPr>
                <w:rFonts w:ascii="Cambria Math" w:hAnsi="Cambria Math"/>
              </w:rPr>
              <m:t>K</m:t>
            </m:r>
          </m:e>
          <m:sup>
            <m:d>
              <m:dPr>
                <m:ctrlPr>
                  <w:rPr>
                    <w:rFonts w:ascii="Cambria Math" w:hAnsi="Cambria Math"/>
                  </w:rPr>
                </m:ctrlPr>
              </m:dPr>
              <m:e>
                <m:r>
                  <w:rPr>
                    <w:rFonts w:ascii="Cambria Math" w:hAnsi="Cambria Math"/>
                  </w:rPr>
                  <m:t>l</m:t>
                </m:r>
              </m:e>
            </m:d>
          </m:sup>
        </m:sSup>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ρ</m:t>
                </m:r>
              </m:e>
              <m:sup>
                <m:d>
                  <m:dPr>
                    <m:ctrlPr>
                      <w:rPr>
                        <w:rFonts w:ascii="Cambria Math" w:hAnsi="Cambria Math"/>
                      </w:rPr>
                    </m:ctrlPr>
                  </m:dPr>
                  <m:e>
                    <m:r>
                      <w:rPr>
                        <w:rFonts w:ascii="Cambria Math" w:hAnsi="Cambria Math"/>
                      </w:rPr>
                      <m:t>l</m:t>
                    </m:r>
                  </m:e>
                </m:d>
              </m:sup>
            </m:s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l</m:t>
                    </m:r>
                  </m:e>
                </m:d>
              </m:sup>
            </m:sSup>
          </m:e>
        </m:d>
        <m:r>
          <m:rPr>
            <m:sty m:val="p"/>
          </m:rPr>
          <w:rPr>
            <w:rFonts w:ascii="Cambria Math" w:hAnsi="Cambria Math"/>
          </w:rPr>
          <m:t xml:space="preserve">, </m:t>
        </m:r>
        <m:sSubSup>
          <m:sSubSupPr>
            <m:ctrlPr>
              <w:rPr>
                <w:rFonts w:ascii="Cambria Math" w:hAnsi="Cambria Math"/>
              </w:rPr>
            </m:ctrlPr>
          </m:sSubSupPr>
          <m:e>
            <m:r>
              <w:rPr>
                <w:rFonts w:ascii="Cambria Math" w:hAnsi="Cambria Math"/>
              </w:rPr>
              <m:t>N</m:t>
            </m:r>
          </m:e>
          <m:sub>
            <m:r>
              <m:rPr>
                <m:sty m:val="p"/>
              </m:rPr>
              <w:rPr>
                <w:rFonts w:ascii="Cambria Math" w:hAnsi="Cambria Math"/>
              </w:rPr>
              <m:t>out</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p>
              <m:sSupPr>
                <m:ctrlPr>
                  <w:rPr>
                    <w:rFonts w:ascii="Cambria Math" w:hAnsi="Cambria Math"/>
                  </w:rPr>
                </m:ctrlPr>
              </m:sSupPr>
              <m:e>
                <m:r>
                  <w:rPr>
                    <w:rFonts w:ascii="Cambria Math" w:hAnsi="Cambria Math"/>
                  </w:rPr>
                  <m:t>N</m:t>
                </m:r>
              </m:e>
              <m:sup>
                <m:d>
                  <m:dPr>
                    <m:ctrlPr>
                      <w:rPr>
                        <w:rFonts w:ascii="Cambria Math" w:hAnsi="Cambria Math"/>
                      </w:rPr>
                    </m:ctrlPr>
                  </m:dPr>
                  <m:e>
                    <m:r>
                      <w:rPr>
                        <w:rFonts w:ascii="Cambria Math" w:hAnsi="Cambria Math"/>
                      </w:rPr>
                      <m:t>l</m:t>
                    </m:r>
                  </m:e>
                </m:d>
              </m:sup>
            </m:sSup>
          </m:sup>
          <m:e>
            <m:sSubSup>
              <m:sSubSupPr>
                <m:ctrlPr>
                  <w:rPr>
                    <w:rFonts w:ascii="Cambria Math" w:hAnsi="Cambria Math"/>
                  </w:rPr>
                </m:ctrlPr>
              </m:sSubSupPr>
              <m:e>
                <m:r>
                  <w:rPr>
                    <w:rFonts w:ascii="Cambria Math" w:hAnsi="Cambria Math"/>
                  </w:rPr>
                  <m:t>m</m:t>
                </m:r>
              </m:e>
              <m:sub>
                <m:r>
                  <w:rPr>
                    <w:rFonts w:ascii="Cambria Math" w:hAnsi="Cambria Math"/>
                  </w:rPr>
                  <m:t>i</m:t>
                </m:r>
              </m:sub>
              <m:sup>
                <m:d>
                  <m:dPr>
                    <m:ctrlPr>
                      <w:rPr>
                        <w:rFonts w:ascii="Cambria Math" w:hAnsi="Cambria Math"/>
                      </w:rPr>
                    </m:ctrlPr>
                  </m:dPr>
                  <m:e>
                    <m:r>
                      <w:rPr>
                        <w:rFonts w:ascii="Cambria Math" w:hAnsi="Cambria Math"/>
                      </w:rPr>
                      <m:t>l</m:t>
                    </m:r>
                  </m:e>
                </m:d>
              </m:sup>
            </m:sSubSup>
          </m:e>
        </m:nary>
      </m:oMath>
      <w:r>
        <w:rPr>
          <w:rFonts w:eastAsia="Times New Roman"/>
        </w:rPr>
        <w:tab/>
        <w:t>(3-2c)</w:t>
      </w:r>
    </w:p>
    <w:p w14:paraId="0E78CE07" w14:textId="77777777" w:rsidR="00035316" w:rsidRDefault="00831B25">
      <w:pPr>
        <w:tabs>
          <w:tab w:val="center" w:pos="4536"/>
          <w:tab w:val="right" w:pos="8712"/>
        </w:tabs>
        <w:spacing w:before="40" w:after="60"/>
        <w:jc w:val="left"/>
      </w:pPr>
      <w:r>
        <w:tab/>
      </w:r>
      <m:oMath>
        <m:sSubSup>
          <m:sSubSupPr>
            <m:ctrlPr>
              <w:rPr>
                <w:rFonts w:ascii="Cambria Math" w:hAnsi="Cambria Math"/>
              </w:rPr>
            </m:ctrlPr>
          </m:sSubSupPr>
          <m:e>
            <m:r>
              <w:rPr>
                <w:rFonts w:ascii="Cambria Math" w:hAnsi="Cambria Math"/>
              </w:rPr>
              <m:t>b</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=F_less</m:t>
        </m:r>
        <m:d>
          <m:dPr>
            <m:ctrlPr>
              <w:rPr>
                <w:rFonts w:ascii="Cambria Math" w:hAnsi="Cambria Math"/>
              </w:rPr>
            </m:ctrlPr>
          </m:dPr>
          <m:e>
            <m:sSup>
              <m:sSupPr>
                <m:ctrlPr>
                  <w:rPr>
                    <w:rFonts w:ascii="Cambria Math" w:hAnsi="Cambria Math"/>
                  </w:rPr>
                </m:ctrlPr>
              </m:sSupPr>
              <m:e>
                <m:r>
                  <w:rPr>
                    <w:rFonts w:ascii="Cambria Math" w:hAnsi="Cambria Math"/>
                  </w:rPr>
                  <m:t>τ</m:t>
                </m:r>
              </m:e>
              <m:sup>
                <m:d>
                  <m:dPr>
                    <m:ctrlPr>
                      <w:rPr>
                        <w:rFonts w:ascii="Cambria Math" w:hAnsi="Cambria Math"/>
                      </w:rPr>
                    </m:ctrlPr>
                  </m:dPr>
                  <m:e>
                    <m:r>
                      <w:rPr>
                        <w:rFonts w:ascii="Cambria Math" w:hAnsi="Cambria Math"/>
                      </w:rPr>
                      <m:t>l</m:t>
                    </m:r>
                  </m:e>
                </m:d>
              </m:sup>
            </m:sSup>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d>
                  <m:dPr>
                    <m:ctrlPr>
                      <w:rPr>
                        <w:rFonts w:ascii="Cambria Math" w:hAnsi="Cambria Math"/>
                      </w:rPr>
                    </m:ctrlPr>
                  </m:dPr>
                  <m:e>
                    <m:r>
                      <w:rPr>
                        <w:rFonts w:ascii="Cambria Math" w:hAnsi="Cambria Math"/>
                      </w:rPr>
                      <m:t>l</m:t>
                    </m:r>
                  </m:e>
                </m:d>
              </m:sup>
            </m:sSubSup>
          </m:e>
        </m:d>
      </m:oMath>
      <w:r>
        <w:rPr>
          <w:rFonts w:eastAsia="Times New Roman"/>
        </w:rPr>
        <w:tab/>
        <w:t>(3-2d)</w:t>
      </w:r>
    </w:p>
    <w:p w14:paraId="4B849964" w14:textId="77777777" w:rsidR="00035316" w:rsidRDefault="00831B25">
      <w:pPr>
        <w:tabs>
          <w:tab w:val="center" w:pos="4536"/>
          <w:tab w:val="right" w:pos="8712"/>
        </w:tabs>
        <w:spacing w:before="40" w:after="60"/>
        <w:jc w:val="left"/>
      </w:pPr>
      <w:r>
        <w:tab/>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=F_mux</m:t>
        </m:r>
        <m:d>
          <m:dPr>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d>
                  <m:dPr>
                    <m:ctrlPr>
                      <w:rPr>
                        <w:rFonts w:ascii="Cambria Math" w:hAnsi="Cambria Math"/>
                      </w:rPr>
                    </m:ctrlPr>
                  </m:dPr>
                  <m:e>
                    <m:r>
                      <w:rPr>
                        <w:rFonts w:ascii="Cambria Math" w:hAnsi="Cambria Math"/>
                      </w:rPr>
                      <m:t>l</m:t>
                    </m:r>
                  </m:e>
                </m:d>
              </m:sup>
            </m:sSubSup>
            <m:r>
              <m:rPr>
                <m:sty m:val="p"/>
              </m:rPr>
              <w:rPr>
                <w:rFonts w:ascii="Cambria Math" w:hAnsi="Cambria Math"/>
              </w:rPr>
              <m:t>,0</m:t>
            </m:r>
          </m:e>
        </m:d>
      </m:oMath>
      <w:r>
        <w:rPr>
          <w:rFonts w:eastAsia="Times New Roman"/>
        </w:rPr>
        <w:tab/>
        <w:t>(3-2e)</w:t>
      </w:r>
    </w:p>
    <w:p w14:paraId="38FD69AB" w14:textId="77777777" w:rsidR="00035316" w:rsidRDefault="00831B25">
      <w:pPr>
        <w:spacing w:line="360" w:lineRule="auto"/>
        <w:ind w:firstLine="480"/>
        <w:rPr>
          <w:rFonts w:ascii="宋体" w:hAnsi="宋体" w:hint="eastAsia"/>
          <w:sz w:val="24"/>
        </w:rPr>
      </w:pPr>
      <w:r>
        <w:rPr>
          <w:rFonts w:ascii="宋体" w:hAnsi="宋体"/>
          <w:sz w:val="24"/>
        </w:rPr>
        <w:t>式（3-2c）进一步给出每个剪枝 stage 的保留预算约束；式（3-2d）与式（3-2e）则把“比较边界”和“执行选择”拆分为两类更适合安全计算的基础操作。其中，rho^(l) 表示第 l 个阶段的目标保留率，N^(l) 表示该阶段输入词元数，N_out^(l) 表示 keep-mask 作用后的实际保留词元数，b_i^(l) 表示第 i 个词元在该阶段的安全比较结果。这样写的目的，不是追求形式变化，而是把原始依赖明文控制流的剪枝动作重组为一组可在固定图中连续执行的张量运算。</w:t>
      </w:r>
      <m:oMath>
        <m:sSub>
          <m:sSubPr>
            <m:ctrlPr>
              <w:rPr>
                <w:rFonts w:ascii="Cambria Math" w:hAnsi="Cambria Math"/>
              </w:rPr>
            </m:ctrlPr>
          </m:sSubPr>
          <m:e>
            <m:r>
              <w:rPr>
                <w:rFonts w:ascii="Cambria Math" w:hAnsi="Cambria Math"/>
              </w:rPr>
              <m:t>F</m:t>
            </m:r>
          </m:e>
          <m:sub>
            <m:r>
              <m:rPr>
                <m:sty m:val="p"/>
              </m:rPr>
              <w:rPr>
                <w:rFonts w:ascii="Cambria Math" w:hAnsi="Cambria Math"/>
              </w:rPr>
              <m:t>less</m:t>
            </m:r>
          </m:sub>
        </m:sSub>
        <m:sSub>
          <m:sSubPr>
            <m:ctrlPr>
              <w:rPr>
                <w:rFonts w:ascii="Cambria Math" w:hAnsi="Cambria Math"/>
              </w:rPr>
            </m:ctrlPr>
          </m:sSubPr>
          <m:e>
            <m:r>
              <w:rPr>
                <w:rFonts w:ascii="Cambria Math" w:hAnsi="Cambria Math"/>
              </w:rPr>
              <m:t>F</m:t>
            </m:r>
          </m:e>
          <m:sub>
            <m:r>
              <m:rPr>
                <m:sty m:val="p"/>
              </m:rPr>
              <w:rPr>
                <w:rFonts w:ascii="Cambria Math" w:hAnsi="Cambria Math"/>
              </w:rPr>
              <m:t>mux</m:t>
            </m:r>
          </m:sub>
        </m:sSub>
        <m:sSup>
          <m:sSupPr>
            <m:ctrlPr>
              <w:rPr>
                <w:rFonts w:ascii="Cambria Math" w:hAnsi="Cambria Math"/>
              </w:rPr>
            </m:ctrlPr>
          </m:sSupPr>
          <m:e>
            <m:r>
              <w:rPr>
                <w:rFonts w:ascii="Cambria Math" w:hAnsi="Cambria Math"/>
              </w:rPr>
              <m:t>ρ</m:t>
            </m:r>
          </m:e>
          <m:sup>
            <m:r>
              <w:rPr>
                <w:rFonts w:ascii="Cambria Math" w:hAnsi="Cambria Math"/>
              </w:rPr>
              <m:t>l</m:t>
            </m:r>
          </m:sup>
        </m:sSup>
        <m:sSup>
          <m:sSupPr>
            <m:ctrlPr>
              <w:rPr>
                <w:rFonts w:ascii="Cambria Math" w:hAnsi="Cambria Math"/>
              </w:rPr>
            </m:ctrlPr>
          </m:sSupPr>
          <m:e>
            <m:r>
              <w:rPr>
                <w:rFonts w:ascii="Cambria Math" w:hAnsi="Cambria Math"/>
              </w:rPr>
              <m:t>N</m:t>
            </m:r>
          </m:e>
          <m:sup>
            <m:r>
              <w:rPr>
                <w:rFonts w:ascii="Cambria Math" w:hAnsi="Cambria Math"/>
              </w:rPr>
              <m:t>l</m:t>
            </m:r>
          </m:sup>
        </m:sSup>
        <m:sSubSup>
          <m:sSubSupPr>
            <m:ctrlPr>
              <w:rPr>
                <w:rFonts w:ascii="Cambria Math" w:hAnsi="Cambria Math"/>
              </w:rPr>
            </m:ctrlPr>
          </m:sSubSupPr>
          <m:e>
            <m:r>
              <w:rPr>
                <w:rFonts w:ascii="Cambria Math" w:hAnsi="Cambria Math"/>
              </w:rPr>
              <m:t>N</m:t>
            </m:r>
          </m:e>
          <m:sub>
            <m:r>
              <m:rPr>
                <m:sty m:val="p"/>
              </m:rPr>
              <w:rPr>
                <w:rFonts w:ascii="Cambria Math" w:hAnsi="Cambria Math"/>
              </w:rPr>
              <m:t>out</m:t>
            </m:r>
          </m:sub>
          <m:sup>
            <m:r>
              <w:rPr>
                <w:rFonts w:ascii="Cambria Math" w:hAnsi="Cambria Math"/>
              </w:rPr>
              <m:t>l</m:t>
            </m:r>
          </m:sup>
        </m:sSubSup>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l</m:t>
            </m:r>
          </m:sup>
        </m:sSubSup>
      </m:oMath>
    </w:p>
    <w:p w14:paraId="6CCBA4E1" w14:textId="77777777" w:rsidR="00035316" w:rsidRDefault="00831B25">
      <w:pPr>
        <w:spacing w:line="360" w:lineRule="auto"/>
        <w:ind w:firstLine="480"/>
        <w:rPr>
          <w:rFonts w:ascii="宋体" w:hAnsi="宋体" w:hint="eastAsia"/>
          <w:sz w:val="24"/>
        </w:rPr>
      </w:pPr>
      <w:r>
        <w:rPr>
          <w:rFonts w:ascii="宋体" w:hAnsi="宋体" w:hint="eastAsia"/>
          <w:sz w:val="24"/>
        </w:rPr>
        <w:t>考虑到本作品的核心创新在于将 DynamicViT 的删除式剪枝重写为固定图下可执行的 keep-mask 语义，算法2进一步给出动态词元剪枝的安全化执行步骤。该算法与式（3-1）至式（3-2e）一一对应，用于说明词元打分、编码排序、保留掩码构造与安全选择之间的实现关系。</w:t>
      </w:r>
    </w:p>
    <w:p w14:paraId="5B812AD2" w14:textId="77777777" w:rsidR="00035316" w:rsidRDefault="00831B25">
      <w:pPr>
        <w:spacing w:line="360" w:lineRule="auto"/>
        <w:ind w:firstLine="480"/>
        <w:rPr>
          <w:rFonts w:ascii="宋体" w:hAnsi="宋体" w:hint="eastAsia"/>
          <w:sz w:val="24"/>
        </w:rPr>
      </w:pPr>
      <w:r>
        <w:rPr>
          <w:noProof/>
        </w:rPr>
        <w:drawing>
          <wp:inline distT="0" distB="0" distL="114300" distR="114300" wp14:anchorId="00C9E135" wp14:editId="5BD16D91">
            <wp:extent cx="5153660" cy="2413635"/>
            <wp:effectExtent l="0" t="0" r="0" b="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2"/>
                    <a:srcRect r="12326"/>
                    <a:stretch>
                      <a:fillRect/>
                    </a:stretch>
                  </pic:blipFill>
                  <pic:spPr>
                    <a:xfrm>
                      <a:off x="0" y="0"/>
                      <a:ext cx="5153660" cy="2413635"/>
                    </a:xfrm>
                    <a:prstGeom prst="rect">
                      <a:avLst/>
                    </a:prstGeom>
                    <a:noFill/>
                    <a:ln>
                      <a:noFill/>
                    </a:ln>
                  </pic:spPr>
                </pic:pic>
              </a:graphicData>
            </a:graphic>
          </wp:inline>
        </w:drawing>
      </w:r>
    </w:p>
    <w:p w14:paraId="0554A777" w14:textId="77777777" w:rsidR="00035316" w:rsidRDefault="00831B25">
      <w:pPr>
        <w:outlineLvl w:val="2"/>
      </w:pPr>
      <w:bookmarkStart w:id="33" w:name="_Toc230989548"/>
      <w:r>
        <w:rPr>
          <w:rFonts w:ascii="黑体" w:eastAsia="黑体" w:hAnsi="黑体"/>
          <w:sz w:val="24"/>
        </w:rPr>
        <w:t>3.1.2 执行结构与边界约束</w:t>
      </w:r>
      <w:bookmarkEnd w:id="33"/>
    </w:p>
    <w:p w14:paraId="1BA9264C" w14:textId="77777777" w:rsidR="00035316" w:rsidRDefault="00831B25">
      <w:pPr>
        <w:spacing w:line="360" w:lineRule="auto"/>
        <w:ind w:firstLine="480"/>
      </w:pPr>
      <w:r>
        <w:rPr>
          <w:rFonts w:ascii="宋体" w:hAnsi="宋体"/>
          <w:sz w:val="24"/>
        </w:rPr>
        <w:t>图 3-1 从实现结构角度补充展示当前项目框架：上层对应医院终端、业务网关与双节点密态执行域；中层分别对应控制面闭环、DynamicViT 安全化重写组件与两方半诚实安全计算协议；底层则是秘密分享、比较/选择与审计摘要等密码学基础原语。该图用于说明第 2 章“系统设计”与第 3 章“系统实现”的衔接关系。</w:t>
      </w:r>
    </w:p>
    <w:p w14:paraId="432EEF93" w14:textId="77777777" w:rsidR="00035316" w:rsidRDefault="00831B25">
      <w:pPr>
        <w:spacing w:line="360" w:lineRule="auto"/>
        <w:jc w:val="center"/>
      </w:pPr>
      <w:r>
        <w:rPr>
          <w:rFonts w:hint="eastAsia"/>
          <w:noProof/>
        </w:rPr>
        <w:drawing>
          <wp:inline distT="0" distB="0" distL="114300" distR="114300" wp14:anchorId="0C65402D" wp14:editId="235BBDE4">
            <wp:extent cx="3879850" cy="5130165"/>
            <wp:effectExtent l="0" t="0" r="6350" b="635"/>
            <wp:docPr id="8" name="图片 8" descr="2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_01"/>
                    <pic:cNvPicPr>
                      <a:picLocks noChangeAspect="1"/>
                    </pic:cNvPicPr>
                  </pic:nvPicPr>
                  <pic:blipFill>
                    <a:blip r:embed="rId13"/>
                    <a:srcRect t="9974" b="3129"/>
                    <a:stretch>
                      <a:fillRect/>
                    </a:stretch>
                  </pic:blipFill>
                  <pic:spPr>
                    <a:xfrm>
                      <a:off x="0" y="0"/>
                      <a:ext cx="3879850" cy="5130165"/>
                    </a:xfrm>
                    <a:prstGeom prst="rect">
                      <a:avLst/>
                    </a:prstGeom>
                  </pic:spPr>
                </pic:pic>
              </a:graphicData>
            </a:graphic>
          </wp:inline>
        </w:drawing>
      </w:r>
    </w:p>
    <w:p w14:paraId="7AA9BC8E" w14:textId="77777777" w:rsidR="00035316" w:rsidRDefault="00831B25">
      <w:pPr>
        <w:spacing w:line="288" w:lineRule="auto"/>
        <w:jc w:val="center"/>
      </w:pPr>
      <w:r>
        <w:rPr>
          <w:rFonts w:ascii="宋体" w:hAnsi="宋体"/>
          <w:sz w:val="20"/>
        </w:rPr>
        <w:t>图3-1 密捷项目当前框架总体架构图。</w:t>
      </w:r>
    </w:p>
    <w:p w14:paraId="5CB391D7" w14:textId="77777777" w:rsidR="00035316" w:rsidRDefault="00831B25">
      <w:pPr>
        <w:spacing w:line="360" w:lineRule="auto"/>
        <w:ind w:firstLine="480"/>
      </w:pPr>
      <w:r>
        <w:rPr>
          <w:rFonts w:ascii="宋体" w:hAnsi="宋体"/>
          <w:sz w:val="24"/>
        </w:rPr>
        <w:t>图3-1可按“终端本地明文处理—跨域密态传输—服务端入口门控—双节点密态执行—结果回传与审计固化”五个层次理解。图左侧的医院终端代表数据提供方，也是整条链路中唯一允许接触原始影像、明文像素张量和局部质量指标的位置；图右侧的双节点密态执行域代表模型持有方与协同计算方在两方半诚实安全计算约束下共同完成推理的区域；两者之间由业务网关和服务端控制面构成一道明确的信任边界。</w:t>
      </w:r>
    </w:p>
    <w:p w14:paraId="6FEEC17D" w14:textId="77777777" w:rsidR="00035316" w:rsidRDefault="00831B25">
      <w:pPr>
        <w:spacing w:line="360" w:lineRule="auto"/>
        <w:ind w:firstLine="480"/>
      </w:pPr>
      <w:r>
        <w:rPr>
          <w:rFonts w:ascii="宋体" w:hAnsi="宋体"/>
          <w:sz w:val="24"/>
        </w:rPr>
        <w:t>从输入侧开始，用户在浏览器端选择影像后，主线程并不直接承担高开销计算，而只负责文件句柄保留、界面状态维护与请求编排。真正的图像头部尺寸检查、异常尺寸阻断、解码、中心裁剪、像素归一化、本地数据质量评估、审计哈希链构建以及 share0/share1 的小端序 Float32 序列化，全部在浏览器工作线程内部完成。换言之，图3-1中“医院终端”内部已经同时完成了明文处理、质量预检与秘密分享三项职责，这是原始像素不越出终端侧的关键。</w:t>
      </w:r>
    </w:p>
    <w:p w14:paraId="3581D731" w14:textId="77777777" w:rsidR="00035316" w:rsidRDefault="00831B25">
      <w:pPr>
        <w:spacing w:line="360" w:lineRule="auto"/>
        <w:ind w:firstLine="480"/>
      </w:pPr>
      <w:r>
        <w:rPr>
          <w:rFonts w:ascii="宋体" w:hAnsi="宋体"/>
          <w:sz w:val="24"/>
        </w:rPr>
        <w:t>当终端侧形成两份密态分片与结构化元数据后，跨越信任边界传输的对象就被严格限制为：share 字节流、审计摘要和最小必要的结构化质量信息，而不是原始图像或可逆像素值。进入服务端后，业务网关首先负责请求体大小、boundary 参数、多部件结构和字段集合的快速预检；随后，权威快检模块继续完成 JSON 字节长度门、share 哈希校验、内存对齐复制、非有限数与次正规数阻断、张量幅值检查、质量摘要容差复核、nonce 重放拦截、payload 去重以及来源地址并发守卫。只有在这些门控全部通过后，请求才会被转送至下游 SPU 密态执行域。</w:t>
      </w:r>
    </w:p>
    <w:p w14:paraId="5129332A" w14:textId="77777777" w:rsidR="00035316" w:rsidRDefault="00831B25">
      <w:pPr>
        <w:spacing w:line="360" w:lineRule="auto"/>
        <w:ind w:firstLine="480"/>
      </w:pPr>
      <w:r>
        <w:rPr>
          <w:rFonts w:ascii="宋体" w:hAnsi="宋体"/>
          <w:sz w:val="24"/>
        </w:rPr>
        <w:t>图3-1中部的 DynamicViT 安全化重写组件用于说明：本作品并不是把一个静态模型简单包进安全计算框架，而是对动态词元剪枝路径本身做了协议友好改写。具体而言，PredictorLG 在 SPU 内部生成词元得分，编码键排序网络在固定图中完成稳定的保留边界推导与 keep-mask 构造，后续 attention、MLP、残差连接和分类头始终保持在两方安全执行域内运行。这样既保留了按样本变化的动态剪枝能力，又避免把剪枝决策暴露为外部明文控制流，从而使“动态”与“密态”真正统一到同一条执行链路中。</w:t>
      </w:r>
    </w:p>
    <w:p w14:paraId="349CAD39" w14:textId="77777777" w:rsidR="00035316" w:rsidRDefault="00831B25">
      <w:pPr>
        <w:spacing w:line="360" w:lineRule="auto"/>
        <w:ind w:firstLine="480"/>
      </w:pPr>
      <w:r>
        <w:rPr>
          <w:rFonts w:ascii="宋体" w:hAnsi="宋体"/>
          <w:sz w:val="24"/>
        </w:rPr>
        <w:t>在输出侧，SPU 域对外仅释放最终分类结论，而不会泄露中间特征、模型参数或任一方的明文 share。服务端控制面同时补充返回质量裁决、审计摘要与控制面耗时，并将关键事件写入审计记录，以便展示、复核与赛后核查使用同一条证据链。因此，图3-1不仅展示了系统由哪些模块构成，更重要的是交代了每一类数据在什么位置生成、在什么边界停止、由谁执行校验，以及最终以何种最小暴露形式返回结果；沿着这条责任链阅读，即可完整理解本作品从上传、门控、推理到审计的整体运作流程。</w:t>
      </w:r>
    </w:p>
    <w:p w14:paraId="79AE2AD0" w14:textId="77777777" w:rsidR="00035316" w:rsidRDefault="00831B25">
      <w:pPr>
        <w:spacing w:line="360" w:lineRule="auto"/>
        <w:ind w:firstLine="480"/>
        <w:rPr>
          <w:rFonts w:ascii="黑体" w:eastAsia="黑体" w:hAnsi="黑体" w:hint="eastAsia"/>
          <w:b/>
          <w:sz w:val="24"/>
        </w:rPr>
      </w:pPr>
      <w:r>
        <w:rPr>
          <w:rFonts w:ascii="宋体" w:hAnsi="宋体"/>
          <w:sz w:val="24"/>
        </w:rPr>
        <w:t>与固定结构 Transformer 私有推理路线相比，本作品在模型改造阶段优先解决的是“动态决策链如何留在安全执行域内”。Iron[18]、BOLT[19]、BumbleBee[7] 和 NEXUS[20] 主要围绕固定结构模型的矩阵乘、Softmax、LayerNorm、GELU 或交互轮次进行协议级优化；而本作品首先保留视觉 DynamicViT 的逐 stage 保留语义，再把删除式剪枝重写为 keep-mask 驱动的固定图执行。这一差异决定了本作品的贡献重点不在于单独压缩某个算子，而在于让动态词元剪枝本身能够在两方安全执行链路中稳定落地。</w:t>
      </w:r>
    </w:p>
    <w:p w14:paraId="29AD55DD" w14:textId="77777777" w:rsidR="00035316" w:rsidRDefault="00831B25">
      <w:pPr>
        <w:spacing w:line="360" w:lineRule="auto"/>
        <w:outlineLvl w:val="1"/>
        <w:rPr>
          <w:rFonts w:ascii="黑体" w:eastAsia="黑体" w:hAnsi="黑体" w:hint="eastAsia"/>
          <w:b/>
          <w:sz w:val="24"/>
        </w:rPr>
      </w:pPr>
      <w:bookmarkStart w:id="34" w:name="Transshield_TOC_section_3_2"/>
      <w:bookmarkStart w:id="35" w:name="_Toc230989549"/>
      <w:r>
        <w:rPr>
          <w:rFonts w:ascii="黑体" w:eastAsia="黑体" w:hAnsi="黑体"/>
          <w:b/>
          <w:sz w:val="24"/>
        </w:rPr>
        <w:t>3.2 端到端执行流程与模块协同</w:t>
      </w:r>
      <w:bookmarkEnd w:id="34"/>
      <w:bookmarkEnd w:id="35"/>
    </w:p>
    <w:p w14:paraId="79C3D320" w14:textId="77777777" w:rsidR="00035316" w:rsidRDefault="00831B25">
      <w:pPr>
        <w:spacing w:line="360" w:lineRule="auto"/>
        <w:ind w:firstLine="480"/>
      </w:pPr>
      <w:r>
        <w:rPr>
          <w:rFonts w:ascii="宋体" w:hAnsi="宋体"/>
          <w:sz w:val="24"/>
        </w:rPr>
        <w:t>结合图 3-1 的当前项目框架，当前端到端链路可以压缩为三个安全阶段。第一阶段是终端本地预处理：浏览器工作线程完成影像解码、质量评估、审计链构建与秘密分享，安全目标是使原始影像和明文像素止于终端侧。第二阶段是服务端边界拦截：前置网关与权威快检模块在进入 SPU 之前完成报文、结构化元数据、share 字节流与重构张量合法性校验，安全目标是使异常输入、重放请求和畸形张量止于密态执行入口之外。第三阶段是 SPU 密态执行：PredictorLG、编码键排序、keep-mask 构造与前向分类全部保留在两方安全执行域内，安全目标是避免动态决策链退化为外部明文回放。</w:t>
      </w:r>
    </w:p>
    <w:p w14:paraId="68877CA4" w14:textId="77777777" w:rsidR="00035316" w:rsidRDefault="00831B25">
      <w:pPr>
        <w:spacing w:line="360" w:lineRule="auto"/>
        <w:ind w:firstLine="480"/>
      </w:pPr>
      <w:r>
        <w:rPr>
          <w:rFonts w:ascii="宋体" w:hAnsi="宋体"/>
          <w:sz w:val="24"/>
        </w:rPr>
        <w:t>因此，本节不再重复图 2-2 中的逐步动作，而是强调各阶段的安全职责分工：前端负责明文边界与分片生成，服务端负责权威阻断与审计固化，SPU 路径负责完成双向隐私约束下的动态安全推理。</w:t>
      </w:r>
    </w:p>
    <w:p w14:paraId="30C58FE6" w14:textId="77777777" w:rsidR="00035316" w:rsidRDefault="00831B25">
      <w:pPr>
        <w:spacing w:line="360" w:lineRule="auto"/>
        <w:outlineLvl w:val="1"/>
        <w:rPr>
          <w:rFonts w:ascii="黑体" w:eastAsia="黑体" w:hAnsi="黑体" w:hint="eastAsia"/>
          <w:b/>
          <w:sz w:val="24"/>
        </w:rPr>
      </w:pPr>
      <w:bookmarkStart w:id="36" w:name="Transshield_TOC_section_3_3"/>
      <w:bookmarkStart w:id="37" w:name="_Toc230989550"/>
      <w:r>
        <w:rPr>
          <w:rFonts w:ascii="黑体" w:eastAsia="黑体" w:hAnsi="黑体"/>
          <w:b/>
          <w:sz w:val="24"/>
        </w:rPr>
        <w:t>3.3 前端控制面实现</w:t>
      </w:r>
      <w:bookmarkEnd w:id="36"/>
      <w:bookmarkEnd w:id="37"/>
    </w:p>
    <w:p w14:paraId="262E28BF" w14:textId="77777777" w:rsidR="00035316" w:rsidRDefault="00831B25">
      <w:pPr>
        <w:spacing w:line="360" w:lineRule="auto"/>
        <w:ind w:firstLine="480"/>
      </w:pPr>
      <w:r>
        <w:rPr>
          <w:rFonts w:ascii="宋体" w:hAnsi="宋体"/>
          <w:sz w:val="24"/>
        </w:rPr>
        <w:t>前端实现采用主线程与单实例浏览器工作线程分离的结构。主线程只负责文件句柄保留、页面状态维护和请求编排；工作线程内部完成图像头部尺寸嗅探、异常尺寸阻断、解码与中心裁剪、数据质量指标提取、源图与 share 审计哈希计算、小端序 32 位浮点（Float32）字节流序列化与可转移数组缓冲区传递。该设计避免了大体量数组在主线程上的结构化克隆开销，同时将高开销计算与页面交互解耦。</w:t>
      </w:r>
    </w:p>
    <w:p w14:paraId="53DDF815" w14:textId="77777777" w:rsidR="009C5E3E" w:rsidRDefault="00C47836">
      <w:r>
        <w:rPr>
          <w:rFonts w:ascii="宋体" w:hAnsi="宋体"/>
        </w:rPr>
        <w:t>从浏览器执行路径看，前端并不是简单上传文件后等待服务端处理，而是把“图像解码—归一化—质量评估—share 序列化—审计哈希绑定”组织成一条本地完成的短链。仓内附录代码节选已经给出 little-endian Float32 share 写入实现；相应地，前端控制面在工程上保证了三件事：一是原始像素不需要以明文张量形式跨越浏览器边界；二是主线程只承担交互与调度，不因大数组复制而卡死；三是服务端收到的对象已经从原始图像转换为更适合进入协议校验和安全执行域的结构化 share 载荷。</w:t>
      </w:r>
    </w:p>
    <w:p w14:paraId="05832F86" w14:textId="77777777" w:rsidR="00407270" w:rsidRDefault="009543CE">
      <w:pPr>
        <w:spacing w:line="360" w:lineRule="auto"/>
        <w:ind w:firstLine="480"/>
        <w:rPr>
          <w:rFonts w:ascii="宋体" w:hAnsi="宋体" w:hint="eastAsia"/>
          <w:sz w:val="24"/>
        </w:rPr>
      </w:pPr>
      <w:r>
        <w:rPr>
          <w:rFonts w:ascii="宋体" w:hAnsi="宋体"/>
        </w:rPr>
        <w:t>在工程细节上，前端控制面的关键不只是“把图像切给后端”，而是把每一步明文处理都收束在可审计的本地边界内。浏览器工作线程完成解码后，会立即执行尺寸门、中心裁剪、归一化、质量指标提取与哈希绑定，随后才生成两份 additively split share，并以 little-endian Float32 方式写入可转移缓冲区。采用 transferable ArrayBuffer 而非主线程复制，一方面减少了页面线程的阻塞和大张量的重复拷贝，另一方面也使“原始像素止于终端侧、跨域仅传 share”这一边界约束在实现层面具备可核验的物理落点。</w:t>
      </w:r>
    </w:p>
    <w:p w14:paraId="14C2DEC1" w14:textId="77777777" w:rsidR="00B52F25" w:rsidRDefault="00FF347E">
      <w:pPr>
        <w:spacing w:line="360" w:lineRule="auto"/>
        <w:ind w:firstLine="480"/>
        <w:rPr>
          <w:rFonts w:ascii="宋体" w:hAnsi="宋体" w:hint="eastAsia"/>
          <w:sz w:val="24"/>
        </w:rPr>
      </w:pPr>
      <w:r>
        <w:rPr>
          <w:rFonts w:ascii="宋体" w:hAnsi="宋体"/>
        </w:rPr>
        <w:t>此外，前端发往服务端的对象并不只有两份 share 字节流。当前控制面在请求中还同时携带 request manifest、客户端质量摘要、审计载荷以及控制面度量信息，使服务端能够在不恢复原始像素的前提下复核输入形状、哈希关系、质量阈值与请求来源状态。换言之，前端控制面的职责不仅是分片生成，更是为后续服务端权威快检准备一套最小必要而又可核验的结构化上下文。</w:t>
      </w:r>
    </w:p>
    <w:p w14:paraId="12E85900" w14:textId="77777777" w:rsidR="00035316" w:rsidRDefault="00831B25">
      <w:pPr>
        <w:spacing w:line="360" w:lineRule="auto"/>
        <w:ind w:firstLine="480"/>
      </w:pPr>
      <w:r>
        <w:rPr>
          <w:rFonts w:ascii="宋体" w:hAnsi="宋体"/>
          <w:sz w:val="24"/>
        </w:rPr>
        <w:t>前端计算过程中的关键数值变换、两方分片关系与审计关系见式（3-3）至式（3-5），其中式（3-4a）进一步给出输入张量与两方 share 之间的对应关系：</w:t>
      </w:r>
    </w:p>
    <w:p w14:paraId="76AB0207"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=clip</m:t>
        </m:r>
        <m:d>
          <m:dPr>
            <m:ctrlPr>
              <w:rPr>
                <w:rFonts w:ascii="Cambria Math" w:hAnsi="Cambria Math"/>
                <w:sz w:val="24"/>
              </w:rPr>
            </m:ctrlPr>
          </m:dPr>
          <m:e>
            <m:f>
              <m:fPr>
                <m:ctrlPr>
                  <w:rPr>
                    <w:rFonts w:ascii="Cambria Math" w:hAnsi="Cambria Math"/>
                    <w:sz w:val="24"/>
                  </w:rPr>
                </m:ctrlPr>
              </m:fPr>
              <m:num>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p</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num>
                  <m:den>
                    <m:r>
                      <m:rPr>
                        <m:sty m:val="p"/>
                      </m:rPr>
                      <w:rPr>
                        <w:rFonts w:ascii="Cambria Math" w:hAnsi="Cambria Math"/>
                        <w:sz w:val="24"/>
                      </w:rPr>
                      <m:t>255</m:t>
                    </m:r>
                  </m:den>
                </m:f>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num>
              <m:den>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den>
            </m:f>
            <m:r>
              <m:rPr>
                <m:sty m:val="p"/>
              </m:rPr>
              <w:rPr>
                <w:rFonts w:ascii="Cambria Math" w:hAnsi="Cambria Math"/>
                <w:sz w:val="24"/>
              </w:rPr>
              <m:t>,-2,2</m:t>
            </m:r>
          </m:e>
        </m:d>
      </m:oMath>
      <w:r>
        <w:rPr>
          <w:rFonts w:eastAsia="Times New Roman"/>
          <w:sz w:val="24"/>
        </w:rPr>
        <w:tab/>
        <w:t>(3-3)</w:t>
      </w:r>
    </w:p>
    <w:p w14:paraId="1979CD1E"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m:rPr>
                <m:sty m:val="p"/>
              </m:rPr>
              <w:rPr>
                <w:rFonts w:ascii="Cambria Math" w:hAnsi="Cambria Math"/>
                <w:sz w:val="24"/>
              </w:rPr>
              <m:t>share0</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r</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, </m:t>
        </m:r>
        <m:sSub>
          <m:sSubPr>
            <m:ctrlPr>
              <w:rPr>
                <w:rFonts w:ascii="Cambria Math" w:hAnsi="Cambria Math"/>
                <w:sz w:val="24"/>
              </w:rPr>
            </m:ctrlPr>
          </m:sSubPr>
          <m:e>
            <m:r>
              <w:rPr>
                <w:rFonts w:ascii="Cambria Math" w:hAnsi="Cambria Math"/>
                <w:sz w:val="24"/>
              </w:rPr>
              <m:t>r</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∼U</m:t>
        </m:r>
        <m:d>
          <m:dPr>
            <m:begChr m:val="["/>
            <m:endChr m:val="]"/>
            <m:ctrlPr>
              <w:rPr>
                <w:rFonts w:ascii="Cambria Math" w:hAnsi="Cambria Math"/>
                <w:sz w:val="24"/>
              </w:rPr>
            </m:ctrlPr>
          </m:dPr>
          <m:e>
            <m:r>
              <m:rPr>
                <m:sty m:val="p"/>
              </m:rPr>
              <w:rPr>
                <w:rFonts w:ascii="Cambria Math" w:hAnsi="Cambria Math"/>
                <w:sz w:val="24"/>
              </w:rPr>
              <m:t>-2,2</m:t>
            </m:r>
          </m:e>
        </m:d>
        <m:r>
          <m:rPr>
            <m:sty m:val="p"/>
          </m:rPr>
          <w:rPr>
            <w:rFonts w:ascii="Cambria Math" w:hAnsi="Cambria Math"/>
            <w:sz w:val="24"/>
          </w:rPr>
          <m:t>, </m:t>
        </m:r>
        <m:sSub>
          <m:sSubPr>
            <m:ctrlPr>
              <w:rPr>
                <w:rFonts w:ascii="Cambria Math" w:hAnsi="Cambria Math"/>
                <w:sz w:val="24"/>
              </w:rPr>
            </m:ctrlPr>
          </m:sSubPr>
          <m:e>
            <m:r>
              <m:rPr>
                <m:sty m:val="p"/>
              </m:rPr>
              <w:rPr>
                <w:rFonts w:ascii="Cambria Math" w:hAnsi="Cambria Math"/>
                <w:sz w:val="24"/>
              </w:rPr>
              <m:t>share1</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share0</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w:r>
        <w:rPr>
          <w:rFonts w:eastAsia="Times New Roman"/>
          <w:sz w:val="24"/>
        </w:rPr>
        <w:tab/>
        <w:t>(3-4)</w:t>
      </w:r>
    </w:p>
    <w:p w14:paraId="70BEB410"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e>
            </m:d>
          </m:e>
          <m:sub>
            <m:r>
              <m:rPr>
                <m:sty m:val="p"/>
              </m:rPr>
              <w:rPr>
                <w:rFonts w:ascii="Cambria Math" w:hAnsi="Cambria Math"/>
                <w:sz w:val="24"/>
              </w:rPr>
              <m:t>0</m:t>
            </m: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e>
            </m:d>
          </m:e>
          <m:sub>
            <m:r>
              <m:rPr>
                <m:sty m:val="p"/>
              </m:rPr>
              <w:rPr>
                <w:rFonts w:ascii="Cambria Math" w:hAnsi="Cambria Math"/>
                <w:sz w:val="24"/>
              </w:rPr>
              <m:t>1</m:t>
            </m:r>
          </m:sub>
        </m:sSub>
        <m:r>
          <m:rPr>
            <m:sty m:val="p"/>
          </m:rPr>
          <w:rPr>
            <w:rFonts w:ascii="Cambria Math" w:hAnsi="Cambria Math"/>
            <w:sz w:val="24"/>
          </w:rPr>
          <m:t xml:space="preserve">, </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e>
            </m:d>
          </m:e>
          <m:sub>
            <m:r>
              <m:rPr>
                <m:sty m:val="p"/>
              </m:rPr>
              <w:rPr>
                <w:rFonts w:ascii="Cambria Math" w:hAnsi="Cambria Math"/>
                <w:sz w:val="24"/>
              </w:rPr>
              <m:t>0</m:t>
            </m: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share0</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 xml:space="preserve">, </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e>
            </m:d>
          </m:e>
          <m:sub>
            <m:r>
              <m:rPr>
                <m:sty m:val="p"/>
              </m:rP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share1</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w:r>
        <w:rPr>
          <w:rFonts w:eastAsia="Times New Roman"/>
          <w:sz w:val="24"/>
        </w:rPr>
        <w:tab/>
        <w:t>(3-4a)</w:t>
      </w:r>
    </w:p>
    <w:p w14:paraId="5F0EC48B"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audit</m:t>
            </m:r>
          </m:sub>
        </m:sSub>
        <m:r>
          <m:rPr>
            <m:sty m:val="p"/>
          </m:rPr>
          <w:rPr>
            <w:rFonts w:ascii="Cambria Math" w:hAnsi="Cambria Math"/>
            <w:sz w:val="24"/>
          </w:rPr>
          <m:t>=SHA256</m:t>
        </m:r>
        <m:d>
          <m:dPr>
            <m:ctrlPr>
              <w:rPr>
                <w:rFonts w:ascii="Cambria Math" w:hAnsi="Cambria Math"/>
                <w:sz w:val="24"/>
              </w:rPr>
            </m:ctrlPr>
          </m:dPr>
          <m:e>
            <m:r>
              <m:rPr>
                <m:sty m:val="p"/>
              </m:rPr>
              <w:rPr>
                <w:rFonts w:ascii="Cambria Math" w:hAnsi="Cambria Math"/>
                <w:sz w:val="24"/>
              </w:rPr>
              <m:t>v7∥nonce∥</m:t>
            </m:r>
            <m:r>
              <w:rPr>
                <w:rFonts w:ascii="Cambria Math" w:hAnsi="Cambria Math"/>
                <w:sz w:val="24"/>
              </w:rPr>
              <m:t>H</m:t>
            </m:r>
            <m:d>
              <m:dPr>
                <m:ctrlPr>
                  <w:rPr>
                    <w:rFonts w:ascii="Cambria Math" w:hAnsi="Cambria Math"/>
                    <w:sz w:val="24"/>
                  </w:rPr>
                </m:ctrlPr>
              </m:dPr>
              <m:e>
                <m:r>
                  <m:rPr>
                    <m:sty m:val="p"/>
                  </m:rPr>
                  <w:rPr>
                    <w:rFonts w:ascii="Cambria Math" w:hAnsi="Cambria Math"/>
                    <w:sz w:val="24"/>
                  </w:rPr>
                  <m:t>src</m:t>
                </m:r>
              </m:e>
            </m:d>
            <m:r>
              <m:rPr>
                <m:sty m:val="p"/>
              </m:rPr>
              <w:rPr>
                <w:rFonts w:ascii="Cambria Math" w:hAnsi="Cambria Math"/>
                <w:sz w:val="24"/>
              </w:rPr>
              <m:t>∥</m:t>
            </m:r>
            <m:r>
              <w:rPr>
                <w:rFonts w:ascii="Cambria Math" w:hAnsi="Cambria Math"/>
                <w:sz w:val="24"/>
              </w:rPr>
              <m:t>H</m:t>
            </m:r>
            <m:d>
              <m:dPr>
                <m:ctrlPr>
                  <w:rPr>
                    <w:rFonts w:ascii="Cambria Math" w:hAnsi="Cambria Math"/>
                    <w:sz w:val="24"/>
                  </w:rPr>
                </m:ctrlPr>
              </m:dPr>
              <m:e>
                <m:r>
                  <w:rPr>
                    <w:rFonts w:ascii="Cambria Math" w:hAnsi="Cambria Math"/>
                    <w:sz w:val="24"/>
                  </w:rPr>
                  <m:t>x</m:t>
                </m:r>
              </m:e>
            </m:d>
            <m:r>
              <m:rPr>
                <m:sty m:val="p"/>
              </m:rPr>
              <w:rPr>
                <w:rFonts w:ascii="Cambria Math" w:hAnsi="Cambria Math"/>
                <w:sz w:val="24"/>
              </w:rPr>
              <m:t>∥</m:t>
            </m:r>
            <m:r>
              <w:rPr>
                <w:rFonts w:ascii="Cambria Math" w:hAnsi="Cambria Math"/>
                <w:sz w:val="24"/>
              </w:rPr>
              <m:t>H</m:t>
            </m:r>
            <m:d>
              <m:dPr>
                <m:ctrlPr>
                  <w:rPr>
                    <w:rFonts w:ascii="Cambria Math" w:hAnsi="Cambria Math"/>
                    <w:sz w:val="24"/>
                  </w:rPr>
                </m:ctrlPr>
              </m:dPr>
              <m:e>
                <m:r>
                  <m:rPr>
                    <m:sty m:val="p"/>
                  </m:rPr>
                  <w:rPr>
                    <w:rFonts w:ascii="Cambria Math" w:hAnsi="Cambria Math"/>
                    <w:sz w:val="24"/>
                  </w:rPr>
                  <m:t>share0</m:t>
                </m:r>
              </m:e>
            </m:d>
            <m:r>
              <m:rPr>
                <m:sty m:val="p"/>
              </m:rPr>
              <w:rPr>
                <w:rFonts w:ascii="Cambria Math" w:hAnsi="Cambria Math"/>
                <w:sz w:val="24"/>
              </w:rPr>
              <m:t>∥</m:t>
            </m:r>
            <m:r>
              <w:rPr>
                <w:rFonts w:ascii="Cambria Math" w:hAnsi="Cambria Math"/>
                <w:sz w:val="24"/>
              </w:rPr>
              <m:t>H</m:t>
            </m:r>
            <m:d>
              <m:dPr>
                <m:ctrlPr>
                  <w:rPr>
                    <w:rFonts w:ascii="Cambria Math" w:hAnsi="Cambria Math"/>
                    <w:sz w:val="24"/>
                  </w:rPr>
                </m:ctrlPr>
              </m:dPr>
              <m:e>
                <m:r>
                  <m:rPr>
                    <m:sty m:val="p"/>
                  </m:rPr>
                  <w:rPr>
                    <w:rFonts w:ascii="Cambria Math" w:hAnsi="Cambria Math"/>
                    <w:sz w:val="24"/>
                  </w:rPr>
                  <m:t>share1</m:t>
                </m:r>
              </m:e>
            </m:d>
          </m:e>
        </m:d>
      </m:oMath>
      <w:r>
        <w:rPr>
          <w:rFonts w:eastAsia="Times New Roman"/>
          <w:sz w:val="24"/>
        </w:rPr>
        <w:tab/>
        <w:t>(3-5)</w:t>
      </w:r>
    </w:p>
    <w:p w14:paraId="5496F6B7" w14:textId="77777777" w:rsidR="00035316" w:rsidRDefault="00831B25">
      <w:pPr>
        <w:spacing w:line="360" w:lineRule="auto"/>
        <w:ind w:firstLine="480"/>
      </w:pPr>
      <w:r>
        <w:rPr>
          <w:rFonts w:ascii="宋体" w:hAnsi="宋体"/>
          <w:sz w:val="24"/>
        </w:rPr>
        <w:t>其中，p_(c,h,w) 表示裁剪后图像在通道 c、位置 (h,w) 的原始像素值，mu_c 与 sigma_c 分别对应 ImageNet 均值与标准差，x_(c,h,w) 为送入模型的归一化张量值；式（3-4a）中的 &lt;x&gt;_0 与 &lt;x&gt;_1 对应浏览器端生成的两份 additively split share，并在传输层分别落到 share0 与 share1。为避免浏览器端异常数值写入底层缓冲区，前端会先将归一化结果裁剪到 [-2, 2]，再以 little-endian Float32 方式写入 share 字节流；审计链则把源图哈希、归一化张量哈希与两份 share 哈希绑定到同一个 nonce 上。</w:t>
      </w:r>
      <m:oMath>
        <m:sSub>
          <m:sSubPr>
            <m:ctrlPr>
              <w:rPr>
                <w:rFonts w:ascii="Cambria Math" w:hAnsi="Cambria Math"/>
              </w:rPr>
            </m:ctrlPr>
          </m:sSubPr>
          <m:e>
            <m:r>
              <w:rPr>
                <w:rFonts w:ascii="Cambria Math" w:hAnsi="Cambria Math"/>
              </w:rPr>
              <m:t>p</m:t>
            </m:r>
          </m:e>
          <m:sub>
            <m:r>
              <w:rPr>
                <w:rFonts w:ascii="Cambria Math" w:hAnsi="Cambria Math"/>
              </w:rPr>
              <m:t>c,h,w</m:t>
            </m:r>
          </m:sub>
        </m:sSub>
        <m:sSub>
          <m:sSubPr>
            <m:ctrlPr>
              <w:rPr>
                <w:rFonts w:ascii="Cambria Math" w:hAnsi="Cambria Math"/>
              </w:rPr>
            </m:ctrlPr>
          </m:sSubPr>
          <m:e>
            <m:r>
              <w:rPr>
                <w:rFonts w:ascii="Cambria Math" w:hAnsi="Cambria Math"/>
              </w:rPr>
              <m:t>μ</m:t>
            </m:r>
          </m:e>
          <m:sub>
            <m:r>
              <w:rPr>
                <w:rFonts w:ascii="Cambria Math" w:hAnsi="Cambria Math"/>
              </w:rPr>
              <m:t>c</m:t>
            </m:r>
          </m:sub>
        </m:sSub>
        <m:sSub>
          <m:sSubPr>
            <m:ctrlPr>
              <w:rPr>
                <w:rFonts w:ascii="Cambria Math" w:hAnsi="Cambria Math"/>
              </w:rPr>
            </m:ctrlPr>
          </m:sSubPr>
          <m:e>
            <m:r>
              <w:rPr>
                <w:rFonts w:ascii="Cambria Math" w:hAnsi="Cambria Math"/>
              </w:rPr>
              <m:t>σ</m:t>
            </m:r>
          </m:e>
          <m:sub>
            <m:r>
              <w:rPr>
                <w:rFonts w:ascii="Cambria Math" w:hAnsi="Cambria Math"/>
              </w:rPr>
              <m:t>c</m:t>
            </m:r>
          </m:sub>
        </m:sSub>
        <m:sSub>
          <m:sSubPr>
            <m:ctrlPr>
              <w:rPr>
                <w:rFonts w:ascii="Cambria Math" w:hAnsi="Cambria Math"/>
              </w:rPr>
            </m:ctrlPr>
          </m:sSubPr>
          <m:e>
            <m:r>
              <w:rPr>
                <w:rFonts w:ascii="Cambria Math" w:hAnsi="Cambria Math"/>
              </w:rPr>
              <m:t>x</m:t>
            </m:r>
          </m:e>
          <m:sub>
            <m:r>
              <w:rPr>
                <w:rFonts w:ascii="Cambria Math" w:hAnsi="Cambria Math"/>
              </w:rPr>
              <m:t>c,h,w</m:t>
            </m:r>
          </m:sub>
        </m:sSub>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⟨x⟩</m:t>
            </m:r>
          </m:e>
          <m:sub>
            <m:r>
              <w:rPr>
                <w:rFonts w:ascii="Cambria Math" w:hAnsi="Cambria Math"/>
              </w:rPr>
              <m:t>1</m:t>
            </m:r>
          </m:sub>
        </m:sSub>
      </m:oMath>
    </w:p>
    <w:p w14:paraId="3E83ABBD" w14:textId="77777777" w:rsidR="00035316" w:rsidRDefault="00831B25">
      <w:pPr>
        <w:spacing w:line="360" w:lineRule="auto"/>
        <w:ind w:firstLine="480"/>
      </w:pPr>
      <w:r>
        <w:rPr>
          <w:rFonts w:ascii="宋体" w:hAnsi="宋体"/>
          <w:sz w:val="24"/>
        </w:rPr>
        <w:t>为便于直观看清主线程与浏览器工作线程的职责边界，图 3-2 将文件句柄保留、页面状态维护、可转移数组缓冲区传递、图像预处理、审计哈希与秘密分享生成拆解为三个协同区域。该图对应本节实现要点：主线程只负责交互与调度，工作线程承担高开销计算，并在跨越信任边界前完成明文终止与密态分片生成。</w:t>
      </w:r>
    </w:p>
    <w:p w14:paraId="5C6042A8" w14:textId="77777777" w:rsidR="00035316" w:rsidRDefault="00831B25">
      <w:pPr>
        <w:spacing w:line="360" w:lineRule="auto"/>
        <w:jc w:val="center"/>
      </w:pPr>
      <w:r>
        <w:rPr>
          <w:noProof/>
        </w:rPr>
        <w:drawing>
          <wp:inline distT="0" distB="0" distL="114300" distR="114300" wp14:anchorId="11908882" wp14:editId="70D18AF0">
            <wp:extent cx="5806440" cy="3097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5806440" cy="3097670"/>
                    </a:xfrm>
                    <a:prstGeom prst="rect">
                      <a:avLst/>
                    </a:prstGeom>
                  </pic:spPr>
                </pic:pic>
              </a:graphicData>
            </a:graphic>
          </wp:inline>
        </w:drawing>
      </w:r>
    </w:p>
    <w:p w14:paraId="73EA0E6E" w14:textId="77777777" w:rsidR="00035316" w:rsidRDefault="00831B25">
      <w:pPr>
        <w:spacing w:line="288" w:lineRule="auto"/>
        <w:jc w:val="left"/>
        <w:rPr>
          <w:sz w:val="24"/>
        </w:rPr>
      </w:pPr>
      <w:r>
        <w:rPr>
          <w:rFonts w:ascii="宋体" w:hAnsi="宋体"/>
          <w:sz w:val="24"/>
        </w:rPr>
        <w:t>图3-2 浏览器主线程与工作线程协同图：主线程负责交互与调度，工作线程负责预处理、哈希与秘密分享生成。</w:t>
      </w:r>
    </w:p>
    <w:p w14:paraId="75388546" w14:textId="77777777" w:rsidR="00035316" w:rsidRDefault="00831B25">
      <w:pPr>
        <w:spacing w:line="360" w:lineRule="auto"/>
        <w:outlineLvl w:val="1"/>
        <w:rPr>
          <w:rFonts w:ascii="黑体" w:eastAsia="黑体" w:hAnsi="黑体" w:hint="eastAsia"/>
          <w:b/>
          <w:sz w:val="24"/>
        </w:rPr>
      </w:pPr>
      <w:bookmarkStart w:id="38" w:name="Transshield_TOC_section_3_4"/>
      <w:bookmarkStart w:id="39" w:name="_Toc230989551"/>
      <w:r>
        <w:rPr>
          <w:rFonts w:ascii="黑体" w:eastAsia="黑体" w:hAnsi="黑体"/>
          <w:b/>
          <w:sz w:val="24"/>
        </w:rPr>
        <w:t>3.4 服务端权威快检与审计</w:t>
      </w:r>
      <w:bookmarkEnd w:id="38"/>
      <w:bookmarkEnd w:id="39"/>
    </w:p>
    <w:p w14:paraId="145DBD40" w14:textId="77777777" w:rsidR="00035316" w:rsidRDefault="00831B25">
      <w:pPr>
        <w:spacing w:line="360" w:lineRule="auto"/>
        <w:ind w:firstLine="480"/>
      </w:pPr>
      <w:r>
        <w:rPr>
          <w:rFonts w:ascii="宋体" w:hAnsi="宋体"/>
          <w:sz w:val="24"/>
        </w:rPr>
        <w:t>服务端在进入 SPU 之前，依次执行原始报文体读取上限、boundary 参数解析、多部件表单（multipart）原始结构预检、精确字段集约束、单字段 JSON 字节长度门、严格 UTF-8 结构化元数据解析、share 哈希校验、张量重构前内存对齐复制、非有限数与次正规数阻断、服务端数据质量复核，以及 nonce、payload 与来源 IP 维度的重放与并发守卫。审计层同时记录哈希摘要、控制面开销与事件落盘结果，以保证前端展示、服务端阻断与事后核查使用的是同一条证据链。</w:t>
      </w:r>
    </w:p>
    <w:p w14:paraId="6B320C9A" w14:textId="77777777" w:rsidR="009C5E3E" w:rsidRDefault="00C47836">
      <w:r>
        <w:rPr>
          <w:rFonts w:ascii="宋体" w:hAnsi="宋体"/>
        </w:rPr>
        <w:t>对应到实际代码，控制面并不是“解析成功即放行”，而是把原始报文和结构化语义分成多层门控。`showcase_api/control_plane.py` 中既定义了 JSON part 的统一字节上限，也对请求 manifest、质量摘要、审计信息和控制面指标设置了独立长度门；同时为整数、浮点和常量解析挂接严格钩子，避免超长数值 token 或非常量输入绕过校验。结合 nonce/payload 双缓存和按来源地址维护的窗口状态，可以看到本作品把协议合法性、数值合法性与运行状态合法性明确分成了不同层面，而不是仅依赖单一异常处理分支。</w:t>
      </w:r>
    </w:p>
    <w:p w14:paraId="7A1A4D4E" w14:textId="77777777" w:rsidR="00407270" w:rsidRDefault="009543CE">
      <w:pPr>
        <w:spacing w:line="360" w:lineRule="auto"/>
        <w:ind w:firstLine="480"/>
        <w:rPr>
          <w:rFonts w:ascii="宋体" w:hAnsi="宋体" w:hint="eastAsia"/>
          <w:sz w:val="24"/>
        </w:rPr>
      </w:pPr>
      <w:r>
        <w:rPr>
          <w:rFonts w:ascii="宋体" w:hAnsi="宋体"/>
        </w:rPr>
        <w:t>从控制面设计上看，本作品并未把“格式合法”与“允许进入 SPU”视为同一件事，而是按原始报文、结构化元数据、share 字节流、重构张量和业务质量摘要五层顺序逐级收紧。只有当多部件结构、字段集合、JSON 字节门、哈希校验、非有限数阻断、幅值检查和容差复核全部通过后，请求才被交给下游安全执行域。这样的分层门控既降低了异常输入进入长耗时 SPU 的概率，也使不同拒绝结果能够对应到明确的审计事件，而不是仅返回模糊的“请求失败”。</w:t>
      </w:r>
    </w:p>
    <w:p w14:paraId="5E148FC3" w14:textId="77777777" w:rsidR="00B52F25" w:rsidRDefault="00FF347E">
      <w:pPr>
        <w:spacing w:line="360" w:lineRule="auto"/>
        <w:ind w:firstLine="480"/>
        <w:rPr>
          <w:rFonts w:ascii="宋体" w:hAnsi="宋体" w:hint="eastAsia"/>
          <w:sz w:val="24"/>
        </w:rPr>
      </w:pPr>
      <w:r>
        <w:rPr>
          <w:rFonts w:ascii="宋体" w:hAnsi="宋体"/>
        </w:rPr>
        <w:t>对应到具体实现，控制面内部还维护了 nonce 缓存、payload 指纹缓存、按来源地址统计的请求窗口以及 inflight 并发计数。其工程意义在于把“是否重复提交”“是否超频访问”“是否已经占满并发槽位”三类风险显式分开，使 duplicate_nonce、duplicate_payload、busy_retry_later 等拒绝结果都能够对应到清晰的审计事件，而不是统一折叠成模糊的失败响应。</w:t>
      </w:r>
    </w:p>
    <w:p w14:paraId="55DC115E" w14:textId="77777777" w:rsidR="00035316" w:rsidRDefault="00831B25">
      <w:pPr>
        <w:spacing w:line="360" w:lineRule="auto"/>
        <w:ind w:firstLine="480"/>
      </w:pPr>
      <w:r>
        <w:rPr>
          <w:rFonts w:ascii="宋体" w:hAnsi="宋体"/>
          <w:sz w:val="24"/>
        </w:rPr>
        <w:t>服务端快检并非只核对客户端声明，而是围绕重构张量、质量摘要与容差关系进行权威复算。关键关系见式（3-6）至式（3-9b），其中式（3-6a）给出最终分类输出的恢复关系：</w:t>
      </w:r>
    </w:p>
    <w:p w14:paraId="769321B4" w14:textId="77777777" w:rsidR="00035316" w:rsidRDefault="00831B25">
      <w:pPr>
        <w:tabs>
          <w:tab w:val="center" w:pos="4536"/>
          <w:tab w:val="right" w:pos="8712"/>
        </w:tabs>
        <w:spacing w:before="40" w:after="60"/>
        <w:jc w:val="left"/>
        <w:rPr>
          <w:sz w:val="24"/>
        </w:rPr>
      </w:pPr>
      <w:r>
        <w:tab/>
      </w:r>
      <m:oMath>
        <m:r>
          <w:rPr>
            <w:rFonts w:ascii="Cambria Math" w:hAnsi="Cambria Math"/>
            <w:sz w:val="24"/>
          </w:rPr>
          <m:t>X</m:t>
        </m:r>
        <m:r>
          <m:rPr>
            <m:sty m:val="p"/>
          </m:rPr>
          <w:rPr>
            <w:rFonts w:ascii="Cambria Math" w:hAnsi="Cambria Math"/>
            <w:sz w:val="24"/>
          </w:rPr>
          <m:t>=share0+share1, RGB=</m:t>
        </m:r>
        <m:r>
          <w:rPr>
            <w:rFonts w:ascii="Cambria Math" w:hAnsi="Cambria Math"/>
            <w:sz w:val="24"/>
          </w:rPr>
          <m:t>X</m:t>
        </m:r>
        <m:r>
          <m:rPr>
            <m:sty m:val="p"/>
          </m:rPr>
          <w:rPr>
            <w:rFonts w:ascii="Cambria Math" w:hAnsi="Cambria Math"/>
            <w:sz w:val="24"/>
          </w:rPr>
          <m:t>⊙</m:t>
        </m:r>
        <m:r>
          <w:rPr>
            <w:rFonts w:ascii="Cambria Math" w:hAnsi="Cambria Math"/>
            <w:sz w:val="24"/>
          </w:rPr>
          <m:t>σ</m:t>
        </m:r>
        <m:r>
          <m:rPr>
            <m:sty m:val="p"/>
          </m:rPr>
          <w:rPr>
            <w:rFonts w:ascii="Cambria Math" w:hAnsi="Cambria Math"/>
            <w:sz w:val="24"/>
          </w:rPr>
          <m:t>+</m:t>
        </m:r>
        <m:r>
          <w:rPr>
            <w:rFonts w:ascii="Cambria Math" w:hAnsi="Cambria Math"/>
            <w:sz w:val="24"/>
          </w:rPr>
          <m:t>μ</m:t>
        </m:r>
      </m:oMath>
      <w:r>
        <w:rPr>
          <w:rFonts w:eastAsia="Times New Roman"/>
          <w:sz w:val="24"/>
        </w:rPr>
        <w:tab/>
        <w:t>(3-6)</w:t>
      </w:r>
    </w:p>
    <w:p w14:paraId="0580FF70"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z</m:t>
            </m:r>
          </m:e>
          <m:sub>
            <m:r>
              <w:rPr>
                <w:rFonts w:ascii="Cambria Math" w:hAnsi="Cambria Math"/>
                <w:sz w:val="24"/>
              </w:rPr>
              <m:t>c</m:t>
            </m: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z</m:t>
                    </m:r>
                  </m:e>
                  <m:sub>
                    <m:r>
                      <w:rPr>
                        <w:rFonts w:ascii="Cambria Math" w:hAnsi="Cambria Math"/>
                        <w:sz w:val="24"/>
                      </w:rPr>
                      <m:t>c</m:t>
                    </m:r>
                  </m:sub>
                </m:sSub>
              </m:e>
            </m:d>
          </m:e>
          <m:sub>
            <m:r>
              <m:rPr>
                <m:sty m:val="p"/>
              </m:rPr>
              <w:rPr>
                <w:rFonts w:ascii="Cambria Math" w:hAnsi="Cambria Math"/>
                <w:sz w:val="24"/>
              </w:rPr>
              <m:t>0</m:t>
            </m:r>
          </m:sub>
        </m:sSub>
        <m:r>
          <m:rPr>
            <m:sty m:val="p"/>
          </m:rPr>
          <w:rPr>
            <w:rFonts w:ascii="Cambria Math" w:hAnsi="Cambria Math"/>
            <w:sz w:val="24"/>
          </w:rPr>
          <m:t>+</m:t>
        </m:r>
        <m:sSub>
          <m:sSubPr>
            <m:ctrlPr>
              <w:rPr>
                <w:rFonts w:ascii="Cambria Math" w:hAnsi="Cambria Math"/>
                <w:sz w:val="24"/>
              </w:rPr>
            </m:ctrlPr>
          </m:sSubPr>
          <m:e>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z</m:t>
                    </m:r>
                  </m:e>
                  <m:sub>
                    <m:r>
                      <w:rPr>
                        <w:rFonts w:ascii="Cambria Math" w:hAnsi="Cambria Math"/>
                        <w:sz w:val="24"/>
                      </w:rPr>
                      <m:t>c</m:t>
                    </m:r>
                  </m:sub>
                </m:sSub>
              </m:e>
            </m:d>
          </m:e>
          <m:sub>
            <m:r>
              <m:rPr>
                <m:sty m:val="p"/>
              </m:rPr>
              <w:rPr>
                <w:rFonts w:ascii="Cambria Math" w:hAnsi="Cambria Math"/>
                <w:sz w:val="24"/>
              </w:rPr>
              <m:t>1</m:t>
            </m:r>
          </m:sub>
        </m:sSub>
        <m:r>
          <m:rPr>
            <m:sty m:val="p"/>
          </m:rPr>
          <w:rPr>
            <w:rFonts w:ascii="Cambria Math" w:hAnsi="Cambria Math"/>
            <w:sz w:val="24"/>
          </w:rPr>
          <m:t xml:space="preserve">, </m:t>
        </m:r>
        <m:acc>
          <m:accPr>
            <m:ctrlPr>
              <w:rPr>
                <w:rFonts w:ascii="Cambria Math" w:hAnsi="Cambria Math"/>
                <w:sz w:val="24"/>
              </w:rPr>
            </m:ctrlPr>
          </m:accPr>
          <m:e>
            <m:r>
              <w:rPr>
                <w:rFonts w:ascii="Cambria Math" w:hAnsi="Cambria Math"/>
                <w:sz w:val="24"/>
              </w:rPr>
              <m:t>y</m:t>
            </m:r>
          </m:e>
        </m:acc>
        <m:r>
          <m:rPr>
            <m:sty m:val="p"/>
          </m:rPr>
          <w:rPr>
            <w:rFonts w:ascii="Cambria Math" w:hAnsi="Cambria Math"/>
            <w:sz w:val="24"/>
          </w:rPr>
          <m:t>=</m:t>
        </m:r>
        <m:sSub>
          <m:sSubPr>
            <m:ctrlPr>
              <w:rPr>
                <w:rFonts w:ascii="Cambria Math" w:hAnsi="Cambria Math"/>
                <w:sz w:val="24"/>
              </w:rPr>
            </m:ctrlPr>
          </m:sSubPr>
          <m:e>
            <m:r>
              <m:rPr>
                <m:sty m:val="p"/>
              </m:rPr>
              <w:rPr>
                <w:rFonts w:ascii="Cambria Math" w:hAnsi="Cambria Math"/>
                <w:sz w:val="24"/>
              </w:rPr>
              <m:t>arg max</m:t>
            </m:r>
          </m:e>
          <m:sub>
            <m:r>
              <w:rPr>
                <w:rFonts w:ascii="Cambria Math" w:hAnsi="Cambria Math"/>
                <w:sz w:val="24"/>
              </w:rPr>
              <m:t>c</m:t>
            </m:r>
          </m:sub>
        </m:sSub>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z</m:t>
            </m:r>
          </m:e>
          <m:sub>
            <m:r>
              <w:rPr>
                <w:rFonts w:ascii="Cambria Math" w:hAnsi="Cambria Math"/>
                <w:sz w:val="24"/>
              </w:rPr>
              <m:t>c</m:t>
            </m:r>
          </m:sub>
        </m:sSub>
      </m:oMath>
      <w:r>
        <w:rPr>
          <w:rFonts w:eastAsia="Times New Roman"/>
          <w:sz w:val="24"/>
        </w:rPr>
        <w:tab/>
        <w:t>(3-6a)</w:t>
      </w:r>
    </w:p>
    <w:p w14:paraId="40D427B5"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r>
          <m:rPr>
            <m:sty m:val="p"/>
          </m:rPr>
          <w:rPr>
            <w:rFonts w:ascii="Cambria Math" w:hAnsi="Cambria Math"/>
            <w:sz w:val="24"/>
          </w:rPr>
          <m:t>=0.299</m:t>
        </m:r>
        <m:sSub>
          <m:sSubPr>
            <m:ctrlPr>
              <w:rPr>
                <w:rFonts w:ascii="Cambria Math" w:hAnsi="Cambria Math"/>
                <w:sz w:val="24"/>
              </w:rPr>
            </m:ctrlPr>
          </m:sSubPr>
          <m:e>
            <m:r>
              <w:rPr>
                <w:rFonts w:ascii="Cambria Math" w:hAnsi="Cambria Math"/>
                <w:sz w:val="24"/>
              </w:rPr>
              <m:t>R</m:t>
            </m:r>
          </m:e>
          <m:sub>
            <m:r>
              <w:rPr>
                <w:rFonts w:ascii="Cambria Math" w:hAnsi="Cambria Math"/>
                <w:sz w:val="24"/>
              </w:rPr>
              <m:t>i</m:t>
            </m:r>
          </m:sub>
        </m:sSub>
        <m:r>
          <m:rPr>
            <m:sty m:val="p"/>
          </m:rPr>
          <w:rPr>
            <w:rFonts w:ascii="Cambria Math" w:hAnsi="Cambria Math"/>
            <w:sz w:val="24"/>
          </w:rPr>
          <m:t>+0.587</m:t>
        </m:r>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r>
          <m:rPr>
            <m:sty m:val="p"/>
          </m:rPr>
          <w:rPr>
            <w:rFonts w:ascii="Cambria Math" w:hAnsi="Cambria Math"/>
            <w:sz w:val="24"/>
          </w:rPr>
          <m:t>+0.114</m:t>
        </m:r>
        <m:sSub>
          <m:sSubPr>
            <m:ctrlPr>
              <w:rPr>
                <w:rFonts w:ascii="Cambria Math" w:hAnsi="Cambria Math"/>
                <w:sz w:val="24"/>
              </w:rPr>
            </m:ctrlPr>
          </m:sSubPr>
          <m:e>
            <m:r>
              <w:rPr>
                <w:rFonts w:ascii="Cambria Math" w:hAnsi="Cambria Math"/>
                <w:sz w:val="24"/>
              </w:rPr>
              <m:t>B</m:t>
            </m:r>
          </m:e>
          <m:sub>
            <m:r>
              <w:rPr>
                <w:rFonts w:ascii="Cambria Math" w:hAnsi="Cambria Math"/>
                <w:sz w:val="24"/>
              </w:rPr>
              <m:t>i</m:t>
            </m:r>
          </m:sub>
        </m:sSub>
        <m:r>
          <m:rPr>
            <m:sty m:val="p"/>
          </m:rPr>
          <w:rPr>
            <w:rFonts w:ascii="Cambria Math" w:hAnsi="Cambria Math"/>
            <w:sz w:val="24"/>
          </w:rPr>
          <m:t>, OverExp=</m:t>
        </m:r>
        <m:f>
          <m:fPr>
            <m:ctrlPr>
              <w:rPr>
                <w:rFonts w:ascii="Cambria Math" w:hAnsi="Cambria Math"/>
                <w:sz w:val="24"/>
              </w:rPr>
            </m:ctrlPr>
          </m:fPr>
          <m:num>
            <m:r>
              <m:rPr>
                <m:sty m:val="p"/>
              </m:rPr>
              <w:rPr>
                <w:rFonts w:ascii="Cambria Math" w:hAnsi="Cambria Math"/>
                <w:sz w:val="24"/>
              </w:rPr>
              <m:t>1</m:t>
            </m:r>
          </m:num>
          <m:den>
            <m:r>
              <w:rPr>
                <w:rFonts w:ascii="Cambria Math" w:hAnsi="Cambria Math"/>
                <w:sz w:val="24"/>
              </w:rPr>
              <m:t>N</m:t>
            </m:r>
          </m:den>
        </m:f>
        <m:nary>
          <m:naryPr>
            <m:chr m:val="∑"/>
            <m:ctrlPr>
              <w:rPr>
                <w:rFonts w:ascii="Cambria Math" w:hAnsi="Cambria Math"/>
                <w:sz w:val="24"/>
              </w:rPr>
            </m:ctrlPr>
          </m:naryPr>
          <m:sub>
            <m:r>
              <w:rPr>
                <w:rFonts w:ascii="Cambria Math" w:hAnsi="Cambria Math"/>
                <w:sz w:val="24"/>
              </w:rPr>
              <m:t>i</m:t>
            </m:r>
            <m:r>
              <m:rPr>
                <m:sty m:val="p"/>
              </m:rPr>
              <w:rPr>
                <w:rFonts w:ascii="Cambria Math" w:hAnsi="Cambria Math"/>
                <w:sz w:val="24"/>
              </w:rPr>
              <m:t>=1</m:t>
            </m:r>
          </m:sub>
          <m:sup>
            <m:r>
              <w:rPr>
                <w:rFonts w:ascii="Cambria Math" w:hAnsi="Cambria Math"/>
                <w:sz w:val="24"/>
              </w:rPr>
              <m:t>N</m:t>
            </m:r>
          </m:sup>
          <m:e>
            <m:r>
              <m:rPr>
                <m:sty m:val="p"/>
              </m:rPr>
              <w:rPr>
                <w:rFonts w:ascii="Cambria Math" w:hAnsi="Cambria Math"/>
                <w:sz w:val="24"/>
              </w:rPr>
              <m:t>1</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L</m:t>
                    </m:r>
                  </m:e>
                  <m:sub>
                    <m:r>
                      <w:rPr>
                        <w:rFonts w:ascii="Cambria Math" w:hAnsi="Cambria Math"/>
                        <w:sz w:val="24"/>
                      </w:rPr>
                      <m:t>i</m:t>
                    </m:r>
                  </m:sub>
                </m:sSub>
                <m:r>
                  <m:rPr>
                    <m:sty m:val="p"/>
                  </m:rPr>
                  <w:rPr>
                    <w:rFonts w:ascii="Cambria Math" w:hAnsi="Cambria Math"/>
                    <w:sz w:val="24"/>
                  </w:rPr>
                  <m:t>≥0.95</m:t>
                </m:r>
              </m:e>
            </m:d>
          </m:e>
        </m:nary>
      </m:oMath>
      <w:r>
        <w:rPr>
          <w:rFonts w:eastAsia="Times New Roman"/>
          <w:sz w:val="24"/>
        </w:rPr>
        <w:tab/>
        <w:t>(3-7)</w:t>
      </w:r>
    </w:p>
    <w:p w14:paraId="26041130" w14:textId="77777777" w:rsidR="00035316" w:rsidRDefault="00831B25">
      <w:pPr>
        <w:tabs>
          <w:tab w:val="center" w:pos="4536"/>
          <w:tab w:val="right" w:pos="8712"/>
        </w:tabs>
        <w:spacing w:before="40" w:after="60"/>
        <w:ind w:firstLineChars="200" w:firstLine="480"/>
        <w:jc w:val="left"/>
        <w:rPr>
          <w:sz w:val="24"/>
        </w:rPr>
      </w:pPr>
      <m:oMath>
        <m:r>
          <m:rPr>
            <m:sty m:val="p"/>
          </m:rPr>
          <w:rPr>
            <w:rFonts w:ascii="Cambria Math" w:hAnsi="Cambria Math"/>
            <w:sz w:val="24"/>
          </w:rPr>
          <m:t>lap</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r>
          <m:rPr>
            <m:sty m:val="p"/>
          </m:rPr>
          <w:rPr>
            <w:rFonts w:ascii="Cambria Math" w:hAnsi="Cambria Math"/>
            <w:sz w:val="24"/>
          </w:rPr>
          <m:t>=-4</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r>
          <m:rPr>
            <m:sty m:val="p"/>
          </m:rPr>
          <w:rPr>
            <w:rFonts w:ascii="Cambria Math" w:hAnsi="Cambria Math"/>
            <w:sz w:val="24"/>
          </w:rPr>
          <m:t>+</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-1,</m:t>
            </m:r>
            <m:r>
              <w:rPr>
                <w:rFonts w:ascii="Cambria Math" w:hAnsi="Cambria Math"/>
                <w:sz w:val="24"/>
              </w:rPr>
              <m:t>y</m:t>
            </m:r>
          </m:e>
        </m:d>
        <m:r>
          <m:rPr>
            <m:sty m:val="p"/>
          </m:rPr>
          <w:rPr>
            <w:rFonts w:ascii="Cambria Math" w:hAnsi="Cambria Math"/>
            <w:sz w:val="24"/>
          </w:rPr>
          <m:t>+</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+1,</m:t>
            </m:r>
            <m:r>
              <w:rPr>
                <w:rFonts w:ascii="Cambria Math" w:hAnsi="Cambria Math"/>
                <w:sz w:val="24"/>
              </w:rPr>
              <m:t>y</m:t>
            </m:r>
          </m:e>
        </m:d>
        <m:r>
          <m:rPr>
            <m:sty m:val="p"/>
          </m:rPr>
          <w:rPr>
            <w:rFonts w:ascii="Cambria Math" w:hAnsi="Cambria Math"/>
            <w:sz w:val="24"/>
          </w:rPr>
          <m:t>+</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r>
              <m:rPr>
                <m:sty m:val="p"/>
              </m:rPr>
              <w:rPr>
                <w:rFonts w:ascii="Cambria Math" w:hAnsi="Cambria Math"/>
                <w:sz w:val="24"/>
              </w:rPr>
              <m:t>-1</m:t>
            </m:r>
          </m:e>
        </m:d>
        <m:r>
          <m:rPr>
            <m:sty m:val="p"/>
          </m:rPr>
          <w:rPr>
            <w:rFonts w:ascii="Cambria Math" w:hAnsi="Cambria Math"/>
            <w:sz w:val="24"/>
          </w:rPr>
          <m:t>+</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r>
              <m:rPr>
                <m:sty m:val="p"/>
              </m:rPr>
              <w:rPr>
                <w:rFonts w:ascii="Cambria Math" w:hAnsi="Cambria Math"/>
                <w:sz w:val="24"/>
              </w:rPr>
              <m:t>+1</m:t>
            </m:r>
          </m:e>
        </m:d>
      </m:oMath>
      <w:r>
        <w:rPr>
          <w:rFonts w:eastAsia="Times New Roman"/>
          <w:sz w:val="24"/>
        </w:rPr>
        <w:tab/>
      </w:r>
      <w:r>
        <w:rPr>
          <w:rFonts w:hint="eastAsia"/>
          <w:sz w:val="24"/>
        </w:rPr>
        <w:t xml:space="preserve"> </w:t>
      </w:r>
      <w:r>
        <w:rPr>
          <w:rFonts w:eastAsia="Times New Roman"/>
          <w:sz w:val="24"/>
        </w:rPr>
        <w:t>(3-8)</w:t>
      </w:r>
    </w:p>
    <w:p w14:paraId="05142E64"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Δ</m:t>
            </m:r>
          </m:e>
          <m:sub>
            <m:r>
              <w:rPr>
                <w:rFonts w:ascii="Cambria Math" w:hAnsi="Cambria Math"/>
                <w:sz w:val="24"/>
              </w:rPr>
              <m:t>k</m:t>
            </m:r>
          </m:sub>
        </m:sSub>
        <m:r>
          <m:rPr>
            <m:sty m:val="p"/>
          </m:rPr>
          <w:rPr>
            <w:rFonts w:ascii="Cambria Math" w:hAnsi="Cambria Math"/>
            <w:sz w:val="24"/>
          </w:rPr>
          <m:t>=</m:t>
        </m:r>
        <m:d>
          <m:dPr>
            <m:begChr m:val="|"/>
            <m:endChr m:val="|"/>
            <m:ctrlPr>
              <w:rPr>
                <w:rFonts w:ascii="Cambria Math" w:hAnsi="Cambria Math"/>
                <w:sz w:val="24"/>
              </w:rPr>
            </m:ctrlPr>
          </m:dPr>
          <m:e>
            <m:sSubSup>
              <m:sSubSupPr>
                <m:ctrlPr>
                  <w:rPr>
                    <w:rFonts w:ascii="Cambria Math" w:hAnsi="Cambria Math"/>
                    <w:sz w:val="24"/>
                  </w:rPr>
                </m:ctrlPr>
              </m:sSubSupPr>
              <m:e>
                <m:r>
                  <w:rPr>
                    <w:rFonts w:ascii="Cambria Math" w:hAnsi="Cambria Math"/>
                    <w:sz w:val="24"/>
                  </w:rPr>
                  <m:t>q</m:t>
                </m:r>
              </m:e>
              <m:sub>
                <m:r>
                  <w:rPr>
                    <w:rFonts w:ascii="Cambria Math" w:hAnsi="Cambria Math"/>
                    <w:sz w:val="24"/>
                  </w:rPr>
                  <m:t>k</m:t>
                </m:r>
              </m:sub>
              <m:sup>
                <m:d>
                  <m:dPr>
                    <m:ctrlPr>
                      <w:rPr>
                        <w:rFonts w:ascii="Cambria Math" w:hAnsi="Cambria Math"/>
                        <w:sz w:val="24"/>
                      </w:rPr>
                    </m:ctrlPr>
                  </m:dPr>
                  <m:e>
                    <m:r>
                      <m:rPr>
                        <m:sty m:val="p"/>
                      </m:rPr>
                      <w:rPr>
                        <w:rFonts w:ascii="Cambria Math" w:hAnsi="Cambria Math"/>
                        <w:sz w:val="24"/>
                      </w:rPr>
                      <m:t>client</m:t>
                    </m:r>
                  </m:e>
                </m:d>
              </m:sup>
            </m:sSubSup>
            <m:r>
              <m:rPr>
                <m:sty m:val="p"/>
              </m:rPr>
              <w:rPr>
                <w:rFonts w:ascii="Cambria Math" w:hAnsi="Cambria Math"/>
                <w:sz w:val="24"/>
              </w:rPr>
              <m:t>-</m:t>
            </m:r>
            <m:sSubSup>
              <m:sSubSupPr>
                <m:ctrlPr>
                  <w:rPr>
                    <w:rFonts w:ascii="Cambria Math" w:hAnsi="Cambria Math"/>
                    <w:sz w:val="24"/>
                  </w:rPr>
                </m:ctrlPr>
              </m:sSubSupPr>
              <m:e>
                <m:r>
                  <w:rPr>
                    <w:rFonts w:ascii="Cambria Math" w:hAnsi="Cambria Math"/>
                    <w:sz w:val="24"/>
                  </w:rPr>
                  <m:t>q</m:t>
                </m:r>
              </m:e>
              <m:sub>
                <m:r>
                  <w:rPr>
                    <w:rFonts w:ascii="Cambria Math" w:hAnsi="Cambria Math"/>
                    <w:sz w:val="24"/>
                  </w:rPr>
                  <m:t>k</m:t>
                </m:r>
              </m:sub>
              <m:sup>
                <m:d>
                  <m:dPr>
                    <m:ctrlPr>
                      <w:rPr>
                        <w:rFonts w:ascii="Cambria Math" w:hAnsi="Cambria Math"/>
                        <w:sz w:val="24"/>
                      </w:rPr>
                    </m:ctrlPr>
                  </m:dPr>
                  <m:e>
                    <m:r>
                      <m:rPr>
                        <m:sty m:val="p"/>
                      </m:rPr>
                      <w:rPr>
                        <w:rFonts w:ascii="Cambria Math" w:hAnsi="Cambria Math"/>
                        <w:sz w:val="24"/>
                      </w:rPr>
                      <m:t>server</m:t>
                    </m:r>
                  </m:e>
                </m:d>
              </m:sup>
            </m:sSubSup>
          </m:e>
        </m:d>
        <m:r>
          <m:rPr>
            <m:sty m:val="p"/>
          </m:rPr>
          <w:rPr>
            <w:rFonts w:ascii="Cambria Math" w:hAnsi="Cambria Math"/>
            <w:sz w:val="24"/>
          </w:rPr>
          <m:t>, </m:t>
        </m:r>
        <m:sSub>
          <m:sSubPr>
            <m:ctrlPr>
              <w:rPr>
                <w:rFonts w:ascii="Cambria Math" w:hAnsi="Cambria Math"/>
                <w:sz w:val="24"/>
              </w:rPr>
            </m:ctrlPr>
          </m:sSubPr>
          <m:e>
            <m:r>
              <w:rPr>
                <w:rFonts w:ascii="Cambria Math" w:hAnsi="Cambria Math"/>
                <w:sz w:val="24"/>
              </w:rPr>
              <m:t>Δ</m:t>
            </m:r>
          </m:e>
          <m:sub>
            <m:r>
              <w:rPr>
                <w:rFonts w:ascii="Cambria Math" w:hAnsi="Cambria Math"/>
                <w:sz w:val="24"/>
              </w:rPr>
              <m:t>k</m:t>
            </m:r>
          </m:sub>
        </m:sSub>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10</m:t>
            </m:r>
          </m:e>
          <m:sup>
            <m:r>
              <m:rPr>
                <m:sty m:val="p"/>
              </m:rPr>
              <w:rPr>
                <w:rFonts w:ascii="Cambria Math" w:hAnsi="Cambria Math"/>
                <w:sz w:val="24"/>
              </w:rPr>
              <m:t>-4</m:t>
            </m:r>
          </m:sup>
        </m:sSup>
      </m:oMath>
      <w:r>
        <w:rPr>
          <w:rFonts w:eastAsia="Times New Roman"/>
          <w:sz w:val="24"/>
        </w:rPr>
        <w:tab/>
        <w:t>(3-9)</w:t>
      </w:r>
    </w:p>
    <w:p w14:paraId="72445E88"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μ</m:t>
            </m:r>
          </m:e>
          <m:sub>
            <m:r>
              <m:rPr>
                <m:sty m:val="p"/>
              </m:rPr>
              <w:rPr>
                <w:rFonts w:ascii="Cambria Math" w:hAnsi="Cambria Math"/>
                <w:sz w:val="24"/>
              </w:rPr>
              <m:t>lap</m:t>
            </m:r>
          </m:sub>
        </m:sSub>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num>
          <m:den>
            <m:r>
              <w:rPr>
                <w:rFonts w:ascii="Cambria Math" w:hAnsi="Cambria Math"/>
                <w:sz w:val="24"/>
              </w:rPr>
              <m:t>HW</m:t>
            </m:r>
          </m:den>
        </m:f>
        <m:nary>
          <m:naryPr>
            <m:chr m:val="∑"/>
            <m:ctrlPr>
              <w:rPr>
                <w:rFonts w:ascii="Cambria Math" w:hAnsi="Cambria Math"/>
                <w:sz w:val="24"/>
              </w:rPr>
            </m:ctrlPr>
          </m:naryPr>
          <m:sub>
            <m:r>
              <w:rPr>
                <w:rFonts w:ascii="Cambria Math" w:hAnsi="Cambria Math"/>
                <w:sz w:val="24"/>
              </w:rPr>
              <m:t>x</m:t>
            </m:r>
            <m:r>
              <m:rPr>
                <m:sty m:val="p"/>
              </m:rPr>
              <w:rPr>
                <w:rFonts w:ascii="Cambria Math" w:hAnsi="Cambria Math"/>
                <w:sz w:val="24"/>
              </w:rPr>
              <m:t>=1</m:t>
            </m:r>
          </m:sub>
          <m:sup>
            <m:r>
              <w:rPr>
                <w:rFonts w:ascii="Cambria Math" w:hAnsi="Cambria Math"/>
                <w:sz w:val="24"/>
              </w:rPr>
              <m:t>H</m:t>
            </m:r>
          </m:sup>
          <m:e>
            <m:nary>
              <m:naryPr>
                <m:chr m:val="∑"/>
                <m:ctrlPr>
                  <w:rPr>
                    <w:rFonts w:ascii="Cambria Math" w:hAnsi="Cambria Math"/>
                    <w:sz w:val="24"/>
                  </w:rPr>
                </m:ctrlPr>
              </m:naryPr>
              <m:sub>
                <m:r>
                  <w:rPr>
                    <w:rFonts w:ascii="Cambria Math" w:hAnsi="Cambria Math"/>
                    <w:sz w:val="24"/>
                  </w:rPr>
                  <m:t>y</m:t>
                </m:r>
                <m:r>
                  <m:rPr>
                    <m:sty m:val="p"/>
                  </m:rPr>
                  <w:rPr>
                    <w:rFonts w:ascii="Cambria Math" w:hAnsi="Cambria Math"/>
                    <w:sz w:val="24"/>
                  </w:rPr>
                  <m:t>=1</m:t>
                </m:r>
              </m:sub>
              <m:sup>
                <m:r>
                  <w:rPr>
                    <w:rFonts w:ascii="Cambria Math" w:hAnsi="Cambria Math"/>
                    <w:sz w:val="24"/>
                  </w:rPr>
                  <m:t>W</m:t>
                </m:r>
              </m:sup>
              <m:e>
                <m:r>
                  <m:rPr>
                    <m:sty m:val="p"/>
                  </m:rPr>
                  <w:rPr>
                    <w:rFonts w:ascii="Cambria Math" w:hAnsi="Cambria Math"/>
                    <w:sz w:val="24"/>
                  </w:rPr>
                  <m:t>lap</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e>
            </m:nary>
          </m:e>
        </m:nary>
        <m:r>
          <m:rPr>
            <m:sty m:val="p"/>
          </m:rPr>
          <w:rPr>
            <w:rFonts w:ascii="Cambria Math" w:hAnsi="Cambria Math"/>
            <w:sz w:val="24"/>
          </w:rPr>
          <m:t xml:space="preserve">, </m:t>
        </m:r>
        <m:sSup>
          <m:sSupPr>
            <m:ctrlPr>
              <w:rPr>
                <w:rFonts w:ascii="Cambria Math" w:hAnsi="Cambria Math"/>
                <w:sz w:val="24"/>
              </w:rPr>
            </m:ctrlPr>
          </m:sSupPr>
          <m:e>
            <m:sSub>
              <m:sSubPr>
                <m:ctrlPr>
                  <w:rPr>
                    <w:rFonts w:ascii="Cambria Math" w:hAnsi="Cambria Math"/>
                    <w:sz w:val="24"/>
                  </w:rPr>
                </m:ctrlPr>
              </m:sSubPr>
              <m:e>
                <m:r>
                  <w:rPr>
                    <w:rFonts w:ascii="Cambria Math" w:hAnsi="Cambria Math"/>
                    <w:sz w:val="24"/>
                  </w:rPr>
                  <m:t>σ</m:t>
                </m:r>
              </m:e>
              <m:sub>
                <m:r>
                  <m:rPr>
                    <m:sty m:val="p"/>
                  </m:rPr>
                  <w:rPr>
                    <w:rFonts w:ascii="Cambria Math" w:hAnsi="Cambria Math"/>
                    <w:sz w:val="24"/>
                  </w:rPr>
                  <m:t>lap</m:t>
                </m:r>
              </m:sub>
            </m:sSub>
          </m:e>
          <m:sup>
            <m:r>
              <m:rPr>
                <m:sty m:val="p"/>
              </m:rPr>
              <w:rPr>
                <w:rFonts w:ascii="Cambria Math" w:hAnsi="Cambria Math"/>
                <w:sz w:val="24"/>
              </w:rPr>
              <m:t>2</m:t>
            </m:r>
          </m:sup>
        </m:sSup>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num>
          <m:den>
            <m:r>
              <w:rPr>
                <w:rFonts w:ascii="Cambria Math" w:hAnsi="Cambria Math"/>
                <w:sz w:val="24"/>
              </w:rPr>
              <m:t>HW</m:t>
            </m:r>
          </m:den>
        </m:f>
        <m:nary>
          <m:naryPr>
            <m:chr m:val="∑"/>
            <m:ctrlPr>
              <w:rPr>
                <w:rFonts w:ascii="Cambria Math" w:hAnsi="Cambria Math"/>
                <w:sz w:val="24"/>
              </w:rPr>
            </m:ctrlPr>
          </m:naryPr>
          <m:sub>
            <m:r>
              <w:rPr>
                <w:rFonts w:ascii="Cambria Math" w:hAnsi="Cambria Math"/>
                <w:sz w:val="24"/>
              </w:rPr>
              <m:t>x</m:t>
            </m:r>
            <m:r>
              <m:rPr>
                <m:sty m:val="p"/>
              </m:rPr>
              <w:rPr>
                <w:rFonts w:ascii="Cambria Math" w:hAnsi="Cambria Math"/>
                <w:sz w:val="24"/>
              </w:rPr>
              <m:t>=1</m:t>
            </m:r>
          </m:sub>
          <m:sup>
            <m:r>
              <w:rPr>
                <w:rFonts w:ascii="Cambria Math" w:hAnsi="Cambria Math"/>
                <w:sz w:val="24"/>
              </w:rPr>
              <m:t>H</m:t>
            </m:r>
          </m:sup>
          <m:e>
            <m:nary>
              <m:naryPr>
                <m:chr m:val="∑"/>
                <m:ctrlPr>
                  <w:rPr>
                    <w:rFonts w:ascii="Cambria Math" w:hAnsi="Cambria Math"/>
                    <w:sz w:val="24"/>
                  </w:rPr>
                </m:ctrlPr>
              </m:naryPr>
              <m:sub>
                <m:r>
                  <w:rPr>
                    <w:rFonts w:ascii="Cambria Math" w:hAnsi="Cambria Math"/>
                    <w:sz w:val="24"/>
                  </w:rPr>
                  <m:t>y</m:t>
                </m:r>
                <m:r>
                  <m:rPr>
                    <m:sty m:val="p"/>
                  </m:rPr>
                  <w:rPr>
                    <w:rFonts w:ascii="Cambria Math" w:hAnsi="Cambria Math"/>
                    <w:sz w:val="24"/>
                  </w:rPr>
                  <m:t>=1</m:t>
                </m:r>
              </m:sub>
              <m:sup>
                <m:r>
                  <w:rPr>
                    <w:rFonts w:ascii="Cambria Math" w:hAnsi="Cambria Math"/>
                    <w:sz w:val="24"/>
                  </w:rPr>
                  <m:t>W</m:t>
                </m:r>
              </m:sup>
              <m:e>
                <m:sSup>
                  <m:sSupPr>
                    <m:ctrlPr>
                      <w:rPr>
                        <w:rFonts w:ascii="Cambria Math" w:hAnsi="Cambria Math"/>
                        <w:sz w:val="24"/>
                      </w:rPr>
                    </m:ctrlPr>
                  </m:sSupPr>
                  <m:e>
                    <m:d>
                      <m:dPr>
                        <m:ctrlPr>
                          <w:rPr>
                            <w:rFonts w:ascii="Cambria Math" w:hAnsi="Cambria Math"/>
                            <w:sz w:val="24"/>
                          </w:rPr>
                        </m:ctrlPr>
                      </m:dPr>
                      <m:e>
                        <m:r>
                          <m:rPr>
                            <m:sty m:val="p"/>
                          </m:rPr>
                          <w:rPr>
                            <w:rFonts w:ascii="Cambria Math" w:hAnsi="Cambria Math"/>
                            <w:sz w:val="24"/>
                          </w:rPr>
                          <m:t>lap</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μ</m:t>
                            </m:r>
                          </m:e>
                          <m:sub>
                            <m:r>
                              <m:rPr>
                                <m:sty m:val="p"/>
                              </m:rPr>
                              <w:rPr>
                                <w:rFonts w:ascii="Cambria Math" w:hAnsi="Cambria Math"/>
                                <w:sz w:val="24"/>
                              </w:rPr>
                              <m:t>lap</m:t>
                            </m:r>
                          </m:sub>
                        </m:sSub>
                      </m:e>
                    </m:d>
                  </m:e>
                  <m:sup>
                    <m:r>
                      <m:rPr>
                        <m:sty m:val="p"/>
                      </m:rPr>
                      <w:rPr>
                        <w:rFonts w:ascii="Cambria Math" w:hAnsi="Cambria Math"/>
                        <w:sz w:val="24"/>
                      </w:rPr>
                      <m:t>2</m:t>
                    </m:r>
                  </m:sup>
                </m:sSup>
              </m:e>
            </m:nary>
          </m:e>
        </m:nary>
      </m:oMath>
      <w:r>
        <w:rPr>
          <w:rFonts w:eastAsia="Times New Roman"/>
          <w:sz w:val="24"/>
        </w:rPr>
        <w:tab/>
        <w:t>(3-8a)</w:t>
      </w:r>
    </w:p>
    <w:p w14:paraId="43EB8E0D"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F</m:t>
            </m:r>
          </m:e>
          <m:sub>
            <m:r>
              <m:rPr>
                <m:sty m:val="p"/>
              </m:rPr>
              <w:rPr>
                <w:rFonts w:ascii="Cambria Math" w:hAnsi="Cambria Math"/>
                <w:sz w:val="24"/>
              </w:rPr>
              <m:t>payload</m:t>
            </m:r>
          </m:sub>
        </m:sSub>
        <m:r>
          <m:rPr>
            <m:sty m:val="p"/>
          </m:rPr>
          <w:rPr>
            <w:rFonts w:ascii="Cambria Math" w:hAnsi="Cambria Math"/>
            <w:sz w:val="24"/>
          </w:rPr>
          <m:t>=BLAKE2s</m:t>
        </m:r>
        <m:d>
          <m:dPr>
            <m:ctrlPr>
              <w:rPr>
                <w:rFonts w:ascii="Cambria Math" w:hAnsi="Cambria Math"/>
                <w:sz w:val="24"/>
              </w:rPr>
            </m:ctrlPr>
          </m:dPr>
          <m:e>
            <m:r>
              <w:rPr>
                <w:rFonts w:ascii="Cambria Math" w:hAnsi="Cambria Math"/>
                <w:sz w:val="24"/>
              </w:rPr>
              <m:t>H</m:t>
            </m:r>
            <m:d>
              <m:dPr>
                <m:ctrlPr>
                  <w:rPr>
                    <w:rFonts w:ascii="Cambria Math" w:hAnsi="Cambria Math"/>
                    <w:sz w:val="24"/>
                  </w:rPr>
                </m:ctrlPr>
              </m:dPr>
              <m:e>
                <m:r>
                  <m:rPr>
                    <m:sty m:val="p"/>
                  </m:rPr>
                  <w:rPr>
                    <w:rFonts w:ascii="Cambria Math" w:hAnsi="Cambria Math"/>
                    <w:sz w:val="24"/>
                  </w:rPr>
                  <m:t>share0</m:t>
                </m:r>
              </m:e>
            </m:d>
            <m:r>
              <m:rPr>
                <m:sty m:val="p"/>
              </m:rPr>
              <w:rPr>
                <w:rFonts w:ascii="Cambria Math" w:hAnsi="Cambria Math"/>
                <w:sz w:val="24"/>
              </w:rPr>
              <m:t>∥":"∥</m:t>
            </m:r>
            <m:r>
              <w:rPr>
                <w:rFonts w:ascii="Cambria Math" w:hAnsi="Cambria Math"/>
                <w:sz w:val="24"/>
              </w:rPr>
              <m:t>H</m:t>
            </m:r>
            <m:d>
              <m:dPr>
                <m:ctrlPr>
                  <w:rPr>
                    <w:rFonts w:ascii="Cambria Math" w:hAnsi="Cambria Math"/>
                    <w:sz w:val="24"/>
                  </w:rPr>
                </m:ctrlPr>
              </m:dPr>
              <m:e>
                <m:r>
                  <m:rPr>
                    <m:sty m:val="p"/>
                  </m:rPr>
                  <w:rPr>
                    <w:rFonts w:ascii="Cambria Math" w:hAnsi="Cambria Math"/>
                    <w:sz w:val="24"/>
                  </w:rPr>
                  <m:t>share1</m:t>
                </m:r>
              </m:e>
            </m:d>
          </m:e>
        </m:d>
      </m:oMath>
      <w:r>
        <w:rPr>
          <w:rFonts w:eastAsia="Times New Roman"/>
          <w:sz w:val="24"/>
        </w:rPr>
        <w:tab/>
        <w:t>(3-9a)</w:t>
      </w:r>
    </w:p>
    <w:p w14:paraId="3EB5724C"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n</m:t>
            </m:r>
          </m:e>
          <m:sub>
            <m:r>
              <m:rPr>
                <m:sty m:val="p"/>
              </m:rPr>
              <w:rPr>
                <w:rFonts w:ascii="Cambria Math" w:hAnsi="Cambria Math"/>
                <w:sz w:val="24"/>
              </w:rPr>
              <m:t>ip</m:t>
            </m:r>
          </m:sub>
        </m:sSub>
        <m:d>
          <m:dPr>
            <m:ctrlPr>
              <w:rPr>
                <w:rFonts w:ascii="Cambria Math" w:hAnsi="Cambria Math"/>
                <w:sz w:val="24"/>
              </w:rPr>
            </m:ctrlPr>
          </m:dPr>
          <m:e>
            <m:r>
              <w:rPr>
                <w:rFonts w:ascii="Cambria Math" w:hAnsi="Cambria Math"/>
                <w:sz w:val="24"/>
              </w:rPr>
              <m:t>t</m:t>
            </m:r>
            <m:r>
              <m:rPr>
                <m:sty m:val="p"/>
              </m:rPr>
              <w:rPr>
                <w:rFonts w:ascii="Cambria Math" w:hAnsi="Cambria Math"/>
                <w:sz w:val="24"/>
              </w:rPr>
              <m:t>;</m:t>
            </m:r>
            <m:r>
              <w:rPr>
                <w:rFonts w:ascii="Cambria Math" w:hAnsi="Cambria Math"/>
                <w:sz w:val="24"/>
              </w:rPr>
              <m:t>Δ</m:t>
            </m:r>
          </m:e>
        </m:d>
        <m:r>
          <m:rPr>
            <m:sty m:val="p"/>
          </m:rPr>
          <w:rPr>
            <w:rFonts w:ascii="Cambria Math" w:hAnsi="Cambria Math"/>
            <w:sz w:val="24"/>
          </w:rPr>
          <m:t>=</m:t>
        </m:r>
        <m:nary>
          <m:naryPr>
            <m:chr m:val="∑"/>
            <m:ctrlPr>
              <w:rPr>
                <w:rFonts w:ascii="Cambria Math" w:hAnsi="Cambria Math"/>
                <w:sz w:val="24"/>
              </w:rPr>
            </m:ctrlPr>
          </m:naryPr>
          <m:sub>
            <m:r>
              <m:rPr>
                <m:sty m:val="p"/>
              </m:rPr>
              <w:rPr>
                <w:rFonts w:ascii="Cambria Math" w:hAnsi="Cambria Math"/>
                <w:sz w:val="24"/>
              </w:rPr>
              <m:t>j</m:t>
            </m:r>
          </m:sub>
          <m:sup/>
          <m:e>
            <m:r>
              <m:rPr>
                <m:sty m:val="p"/>
              </m:rPr>
              <w:rPr>
                <w:rFonts w:ascii="Cambria Math" w:hAnsi="Cambria Math"/>
                <w:sz w:val="24"/>
              </w:rPr>
              <m:t>1</m:t>
            </m:r>
            <m:d>
              <m:dPr>
                <m:begChr m:val="["/>
                <m:endChr m:val="]"/>
                <m:ctrlPr>
                  <w:rPr>
                    <w:rFonts w:ascii="Cambria Math" w:hAnsi="Cambria Math"/>
                    <w:sz w:val="24"/>
                  </w:rPr>
                </m:ctrlPr>
              </m:dPr>
              <m:e>
                <m:r>
                  <w:rPr>
                    <w:rFonts w:ascii="Cambria Math" w:hAnsi="Cambria Math"/>
                    <w:sz w:val="24"/>
                  </w:rPr>
                  <m:t>t</m:t>
                </m:r>
                <m:r>
                  <m:rPr>
                    <m:sty m:val="p"/>
                  </m:rPr>
                  <w:rPr>
                    <w:rFonts w:ascii="Cambria Math" w:hAnsi="Cambria Math"/>
                    <w:sz w:val="24"/>
                  </w:rPr>
                  <m:t>-</m:t>
                </m:r>
                <m:r>
                  <w:rPr>
                    <w:rFonts w:ascii="Cambria Math" w:hAnsi="Cambria Math"/>
                    <w:sz w:val="24"/>
                  </w:rPr>
                  <m:t>Δ</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j</m:t>
                    </m:r>
                  </m:sub>
                </m:sSub>
                <m:r>
                  <m:rPr>
                    <m:sty m:val="p"/>
                  </m:rPr>
                  <w:rPr>
                    <w:rFonts w:ascii="Cambria Math" w:hAnsi="Cambria Math"/>
                    <w:sz w:val="24"/>
                  </w:rPr>
                  <m:t>≤</m:t>
                </m:r>
                <m:r>
                  <w:rPr>
                    <w:rFonts w:ascii="Cambria Math" w:hAnsi="Cambria Math"/>
                    <w:sz w:val="24"/>
                  </w:rPr>
                  <m:t>t</m:t>
                </m:r>
              </m:e>
            </m:d>
          </m:e>
        </m:nary>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n</m:t>
            </m:r>
          </m:e>
          <m:sub>
            <m:r>
              <m:rPr>
                <m:sty m:val="p"/>
              </m:rPr>
              <w:rPr>
                <w:rFonts w:ascii="Cambria Math" w:hAnsi="Cambria Math"/>
                <w:sz w:val="24"/>
              </w:rPr>
              <m:t>ip</m:t>
            </m:r>
          </m:sub>
        </m:sSub>
        <m:d>
          <m:dPr>
            <m:ctrlPr>
              <w:rPr>
                <w:rFonts w:ascii="Cambria Math" w:hAnsi="Cambria Math"/>
                <w:sz w:val="24"/>
              </w:rPr>
            </m:ctrlPr>
          </m:dPr>
          <m:e>
            <m:r>
              <w:rPr>
                <w:rFonts w:ascii="Cambria Math" w:hAnsi="Cambria Math"/>
                <w:sz w:val="24"/>
              </w:rPr>
              <m:t>t</m:t>
            </m:r>
            <m:r>
              <m:rPr>
                <m:sty m:val="p"/>
              </m:rPr>
              <w:rPr>
                <w:rFonts w:ascii="Cambria Math" w:hAnsi="Cambria Math"/>
                <w:sz w:val="24"/>
              </w:rPr>
              <m:t>;</m:t>
            </m:r>
            <m:r>
              <w:rPr>
                <w:rFonts w:ascii="Cambria Math" w:hAnsi="Cambria Math"/>
                <w:sz w:val="24"/>
              </w:rPr>
              <m:t>Δ</m:t>
            </m:r>
          </m:e>
        </m:d>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R</m:t>
            </m:r>
          </m:e>
          <m:sub>
            <m:r>
              <m:rPr>
                <m:sty m:val="p"/>
              </m:rPr>
              <w:rPr>
                <w:rFonts w:ascii="Cambria Math" w:hAnsi="Cambria Math"/>
                <w:sz w:val="24"/>
              </w:rPr>
              <m:t>ip</m:t>
            </m:r>
          </m:sub>
        </m:sSub>
        <m:r>
          <m:rPr>
            <m:sty m:val="p"/>
          </m:rPr>
          <w:rPr>
            <w:rFonts w:ascii="Cambria Math" w:hAnsi="Cambria Math"/>
            <w:sz w:val="24"/>
          </w:rPr>
          <m:t xml:space="preserve">, </m:t>
        </m:r>
        <m:sSubSup>
          <m:sSubSupPr>
            <m:ctrlPr>
              <w:rPr>
                <w:rFonts w:ascii="Cambria Math" w:hAnsi="Cambria Math"/>
                <w:sz w:val="24"/>
              </w:rPr>
            </m:ctrlPr>
          </m:sSubSupPr>
          <m:e>
            <m:r>
              <w:rPr>
                <w:rFonts w:ascii="Cambria Math" w:hAnsi="Cambria Math"/>
                <w:sz w:val="24"/>
              </w:rPr>
              <m:t>c</m:t>
            </m:r>
          </m:e>
          <m:sub>
            <m:r>
              <m:rPr>
                <m:sty m:val="p"/>
              </m:rPr>
              <w:rPr>
                <w:rFonts w:ascii="Cambria Math" w:hAnsi="Cambria Math"/>
                <w:sz w:val="24"/>
              </w:rPr>
              <m:t>ip</m:t>
            </m:r>
          </m:sub>
          <m:sup>
            <m:r>
              <m:rPr>
                <m:sty m:val="p"/>
              </m:rPr>
              <w:rPr>
                <w:rFonts w:ascii="Cambria Math" w:hAnsi="Cambria Math"/>
                <w:sz w:val="24"/>
              </w:rPr>
              <m:t>inflight</m:t>
            </m:r>
          </m:sup>
        </m:sSubSup>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m:rPr>
                <m:sty m:val="p"/>
              </m:rPr>
              <w:rPr>
                <w:rFonts w:ascii="Cambria Math" w:hAnsi="Cambria Math"/>
                <w:sz w:val="24"/>
              </w:rPr>
              <m:t>ip</m:t>
            </m:r>
          </m:sub>
        </m:sSub>
      </m:oMath>
      <w:r>
        <w:rPr>
          <w:rFonts w:eastAsia="Times New Roman"/>
          <w:sz w:val="24"/>
        </w:rPr>
        <w:tab/>
        <w:t>(3-9b)</w:t>
      </w:r>
    </w:p>
    <w:p w14:paraId="51EEA4D3" w14:textId="77777777" w:rsidR="00035316" w:rsidRDefault="00831B25">
      <w:pPr>
        <w:spacing w:line="360" w:lineRule="auto"/>
        <w:ind w:firstLine="480"/>
      </w:pPr>
      <w:r>
        <w:rPr>
          <w:rFonts w:ascii="宋体" w:hAnsi="宋体"/>
          <w:sz w:val="24"/>
        </w:rPr>
        <w:t>式（3-6a）给出最终类别 logit 的两方恢复关系；式（3-8a）将离散拉普拉斯响应进一步归约为方差指标，用于度量局部纹理与边缘强度；式（3-9a）与式（3-9b）分别对应载荷指纹去重与来源地址限频 / 并发守卫，从而把服务端控制面中的“去重、限频、准入”逻辑形式化为可验证约束。</w:t>
      </w:r>
    </w:p>
    <w:p w14:paraId="4B361CFA" w14:textId="77777777" w:rsidR="00035316" w:rsidRDefault="00831B25">
      <w:pPr>
        <w:spacing w:line="360" w:lineRule="auto"/>
        <w:ind w:firstLine="480"/>
        <w:rPr>
          <w:rFonts w:ascii="宋体" w:hAnsi="宋体" w:hint="eastAsia"/>
          <w:sz w:val="24"/>
        </w:rPr>
      </w:pPr>
      <w:r>
        <w:rPr>
          <w:rFonts w:ascii="宋体" w:hAnsi="宋体"/>
          <w:sz w:val="24"/>
        </w:rPr>
        <w:t>其中，服务端会先对 share 执行内存对齐复制，再将绝对值小于 2^-126 的极小值刷新为零，以切断次正规数带来的微代码异常路径；随后检查 share 与重构张量是否存在非有限值，以及 share 幅值是否超过 2。对客户端与服务端分别得到的质量摘要 q_k^(client) 与 q_k^(server)，只在基础连续数值出现显著偏离时才标记可疑漂移，而不会仅凭离散风险标签不一致就直接判定篡改。</w:t>
      </w:r>
      <m:oMath>
        <m:sSup>
          <m:sSupPr>
            <m:ctrlPr>
              <w:rPr>
                <w:rFonts w:ascii="Cambria Math" w:hAnsi="Cambria Math"/>
              </w:rPr>
            </m:ctrlPr>
          </m:sSupPr>
          <m:e>
            <m:r>
              <w:rPr>
                <w:rFonts w:ascii="Cambria Math" w:hAnsi="Cambria Math"/>
              </w:rPr>
              <m:t>10</m:t>
            </m:r>
          </m:e>
          <m:sup>
            <m:r>
              <w:rPr>
                <w:rFonts w:ascii="Cambria Math" w:hAnsi="Cambria Math"/>
              </w:rPr>
              <m:t>-30</m:t>
            </m:r>
          </m:sup>
        </m:sSup>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q</m:t>
            </m:r>
          </m:e>
          <m:sub>
            <m:r>
              <w:rPr>
                <w:rFonts w:ascii="Cambria Math" w:hAnsi="Cambria Math"/>
              </w:rPr>
              <m:t>k</m:t>
            </m:r>
          </m:sub>
        </m:sSub>
      </m:oMath>
    </w:p>
    <w:p w14:paraId="760272FE" w14:textId="77777777" w:rsidR="00035316" w:rsidRDefault="00831B25">
      <w:pPr>
        <w:spacing w:line="360" w:lineRule="auto"/>
        <w:ind w:firstLine="480"/>
        <w:rPr>
          <w:rFonts w:ascii="宋体" w:hAnsi="宋体" w:hint="eastAsia"/>
          <w:sz w:val="24"/>
        </w:rPr>
      </w:pPr>
      <w:r>
        <w:rPr>
          <w:rFonts w:ascii="宋体" w:hAnsi="宋体" w:hint="eastAsia"/>
          <w:sz w:val="24"/>
        </w:rPr>
        <w:t>为了把服务端权威快检、重放防护、并发守卫与审计落盘过程概括为可执行步骤，算法3给出服务器侧的统一验证与审计流程。</w:t>
      </w:r>
    </w:p>
    <w:p w14:paraId="570261C0" w14:textId="77777777" w:rsidR="00035316" w:rsidRDefault="00831B25">
      <w:pPr>
        <w:spacing w:line="360" w:lineRule="auto"/>
        <w:ind w:firstLine="480"/>
        <w:rPr>
          <w:rFonts w:ascii="宋体" w:hAnsi="宋体" w:hint="eastAsia"/>
          <w:sz w:val="24"/>
        </w:rPr>
      </w:pPr>
      <w:r>
        <w:rPr>
          <w:noProof/>
        </w:rPr>
        <w:drawing>
          <wp:inline distT="0" distB="0" distL="114300" distR="114300" wp14:anchorId="31CBFD5E" wp14:editId="79C3D371">
            <wp:extent cx="5596255" cy="2949575"/>
            <wp:effectExtent l="0" t="0" r="4445" b="9525"/>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5"/>
                    <a:stretch>
                      <a:fillRect/>
                    </a:stretch>
                  </pic:blipFill>
                  <pic:spPr>
                    <a:xfrm>
                      <a:off x="0" y="0"/>
                      <a:ext cx="5596255" cy="2949575"/>
                    </a:xfrm>
                    <a:prstGeom prst="rect">
                      <a:avLst/>
                    </a:prstGeom>
                    <a:noFill/>
                    <a:ln>
                      <a:noFill/>
                    </a:ln>
                  </pic:spPr>
                </pic:pic>
              </a:graphicData>
            </a:graphic>
          </wp:inline>
        </w:drawing>
      </w:r>
    </w:p>
    <w:p w14:paraId="116CD6BF" w14:textId="77777777" w:rsidR="00035316" w:rsidRDefault="00831B25">
      <w:pPr>
        <w:spacing w:line="360" w:lineRule="auto"/>
        <w:ind w:firstLine="480"/>
        <w:rPr>
          <w:rFonts w:ascii="宋体" w:hAnsi="宋体" w:hint="eastAsia"/>
          <w:sz w:val="24"/>
        </w:rPr>
      </w:pPr>
      <w:r>
        <w:rPr>
          <w:rFonts w:ascii="宋体" w:hAnsi="宋体"/>
          <w:sz w:val="24"/>
        </w:rPr>
        <w:t>为便于对应服务端控制面的实际落地点，图 3-3 将权威快检与审计闭环拆解为原始请求体读取、协议结构预检、JSON 长度门、share 哈希校验、张量快检、重放并发守卫与审计落盘等连续门控步骤。该图与本节公式部分共同说明：客户端声明不会直接成为最终裁决依据，请求只有在全部检查通过后才会进入 SPU 密态执行域。</w:t>
      </w:r>
    </w:p>
    <w:p w14:paraId="1777289E" w14:textId="77777777" w:rsidR="00035316" w:rsidRDefault="00831B25">
      <w:pPr>
        <w:spacing w:line="360" w:lineRule="auto"/>
        <w:ind w:firstLine="480"/>
        <w:rPr>
          <w:rFonts w:ascii="宋体" w:hAnsi="宋体" w:hint="eastAsia"/>
          <w:sz w:val="24"/>
        </w:rPr>
      </w:pPr>
      <w:r>
        <w:rPr>
          <w:rFonts w:ascii="宋体" w:hAnsi="宋体" w:cs="宋体"/>
          <w:sz w:val="24"/>
        </w:rPr>
        <w:t xml:space="preserve">本章出现的核心数学符号及其含义汇总如表 </w:t>
      </w:r>
      <w:r>
        <w:rPr>
          <w:rFonts w:ascii="宋体" w:hAnsi="宋体" w:cs="宋体" w:hint="eastAsia"/>
          <w:sz w:val="24"/>
        </w:rPr>
        <w:t>5</w:t>
      </w:r>
      <w:r>
        <w:rPr>
          <w:rFonts w:ascii="宋体" w:hAnsi="宋体" w:cs="宋体"/>
          <w:sz w:val="24"/>
        </w:rPr>
        <w:t xml:space="preserve"> 所示。</w:t>
      </w:r>
    </w:p>
    <w:p w14:paraId="515DF6F6" w14:textId="77777777" w:rsidR="00035316" w:rsidRDefault="00831B25">
      <w:pPr>
        <w:spacing w:line="360" w:lineRule="auto"/>
        <w:jc w:val="center"/>
      </w:pPr>
      <w:r>
        <w:rPr>
          <w:noProof/>
        </w:rPr>
        <w:drawing>
          <wp:inline distT="0" distB="0" distL="114300" distR="114300" wp14:anchorId="68937D26" wp14:editId="7D35189B">
            <wp:extent cx="5590540" cy="3006090"/>
            <wp:effectExtent l="0" t="0" r="1016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6"/>
                    <a:stretch>
                      <a:fillRect/>
                    </a:stretch>
                  </pic:blipFill>
                  <pic:spPr>
                    <a:xfrm>
                      <a:off x="0" y="0"/>
                      <a:ext cx="5590540" cy="3006090"/>
                    </a:xfrm>
                    <a:prstGeom prst="rect">
                      <a:avLst/>
                    </a:prstGeom>
                    <a:noFill/>
                    <a:ln>
                      <a:noFill/>
                    </a:ln>
                  </pic:spPr>
                </pic:pic>
              </a:graphicData>
            </a:graphic>
          </wp:inline>
        </w:drawing>
      </w:r>
    </w:p>
    <w:p w14:paraId="1CD812BC" w14:textId="77777777" w:rsidR="00035316" w:rsidRDefault="00831B25">
      <w:pPr>
        <w:spacing w:line="288" w:lineRule="auto"/>
        <w:jc w:val="left"/>
        <w:rPr>
          <w:sz w:val="24"/>
        </w:rPr>
      </w:pPr>
      <w:r>
        <w:rPr>
          <w:rFonts w:ascii="宋体" w:hAnsi="宋体"/>
          <w:sz w:val="24"/>
        </w:rPr>
        <w:t>图3-3 服务端权威快检与审计闭环图：请求仅在全部门控通过后进入 SPU，任一层失败均立即阻断并记录审计结果。</w:t>
      </w:r>
    </w:p>
    <w:p w14:paraId="28538832" w14:textId="77777777" w:rsidR="00035316" w:rsidRDefault="00831B25">
      <w:pPr>
        <w:spacing w:line="288" w:lineRule="auto"/>
        <w:jc w:val="center"/>
        <w:rPr>
          <w:sz w:val="24"/>
        </w:rPr>
      </w:pPr>
      <w:r>
        <w:rPr>
          <w:rFonts w:ascii="宋体" w:hAnsi="宋体"/>
          <w:sz w:val="24"/>
        </w:rPr>
        <w:t>表</w:t>
      </w:r>
      <w:r>
        <w:rPr>
          <w:rFonts w:ascii="宋体" w:hAnsi="宋体" w:hint="eastAsia"/>
          <w:sz w:val="24"/>
        </w:rPr>
        <w:t>5</w:t>
      </w:r>
      <w:r>
        <w:rPr>
          <w:rFonts w:ascii="宋体" w:hAnsi="宋体"/>
          <w:sz w:val="24"/>
        </w:rPr>
        <w:t xml:space="preserve"> 第三章关键符号说明</w:t>
      </w:r>
    </w:p>
    <w:tbl>
      <w:tblPr>
        <w:tblW w:w="8820" w:type="dxa"/>
        <w:jc w:val="center"/>
        <w:tblLook w:val="04A0" w:firstRow="1" w:lastRow="0" w:firstColumn="1" w:lastColumn="0" w:noHBand="0" w:noVBand="1"/>
      </w:tblPr>
      <w:tblGrid>
        <w:gridCol w:w="2460"/>
        <w:gridCol w:w="4073"/>
        <w:gridCol w:w="2287"/>
      </w:tblGrid>
      <w:tr w:rsidR="00035316" w14:paraId="4AD1E328" w14:textId="77777777">
        <w:trPr>
          <w:tblHeader/>
          <w:jc w:val="center"/>
        </w:trPr>
        <w:tc>
          <w:tcPr>
            <w:tcW w:w="2460" w:type="dxa"/>
            <w:tcBorders>
              <w:top w:val="single" w:sz="12" w:space="0" w:color="auto"/>
              <w:left w:val="nil"/>
              <w:bottom w:val="nil"/>
              <w:right w:val="nil"/>
            </w:tcBorders>
            <w:tcMar>
              <w:top w:w="-1" w:type="dxa"/>
              <w:left w:w="-1" w:type="dxa"/>
              <w:bottom w:w="-1" w:type="dxa"/>
              <w:right w:w="-1" w:type="dxa"/>
            </w:tcMar>
            <w:vAlign w:val="center"/>
          </w:tcPr>
          <w:p w14:paraId="279CAE19" w14:textId="77777777" w:rsidR="00035316" w:rsidRDefault="00831B25">
            <w:pPr>
              <w:snapToGrid w:val="0"/>
              <w:jc w:val="center"/>
              <w:rPr>
                <w:rFonts w:ascii="宋体"/>
                <w:b/>
                <w:sz w:val="24"/>
              </w:rPr>
            </w:pPr>
            <w:r>
              <w:rPr>
                <w:rFonts w:ascii="宋体" w:hAnsi="宋体"/>
                <w:b/>
                <w:sz w:val="24"/>
              </w:rPr>
              <w:t>符号</w:t>
            </w:r>
          </w:p>
        </w:tc>
        <w:tc>
          <w:tcPr>
            <w:tcW w:w="4073" w:type="dxa"/>
            <w:tcBorders>
              <w:top w:val="single" w:sz="12" w:space="0" w:color="auto"/>
              <w:left w:val="nil"/>
              <w:bottom w:val="nil"/>
              <w:right w:val="nil"/>
            </w:tcBorders>
            <w:tcMar>
              <w:top w:w="-1" w:type="dxa"/>
              <w:left w:w="-1" w:type="dxa"/>
              <w:bottom w:w="-1" w:type="dxa"/>
              <w:right w:w="-1" w:type="dxa"/>
            </w:tcMar>
            <w:vAlign w:val="center"/>
          </w:tcPr>
          <w:p w14:paraId="40CFB6F2" w14:textId="77777777" w:rsidR="00035316" w:rsidRDefault="00831B25">
            <w:pPr>
              <w:snapToGrid w:val="0"/>
              <w:jc w:val="center"/>
              <w:rPr>
                <w:rFonts w:ascii="宋体"/>
                <w:b/>
                <w:sz w:val="24"/>
              </w:rPr>
            </w:pPr>
            <w:r>
              <w:rPr>
                <w:rFonts w:ascii="宋体" w:hAnsi="宋体"/>
                <w:b/>
                <w:sz w:val="24"/>
              </w:rPr>
              <w:t>含义</w:t>
            </w:r>
          </w:p>
        </w:tc>
        <w:tc>
          <w:tcPr>
            <w:tcW w:w="2287" w:type="dxa"/>
            <w:tcBorders>
              <w:top w:val="single" w:sz="12" w:space="0" w:color="auto"/>
              <w:left w:val="nil"/>
              <w:bottom w:val="nil"/>
              <w:right w:val="nil"/>
            </w:tcBorders>
            <w:tcMar>
              <w:top w:w="-1" w:type="dxa"/>
              <w:left w:w="-1" w:type="dxa"/>
              <w:bottom w:w="-1" w:type="dxa"/>
              <w:right w:w="-1" w:type="dxa"/>
            </w:tcMar>
            <w:vAlign w:val="center"/>
          </w:tcPr>
          <w:p w14:paraId="7BAA2ECA" w14:textId="77777777" w:rsidR="00035316" w:rsidRDefault="00831B25">
            <w:pPr>
              <w:snapToGrid w:val="0"/>
              <w:jc w:val="center"/>
              <w:rPr>
                <w:rFonts w:ascii="宋体"/>
                <w:b/>
                <w:sz w:val="24"/>
              </w:rPr>
            </w:pPr>
            <w:r>
              <w:rPr>
                <w:rFonts w:ascii="宋体" w:hAnsi="宋体"/>
                <w:b/>
                <w:sz w:val="24"/>
              </w:rPr>
              <w:t>出现位置</w:t>
            </w:r>
          </w:p>
        </w:tc>
      </w:tr>
      <w:tr w:rsidR="00035316" w14:paraId="12361C12" w14:textId="77777777">
        <w:trPr>
          <w:jc w:val="center"/>
        </w:trPr>
        <w:tc>
          <w:tcPr>
            <w:tcW w:w="2460" w:type="dxa"/>
            <w:tcBorders>
              <w:top w:val="single" w:sz="4" w:space="0" w:color="auto"/>
              <w:left w:val="nil"/>
              <w:bottom w:val="nil"/>
              <w:right w:val="nil"/>
            </w:tcBorders>
            <w:tcMar>
              <w:top w:w="-1" w:type="dxa"/>
              <w:left w:w="-1" w:type="dxa"/>
              <w:bottom w:w="-1" w:type="dxa"/>
              <w:right w:w="-1" w:type="dxa"/>
            </w:tcMar>
            <w:vAlign w:val="center"/>
          </w:tcPr>
          <w:p w14:paraId="71046566" w14:textId="77777777" w:rsidR="00035316" w:rsidRDefault="00355533">
            <w:pPr>
              <w:snapToGrid w:val="0"/>
              <w:jc w:val="center"/>
              <w:rPr>
                <w:rFonts w:ascii="宋体"/>
                <w:sz w:val="24"/>
              </w:rPr>
            </w:pPr>
            <m:oMathPara>
              <m:oMath>
                <m:sSup>
                  <m:sSupPr>
                    <m:ctrlPr>
                      <w:rPr>
                        <w:rFonts w:ascii="Cambria Math" w:hAnsi="Cambria Math"/>
                        <w:sz w:val="24"/>
                      </w:rPr>
                    </m:ctrlPr>
                  </m:sSupPr>
                  <m:e>
                    <m:r>
                      <w:rPr>
                        <w:rFonts w:ascii="Cambria Math" w:hAnsi="Cambria Math"/>
                        <w:sz w:val="24"/>
                      </w:rPr>
                      <m:t>s</m:t>
                    </m:r>
                  </m:e>
                  <m:sup>
                    <m:d>
                      <m:dPr>
                        <m:ctrlPr>
                          <w:rPr>
                            <w:rFonts w:ascii="Cambria Math" w:hAnsi="Cambria Math"/>
                            <w:sz w:val="24"/>
                          </w:rPr>
                        </m:ctrlPr>
                      </m:dPr>
                      <m:e>
                        <m:r>
                          <w:rPr>
                            <w:rFonts w:ascii="Cambria Math" w:hAnsi="Cambria Math"/>
                            <w:sz w:val="24"/>
                          </w:rPr>
                          <m:t>l</m:t>
                        </m:r>
                      </m:e>
                    </m:d>
                  </m:sup>
                </m:sSup>
              </m:oMath>
            </m:oMathPara>
          </w:p>
        </w:tc>
        <w:tc>
          <w:tcPr>
            <w:tcW w:w="4073" w:type="dxa"/>
            <w:tcBorders>
              <w:top w:val="single" w:sz="4" w:space="0" w:color="auto"/>
              <w:left w:val="nil"/>
              <w:bottom w:val="nil"/>
              <w:right w:val="nil"/>
            </w:tcBorders>
            <w:tcMar>
              <w:top w:w="-1" w:type="dxa"/>
              <w:left w:w="-1" w:type="dxa"/>
              <w:bottom w:w="-1" w:type="dxa"/>
              <w:right w:w="-1" w:type="dxa"/>
            </w:tcMar>
            <w:vAlign w:val="center"/>
          </w:tcPr>
          <w:p w14:paraId="50B2DB29" w14:textId="77777777" w:rsidR="00035316" w:rsidRDefault="00831B25">
            <w:pPr>
              <w:snapToGrid w:val="0"/>
              <w:jc w:val="left"/>
              <w:rPr>
                <w:rFonts w:ascii="宋体"/>
                <w:sz w:val="24"/>
              </w:rPr>
            </w:pPr>
            <w:r>
              <w:rPr>
                <w:rFonts w:ascii="宋体" w:hAnsi="宋体"/>
                <w:sz w:val="24"/>
              </w:rPr>
              <w:t>第 l 个剪枝 stage 的词元得分向量</w:t>
            </w:r>
          </w:p>
        </w:tc>
        <w:tc>
          <w:tcPr>
            <w:tcW w:w="2287" w:type="dxa"/>
            <w:tcBorders>
              <w:top w:val="single" w:sz="4" w:space="0" w:color="auto"/>
              <w:left w:val="nil"/>
              <w:bottom w:val="nil"/>
              <w:right w:val="nil"/>
            </w:tcBorders>
            <w:tcMar>
              <w:top w:w="-1" w:type="dxa"/>
              <w:left w:w="-1" w:type="dxa"/>
              <w:bottom w:w="-1" w:type="dxa"/>
              <w:right w:w="-1" w:type="dxa"/>
            </w:tcMar>
            <w:vAlign w:val="center"/>
          </w:tcPr>
          <w:p w14:paraId="788E9D51" w14:textId="77777777" w:rsidR="00035316" w:rsidRDefault="00831B25">
            <w:pPr>
              <w:snapToGrid w:val="0"/>
              <w:jc w:val="left"/>
              <w:rPr>
                <w:rFonts w:ascii="宋体"/>
                <w:sz w:val="24"/>
              </w:rPr>
            </w:pPr>
            <w:r>
              <w:rPr>
                <w:rFonts w:ascii="宋体" w:hAnsi="宋体"/>
                <w:sz w:val="24"/>
              </w:rPr>
              <w:t>式(3-1)</w:t>
            </w:r>
          </w:p>
        </w:tc>
      </w:tr>
      <w:tr w:rsidR="00035316" w14:paraId="14E23900"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40DFAAE4" w14:textId="77777777" w:rsidR="00035316" w:rsidRDefault="00355533">
            <w:pPr>
              <w:snapToGrid w:val="0"/>
              <w:jc w:val="center"/>
              <w:rPr>
                <w:rFonts w:ascii="宋体"/>
                <w:sz w:val="24"/>
              </w:rPr>
            </w:pPr>
            <m:oMathPara>
              <m:oMath>
                <m:sSup>
                  <m:sSupPr>
                    <m:ctrlPr>
                      <w:rPr>
                        <w:rFonts w:ascii="Cambria Math" w:hAnsi="Cambria Math"/>
                        <w:sz w:val="24"/>
                      </w:rPr>
                    </m:ctrlPr>
                  </m:sSupPr>
                  <m:e>
                    <m:r>
                      <w:rPr>
                        <w:rFonts w:ascii="Cambria Math" w:hAnsi="Cambria Math"/>
                        <w:sz w:val="24"/>
                      </w:rPr>
                      <m:t>K</m:t>
                    </m:r>
                  </m:e>
                  <m:sup>
                    <m:d>
                      <m:dPr>
                        <m:ctrlPr>
                          <w:rPr>
                            <w:rFonts w:ascii="Cambria Math" w:hAnsi="Cambria Math"/>
                            <w:sz w:val="24"/>
                          </w:rPr>
                        </m:ctrlPr>
                      </m:dPr>
                      <m:e>
                        <m:r>
                          <w:rPr>
                            <w:rFonts w:ascii="Cambria Math" w:hAnsi="Cambria Math"/>
                            <w:sz w:val="24"/>
                          </w:rPr>
                          <m:t>l</m:t>
                        </m:r>
                      </m:e>
                    </m:d>
                  </m:sup>
                </m:sSup>
              </m:oMath>
            </m:oMathPara>
          </w:p>
        </w:tc>
        <w:tc>
          <w:tcPr>
            <w:tcW w:w="4073" w:type="dxa"/>
            <w:tcBorders>
              <w:top w:val="nil"/>
              <w:left w:val="nil"/>
              <w:bottom w:val="nil"/>
              <w:right w:val="nil"/>
            </w:tcBorders>
            <w:tcMar>
              <w:top w:w="-1" w:type="dxa"/>
              <w:left w:w="-1" w:type="dxa"/>
              <w:bottom w:w="-1" w:type="dxa"/>
              <w:right w:w="-1" w:type="dxa"/>
            </w:tcMar>
            <w:vAlign w:val="center"/>
          </w:tcPr>
          <w:p w14:paraId="5FABCA30" w14:textId="77777777" w:rsidR="00035316" w:rsidRDefault="00831B25">
            <w:pPr>
              <w:snapToGrid w:val="0"/>
              <w:jc w:val="left"/>
              <w:rPr>
                <w:rFonts w:ascii="宋体"/>
                <w:sz w:val="24"/>
              </w:rPr>
            </w:pPr>
            <w:r>
              <w:rPr>
                <w:rFonts w:ascii="宋体" w:hAnsi="宋体"/>
                <w:sz w:val="24"/>
              </w:rPr>
              <w:t>第 l 个剪枝 stage 允许保留的词元数</w:t>
            </w:r>
          </w:p>
        </w:tc>
        <w:tc>
          <w:tcPr>
            <w:tcW w:w="2287" w:type="dxa"/>
            <w:tcBorders>
              <w:top w:val="nil"/>
              <w:left w:val="nil"/>
              <w:bottom w:val="nil"/>
              <w:right w:val="nil"/>
            </w:tcBorders>
            <w:tcMar>
              <w:top w:w="-1" w:type="dxa"/>
              <w:left w:w="-1" w:type="dxa"/>
              <w:bottom w:w="-1" w:type="dxa"/>
              <w:right w:w="-1" w:type="dxa"/>
            </w:tcMar>
            <w:vAlign w:val="center"/>
          </w:tcPr>
          <w:p w14:paraId="5C7879B7" w14:textId="77777777" w:rsidR="00035316" w:rsidRDefault="00831B25">
            <w:pPr>
              <w:snapToGrid w:val="0"/>
              <w:jc w:val="left"/>
              <w:rPr>
                <w:rFonts w:ascii="宋体"/>
                <w:sz w:val="24"/>
              </w:rPr>
            </w:pPr>
            <w:r>
              <w:rPr>
                <w:rFonts w:ascii="宋体" w:hAnsi="宋体"/>
                <w:sz w:val="24"/>
              </w:rPr>
              <w:t>式(3-1)</w:t>
            </w:r>
          </w:p>
        </w:tc>
      </w:tr>
      <w:tr w:rsidR="00035316" w14:paraId="28AAA635"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45B16E78" w14:textId="77777777" w:rsidR="00035316" w:rsidRDefault="00355533">
            <w:pPr>
              <w:snapToGrid w:val="0"/>
              <w:jc w:val="center"/>
              <w:rPr>
                <w:rFonts w:ascii="宋体"/>
                <w:sz w:val="24"/>
              </w:rPr>
            </w:pPr>
            <m:oMathPara>
              <m:oMath>
                <m:sSup>
                  <m:sSupPr>
                    <m:ctrlPr>
                      <w:rPr>
                        <w:rFonts w:ascii="Cambria Math" w:hAnsi="Cambria Math"/>
                        <w:sz w:val="24"/>
                      </w:rPr>
                    </m:ctrlPr>
                  </m:sSupPr>
                  <m:e>
                    <m:r>
                      <w:rPr>
                        <w:rFonts w:ascii="Cambria Math" w:hAnsi="Cambria Math"/>
                        <w:sz w:val="24"/>
                      </w:rPr>
                      <m:t>τ</m:t>
                    </m:r>
                  </m:e>
                  <m:sup>
                    <m:d>
                      <m:dPr>
                        <m:ctrlPr>
                          <w:rPr>
                            <w:rFonts w:ascii="Cambria Math" w:hAnsi="Cambria Math"/>
                            <w:sz w:val="24"/>
                          </w:rPr>
                        </m:ctrlPr>
                      </m:dPr>
                      <m:e>
                        <m:r>
                          <w:rPr>
                            <w:rFonts w:ascii="Cambria Math" w:hAnsi="Cambria Math"/>
                            <w:sz w:val="24"/>
                          </w:rPr>
                          <m:t>l</m:t>
                        </m:r>
                      </m:e>
                    </m:d>
                  </m:sup>
                </m:sSup>
              </m:oMath>
            </m:oMathPara>
          </w:p>
        </w:tc>
        <w:tc>
          <w:tcPr>
            <w:tcW w:w="4073" w:type="dxa"/>
            <w:tcBorders>
              <w:top w:val="nil"/>
              <w:left w:val="nil"/>
              <w:bottom w:val="nil"/>
              <w:right w:val="nil"/>
            </w:tcBorders>
            <w:tcMar>
              <w:top w:w="-1" w:type="dxa"/>
              <w:left w:w="-1" w:type="dxa"/>
              <w:bottom w:w="-1" w:type="dxa"/>
              <w:right w:w="-1" w:type="dxa"/>
            </w:tcMar>
            <w:vAlign w:val="center"/>
          </w:tcPr>
          <w:p w14:paraId="42E7D7A5" w14:textId="77777777" w:rsidR="00035316" w:rsidRDefault="00831B25">
            <w:pPr>
              <w:snapToGrid w:val="0"/>
              <w:jc w:val="left"/>
              <w:rPr>
                <w:rFonts w:ascii="宋体"/>
                <w:sz w:val="24"/>
              </w:rPr>
            </w:pPr>
            <w:r>
              <w:rPr>
                <w:rFonts w:ascii="宋体" w:hAnsi="宋体"/>
                <w:sz w:val="24"/>
              </w:rPr>
              <w:t>由安全 Top-</w:t>
            </w:r>
            <m:oMath>
              <m:r>
                <w:rPr>
                  <w:rFonts w:ascii="Cambria Math" w:hAnsi="Cambria Math"/>
                  <w:sz w:val="24"/>
                </w:rPr>
                <m:t>K</m:t>
              </m:r>
            </m:oMath>
            <w:r>
              <w:rPr>
                <w:rFonts w:ascii="宋体" w:hAnsi="宋体"/>
                <w:sz w:val="24"/>
              </w:rPr>
              <w:t>边界导出的保留阈值</w:t>
            </w:r>
          </w:p>
        </w:tc>
        <w:tc>
          <w:tcPr>
            <w:tcW w:w="2287" w:type="dxa"/>
            <w:tcBorders>
              <w:top w:val="nil"/>
              <w:left w:val="nil"/>
              <w:bottom w:val="nil"/>
              <w:right w:val="nil"/>
            </w:tcBorders>
            <w:tcMar>
              <w:top w:w="-1" w:type="dxa"/>
              <w:left w:w="-1" w:type="dxa"/>
              <w:bottom w:w="-1" w:type="dxa"/>
              <w:right w:w="-1" w:type="dxa"/>
            </w:tcMar>
            <w:vAlign w:val="center"/>
          </w:tcPr>
          <w:p w14:paraId="5348BDEA" w14:textId="77777777" w:rsidR="00035316" w:rsidRDefault="00831B25">
            <w:pPr>
              <w:snapToGrid w:val="0"/>
              <w:jc w:val="left"/>
              <w:rPr>
                <w:rFonts w:ascii="宋体"/>
                <w:sz w:val="24"/>
              </w:rPr>
            </w:pPr>
            <w:r>
              <w:rPr>
                <w:rFonts w:ascii="宋体" w:hAnsi="宋体"/>
                <w:sz w:val="24"/>
              </w:rPr>
              <w:t>式(3-1)</w:t>
            </w:r>
          </w:p>
        </w:tc>
      </w:tr>
      <w:tr w:rsidR="00035316" w14:paraId="0CA16F44"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35B6FDD2" w14:textId="77777777" w:rsidR="00035316" w:rsidRDefault="00355533">
            <w:pPr>
              <w:snapToGrid w:val="0"/>
              <w:jc w:val="center"/>
              <w:rPr>
                <w:rFonts w:ascii="宋体"/>
                <w:sz w:val="24"/>
              </w:rPr>
            </w:pPr>
            <m:oMathPara>
              <m:oMath>
                <m:sSubSup>
                  <m:sSubSupPr>
                    <m:ctrlPr>
                      <w:rPr>
                        <w:rFonts w:ascii="Cambria Math" w:hAnsi="Cambria Math"/>
                        <w:sz w:val="24"/>
                      </w:rPr>
                    </m:ctrlPr>
                  </m:sSubSupPr>
                  <m:e>
                    <m:r>
                      <w:rPr>
                        <w:rFonts w:ascii="Cambria Math" w:hAnsi="Cambria Math"/>
                        <w:sz w:val="24"/>
                      </w:rPr>
                      <m:t>e</m:t>
                    </m:r>
                  </m:e>
                  <m:sub>
                    <m:r>
                      <w:rPr>
                        <w:rFonts w:ascii="Cambria Math" w:hAnsi="Cambria Math"/>
                        <w:sz w:val="24"/>
                      </w:rPr>
                      <m:t>i</m:t>
                    </m:r>
                  </m:sub>
                  <m:sup>
                    <m:d>
                      <m:dPr>
                        <m:ctrlPr>
                          <w:rPr>
                            <w:rFonts w:ascii="Cambria Math" w:hAnsi="Cambria Math"/>
                            <w:sz w:val="24"/>
                          </w:rPr>
                        </m:ctrlPr>
                      </m:dPr>
                      <m:e>
                        <m:r>
                          <w:rPr>
                            <w:rFonts w:ascii="Cambria Math" w:hAnsi="Cambria Math"/>
                            <w:sz w:val="24"/>
                          </w:rPr>
                          <m:t>l</m:t>
                        </m:r>
                      </m:e>
                    </m:d>
                  </m:sup>
                </m:sSubSup>
                <m:r>
                  <m:rPr>
                    <m:sty m:val="p"/>
                  </m:rPr>
                  <w:rPr>
                    <w:rFonts w:ascii="Cambria Math" w:hAnsi="Cambria Math"/>
                    <w:sz w:val="24"/>
                  </w:rPr>
                  <m:t xml:space="preserve">, </m:t>
                </m:r>
                <m:sSup>
                  <m:sSupPr>
                    <m:ctrlPr>
                      <w:rPr>
                        <w:rFonts w:ascii="Cambria Math" w:hAnsi="Cambria Math"/>
                        <w:sz w:val="24"/>
                      </w:rPr>
                    </m:ctrlPr>
                  </m:sSupPr>
                  <m:e>
                    <m:r>
                      <w:rPr>
                        <w:rFonts w:ascii="Cambria Math" w:hAnsi="Cambria Math"/>
                        <w:sz w:val="24"/>
                      </w:rPr>
                      <m:t>π</m:t>
                    </m:r>
                  </m:e>
                  <m:sup>
                    <m:d>
                      <m:dPr>
                        <m:ctrlPr>
                          <w:rPr>
                            <w:rFonts w:ascii="Cambria Math" w:hAnsi="Cambria Math"/>
                            <w:sz w:val="24"/>
                          </w:rPr>
                        </m:ctrlPr>
                      </m:dPr>
                      <m:e>
                        <m:r>
                          <w:rPr>
                            <w:rFonts w:ascii="Cambria Math" w:hAnsi="Cambria Math"/>
                            <w:sz w:val="24"/>
                          </w:rPr>
                          <m:t>l</m:t>
                        </m:r>
                      </m:e>
                    </m:d>
                  </m:sup>
                </m:sSup>
              </m:oMath>
            </m:oMathPara>
          </w:p>
        </w:tc>
        <w:tc>
          <w:tcPr>
            <w:tcW w:w="4073" w:type="dxa"/>
            <w:tcBorders>
              <w:top w:val="nil"/>
              <w:left w:val="nil"/>
              <w:bottom w:val="nil"/>
              <w:right w:val="nil"/>
            </w:tcBorders>
            <w:tcMar>
              <w:top w:w="-1" w:type="dxa"/>
              <w:left w:w="-1" w:type="dxa"/>
              <w:bottom w:w="-1" w:type="dxa"/>
              <w:right w:w="-1" w:type="dxa"/>
            </w:tcMar>
            <w:vAlign w:val="center"/>
          </w:tcPr>
          <w:p w14:paraId="48342E77" w14:textId="77777777" w:rsidR="00035316" w:rsidRDefault="00831B25">
            <w:pPr>
              <w:snapToGrid w:val="0"/>
              <w:jc w:val="left"/>
              <w:rPr>
                <w:rFonts w:ascii="宋体"/>
                <w:sz w:val="24"/>
              </w:rPr>
            </w:pPr>
            <w:r>
              <w:rPr>
                <w:rFonts w:ascii="宋体" w:hAnsi="宋体"/>
                <w:sz w:val="24"/>
              </w:rPr>
              <w:t>编码键与经双调排序得到的索引排列</w:t>
            </w:r>
          </w:p>
        </w:tc>
        <w:tc>
          <w:tcPr>
            <w:tcW w:w="2287" w:type="dxa"/>
            <w:tcBorders>
              <w:top w:val="nil"/>
              <w:left w:val="nil"/>
              <w:bottom w:val="nil"/>
              <w:right w:val="nil"/>
            </w:tcBorders>
            <w:tcMar>
              <w:top w:w="-1" w:type="dxa"/>
              <w:left w:w="-1" w:type="dxa"/>
              <w:bottom w:w="-1" w:type="dxa"/>
              <w:right w:w="-1" w:type="dxa"/>
            </w:tcMar>
            <w:vAlign w:val="center"/>
          </w:tcPr>
          <w:p w14:paraId="14E76885" w14:textId="77777777" w:rsidR="00035316" w:rsidRDefault="00831B25">
            <w:pPr>
              <w:snapToGrid w:val="0"/>
              <w:jc w:val="left"/>
              <w:rPr>
                <w:rFonts w:ascii="宋体"/>
                <w:sz w:val="24"/>
              </w:rPr>
            </w:pPr>
            <w:r>
              <w:rPr>
                <w:rFonts w:ascii="宋体" w:hAnsi="宋体"/>
                <w:sz w:val="24"/>
              </w:rPr>
              <w:t>式(3-2a)、式(3-2b)</w:t>
            </w:r>
          </w:p>
        </w:tc>
      </w:tr>
      <w:tr w:rsidR="00035316" w14:paraId="6C69C45D"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283638FB" w14:textId="77777777" w:rsidR="00035316" w:rsidRDefault="00355533">
            <w:pPr>
              <w:snapToGrid w:val="0"/>
              <w:jc w:val="center"/>
              <w:rPr>
                <w:rFonts w:ascii="宋体"/>
                <w:sz w:val="24"/>
              </w:rPr>
            </w:pPr>
            <m:oMathPara>
              <m:oMath>
                <m:sSubSup>
                  <m:sSubSupPr>
                    <m:ctrlPr>
                      <w:rPr>
                        <w:rFonts w:ascii="Cambria Math" w:hAnsi="Cambria Math"/>
                        <w:sz w:val="24"/>
                      </w:rPr>
                    </m:ctrlPr>
                  </m:sSubSupPr>
                  <m:e>
                    <m:r>
                      <w:rPr>
                        <w:rFonts w:ascii="Cambria Math" w:hAnsi="Cambria Math"/>
                        <w:sz w:val="24"/>
                      </w:rPr>
                      <m:t>m</m:t>
                    </m:r>
                  </m:e>
                  <m:sub>
                    <m:r>
                      <w:rPr>
                        <w:rFonts w:ascii="Cambria Math" w:hAnsi="Cambria Math"/>
                        <w:sz w:val="24"/>
                      </w:rPr>
                      <m:t>i</m:t>
                    </m:r>
                  </m:sub>
                  <m:sup>
                    <m:d>
                      <m:dPr>
                        <m:ctrlPr>
                          <w:rPr>
                            <w:rFonts w:ascii="Cambria Math" w:hAnsi="Cambria Math"/>
                            <w:sz w:val="24"/>
                          </w:rPr>
                        </m:ctrlPr>
                      </m:dPr>
                      <m:e>
                        <m:r>
                          <w:rPr>
                            <w:rFonts w:ascii="Cambria Math" w:hAnsi="Cambria Math"/>
                            <w:sz w:val="24"/>
                          </w:rPr>
                          <m:t>l</m:t>
                        </m:r>
                      </m:e>
                    </m:d>
                  </m:sup>
                </m:sSubSup>
              </m:oMath>
            </m:oMathPara>
          </w:p>
        </w:tc>
        <w:tc>
          <w:tcPr>
            <w:tcW w:w="4073" w:type="dxa"/>
            <w:tcBorders>
              <w:top w:val="nil"/>
              <w:left w:val="nil"/>
              <w:bottom w:val="nil"/>
              <w:right w:val="nil"/>
            </w:tcBorders>
            <w:tcMar>
              <w:top w:w="-1" w:type="dxa"/>
              <w:left w:w="-1" w:type="dxa"/>
              <w:bottom w:w="-1" w:type="dxa"/>
              <w:right w:w="-1" w:type="dxa"/>
            </w:tcMar>
            <w:vAlign w:val="center"/>
          </w:tcPr>
          <w:p w14:paraId="4334AE47" w14:textId="77777777" w:rsidR="00035316" w:rsidRDefault="00831B25">
            <w:pPr>
              <w:snapToGrid w:val="0"/>
              <w:jc w:val="left"/>
              <w:rPr>
                <w:rFonts w:ascii="宋体"/>
                <w:sz w:val="24"/>
              </w:rPr>
            </w:pPr>
            <w:r>
              <w:rPr>
                <w:rFonts w:ascii="宋体" w:hAnsi="宋体"/>
                <w:sz w:val="24"/>
              </w:rPr>
              <w:t>第 i 个词元在第 l 个 stage 的保留掩码</w:t>
            </w:r>
          </w:p>
        </w:tc>
        <w:tc>
          <w:tcPr>
            <w:tcW w:w="2287" w:type="dxa"/>
            <w:tcBorders>
              <w:top w:val="nil"/>
              <w:left w:val="nil"/>
              <w:bottom w:val="nil"/>
              <w:right w:val="nil"/>
            </w:tcBorders>
            <w:tcMar>
              <w:top w:w="-1" w:type="dxa"/>
              <w:left w:w="-1" w:type="dxa"/>
              <w:bottom w:w="-1" w:type="dxa"/>
              <w:right w:w="-1" w:type="dxa"/>
            </w:tcMar>
            <w:vAlign w:val="center"/>
          </w:tcPr>
          <w:p w14:paraId="570EC35E" w14:textId="77777777" w:rsidR="00035316" w:rsidRDefault="00831B25">
            <w:pPr>
              <w:snapToGrid w:val="0"/>
              <w:jc w:val="left"/>
              <w:rPr>
                <w:rFonts w:ascii="宋体"/>
                <w:sz w:val="24"/>
              </w:rPr>
            </w:pPr>
            <w:r>
              <w:rPr>
                <w:rFonts w:ascii="宋体" w:hAnsi="宋体"/>
                <w:sz w:val="24"/>
              </w:rPr>
              <w:t>式(3-1)、式(3-2)、式(3-2b)</w:t>
            </w:r>
          </w:p>
        </w:tc>
      </w:tr>
      <w:tr w:rsidR="00035316" w14:paraId="4E288639"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309F0E1C" w14:textId="77777777" w:rsidR="00035316" w:rsidRDefault="00355533">
            <w:pPr>
              <w:snapToGrid w:val="0"/>
              <w:jc w:val="center"/>
              <w:rPr>
                <w:rFonts w:ascii="宋体"/>
                <w:sz w:val="24"/>
              </w:rPr>
            </w:pPr>
            <m:oMathPara>
              <m:oMath>
                <m:sSubSup>
                  <m:sSubSupPr>
                    <m:ctrlPr>
                      <w:rPr>
                        <w:rFonts w:ascii="Cambria Math" w:hAnsi="Cambria Math"/>
                        <w:sz w:val="24"/>
                      </w:rPr>
                    </m:ctrlPr>
                  </m:sSubSupPr>
                  <m:e>
                    <m:r>
                      <w:rPr>
                        <w:rFonts w:ascii="Cambria Math" w:hAnsi="Cambria Math"/>
                        <w:sz w:val="24"/>
                      </w:rPr>
                      <m:t>h</m:t>
                    </m:r>
                  </m:e>
                  <m:sub>
                    <m:r>
                      <w:rPr>
                        <w:rFonts w:ascii="Cambria Math" w:hAnsi="Cambria Math"/>
                        <w:sz w:val="24"/>
                      </w:rPr>
                      <m:t>i</m:t>
                    </m:r>
                  </m:sub>
                  <m:sup>
                    <m:d>
                      <m:dPr>
                        <m:ctrlPr>
                          <w:rPr>
                            <w:rFonts w:ascii="Cambria Math" w:hAnsi="Cambria Math"/>
                            <w:sz w:val="24"/>
                          </w:rPr>
                        </m:ctrlPr>
                      </m:dPr>
                      <m:e>
                        <m:r>
                          <w:rPr>
                            <w:rFonts w:ascii="Cambria Math" w:hAnsi="Cambria Math"/>
                            <w:sz w:val="24"/>
                          </w:rPr>
                          <m:t>l</m:t>
                        </m:r>
                      </m:e>
                    </m:d>
                  </m:sup>
                </m:sSubSup>
                <m:r>
                  <m:rPr>
                    <m:sty m:val="p"/>
                  </m:rPr>
                  <w:rPr>
                    <w:rFonts w:ascii="Cambria Math" w:hAnsi="Cambria Math"/>
                    <w:sz w:val="24"/>
                  </w:rPr>
                  <m:t xml:space="preserve">, </m:t>
                </m:r>
                <m:sSubSup>
                  <m:sSubSupPr>
                    <m:ctrlPr>
                      <w:rPr>
                        <w:rFonts w:ascii="Cambria Math" w:hAnsi="Cambria Math"/>
                        <w:sz w:val="24"/>
                      </w:rPr>
                    </m:ctrlPr>
                  </m:sSubSupPr>
                  <m:e>
                    <m:acc>
                      <m:accPr>
                        <m:chr m:val="̃"/>
                        <m:ctrlPr>
                          <w:rPr>
                            <w:rFonts w:ascii="Cambria Math" w:hAnsi="Cambria Math"/>
                            <w:sz w:val="24"/>
                          </w:rPr>
                        </m:ctrlPr>
                      </m:accPr>
                      <m:e>
                        <m:r>
                          <w:rPr>
                            <w:rFonts w:ascii="Cambria Math" w:hAnsi="Cambria Math"/>
                            <w:sz w:val="24"/>
                          </w:rPr>
                          <m:t>h</m:t>
                        </m:r>
                      </m:e>
                    </m:acc>
                  </m:e>
                  <m:sub>
                    <m:r>
                      <w:rPr>
                        <w:rFonts w:ascii="Cambria Math" w:hAnsi="Cambria Math"/>
                        <w:sz w:val="24"/>
                      </w:rPr>
                      <m:t>i</m:t>
                    </m:r>
                  </m:sub>
                  <m:sup>
                    <m:d>
                      <m:dPr>
                        <m:ctrlPr>
                          <w:rPr>
                            <w:rFonts w:ascii="Cambria Math" w:hAnsi="Cambria Math"/>
                            <w:sz w:val="24"/>
                          </w:rPr>
                        </m:ctrlPr>
                      </m:dPr>
                      <m:e>
                        <m:r>
                          <w:rPr>
                            <w:rFonts w:ascii="Cambria Math" w:hAnsi="Cambria Math"/>
                            <w:sz w:val="24"/>
                          </w:rPr>
                          <m:t>l</m:t>
                        </m:r>
                      </m:e>
                    </m:d>
                  </m:sup>
                </m:sSubSup>
              </m:oMath>
            </m:oMathPara>
          </w:p>
        </w:tc>
        <w:tc>
          <w:tcPr>
            <w:tcW w:w="4073" w:type="dxa"/>
            <w:tcBorders>
              <w:top w:val="nil"/>
              <w:left w:val="nil"/>
              <w:bottom w:val="nil"/>
              <w:right w:val="nil"/>
            </w:tcBorders>
            <w:tcMar>
              <w:top w:w="-1" w:type="dxa"/>
              <w:left w:w="-1" w:type="dxa"/>
              <w:bottom w:w="-1" w:type="dxa"/>
              <w:right w:w="-1" w:type="dxa"/>
            </w:tcMar>
            <w:vAlign w:val="center"/>
          </w:tcPr>
          <w:p w14:paraId="60ED186B" w14:textId="77777777" w:rsidR="00035316" w:rsidRDefault="00831B25">
            <w:pPr>
              <w:snapToGrid w:val="0"/>
              <w:jc w:val="left"/>
              <w:rPr>
                <w:rFonts w:ascii="宋体"/>
                <w:sz w:val="24"/>
              </w:rPr>
            </w:pPr>
            <w:r>
              <w:rPr>
                <w:rFonts w:ascii="宋体" w:hAnsi="宋体"/>
                <w:sz w:val="24"/>
              </w:rPr>
              <w:t>原始词元表征与掩码后的词元表征</w:t>
            </w:r>
          </w:p>
        </w:tc>
        <w:tc>
          <w:tcPr>
            <w:tcW w:w="2287" w:type="dxa"/>
            <w:tcBorders>
              <w:top w:val="nil"/>
              <w:left w:val="nil"/>
              <w:bottom w:val="nil"/>
              <w:right w:val="nil"/>
            </w:tcBorders>
            <w:tcMar>
              <w:top w:w="-1" w:type="dxa"/>
              <w:left w:w="-1" w:type="dxa"/>
              <w:bottom w:w="-1" w:type="dxa"/>
              <w:right w:w="-1" w:type="dxa"/>
            </w:tcMar>
            <w:vAlign w:val="center"/>
          </w:tcPr>
          <w:p w14:paraId="02CEAF52" w14:textId="77777777" w:rsidR="00035316" w:rsidRDefault="00831B25">
            <w:pPr>
              <w:snapToGrid w:val="0"/>
              <w:jc w:val="left"/>
              <w:rPr>
                <w:rFonts w:ascii="宋体"/>
                <w:sz w:val="24"/>
              </w:rPr>
            </w:pPr>
            <w:r>
              <w:rPr>
                <w:rFonts w:ascii="宋体" w:hAnsi="宋体"/>
                <w:sz w:val="24"/>
              </w:rPr>
              <w:t>式(3-2)</w:t>
            </w:r>
          </w:p>
        </w:tc>
      </w:tr>
      <w:tr w:rsidR="00035316" w14:paraId="123DB334"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03B223B6" w14:textId="77777777" w:rsidR="00035316" w:rsidRDefault="00355533">
            <w:pPr>
              <w:snapToGrid w:val="0"/>
              <w:jc w:val="center"/>
              <w:rPr>
                <w:rFonts w:ascii="宋体"/>
                <w:sz w:val="24"/>
              </w:rPr>
            </w:pPr>
            <m:oMathPara>
              <m:oMath>
                <m:sSub>
                  <m:sSubPr>
                    <m:ctrlPr>
                      <w:rPr>
                        <w:rFonts w:ascii="Cambria Math" w:hAnsi="Cambria Math"/>
                        <w:sz w:val="24"/>
                      </w:rPr>
                    </m:ctrlPr>
                  </m:sSubPr>
                  <m:e>
                    <m:r>
                      <w:rPr>
                        <w:rFonts w:ascii="Cambria Math" w:hAnsi="Cambria Math"/>
                        <w:sz w:val="24"/>
                      </w:rPr>
                      <m:t>p</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6410AFEB" w14:textId="77777777" w:rsidR="00035316" w:rsidRDefault="00831B25">
            <w:pPr>
              <w:snapToGrid w:val="0"/>
              <w:jc w:val="left"/>
              <w:rPr>
                <w:rFonts w:ascii="宋体"/>
                <w:sz w:val="24"/>
              </w:rPr>
            </w:pPr>
            <w:r>
              <w:rPr>
                <w:rFonts w:ascii="宋体" w:hAnsi="宋体"/>
                <w:sz w:val="24"/>
              </w:rPr>
              <w:t>裁剪后图像在通道 c、位置 (h,w) 的原始像素值</w:t>
            </w:r>
          </w:p>
        </w:tc>
        <w:tc>
          <w:tcPr>
            <w:tcW w:w="2287" w:type="dxa"/>
            <w:tcBorders>
              <w:top w:val="nil"/>
              <w:left w:val="nil"/>
              <w:bottom w:val="nil"/>
              <w:right w:val="nil"/>
            </w:tcBorders>
            <w:tcMar>
              <w:top w:w="-1" w:type="dxa"/>
              <w:left w:w="-1" w:type="dxa"/>
              <w:bottom w:w="-1" w:type="dxa"/>
              <w:right w:w="-1" w:type="dxa"/>
            </w:tcMar>
            <w:vAlign w:val="center"/>
          </w:tcPr>
          <w:p w14:paraId="6F39AA0D" w14:textId="77777777" w:rsidR="00035316" w:rsidRDefault="00831B25">
            <w:pPr>
              <w:snapToGrid w:val="0"/>
              <w:jc w:val="left"/>
              <w:rPr>
                <w:rFonts w:ascii="宋体"/>
                <w:sz w:val="24"/>
              </w:rPr>
            </w:pPr>
            <w:r>
              <w:rPr>
                <w:rFonts w:ascii="宋体" w:hAnsi="宋体"/>
                <w:sz w:val="24"/>
              </w:rPr>
              <w:t>式(3-3)</w:t>
            </w:r>
          </w:p>
        </w:tc>
      </w:tr>
      <w:tr w:rsidR="00035316" w14:paraId="0C2D05C7"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64109CBE" w14:textId="77777777" w:rsidR="00035316" w:rsidRDefault="00355533">
            <w:pPr>
              <w:snapToGrid w:val="0"/>
              <w:jc w:val="center"/>
              <w:rPr>
                <w:rFonts w:ascii="宋体"/>
                <w:sz w:val="24"/>
              </w:rPr>
            </w:pPr>
            <m:oMathPara>
              <m:oMath>
                <m:sSub>
                  <m:sSubPr>
                    <m:ctrlPr>
                      <w:rPr>
                        <w:rFonts w:ascii="Cambria Math" w:hAnsi="Cambria Math"/>
                        <w:sz w:val="24"/>
                      </w:rPr>
                    </m:ctrlPr>
                  </m:sSubPr>
                  <m:e>
                    <m:r>
                      <w:rPr>
                        <w:rFonts w:ascii="Cambria Math" w:hAnsi="Cambria Math"/>
                        <w:sz w:val="24"/>
                      </w:rPr>
                      <m:t>μ</m:t>
                    </m:r>
                  </m:e>
                  <m:sub>
                    <m:r>
                      <w:rPr>
                        <w:rFonts w:ascii="Cambria Math" w:hAnsi="Cambria Math"/>
                        <w:sz w:val="24"/>
                      </w:rPr>
                      <m:t>c</m:t>
                    </m:r>
                  </m:sub>
                </m:sSub>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σ</m:t>
                    </m:r>
                  </m:e>
                  <m:sub>
                    <m:r>
                      <w:rPr>
                        <w:rFonts w:ascii="Cambria Math" w:hAnsi="Cambria Math"/>
                        <w:sz w:val="24"/>
                      </w:rPr>
                      <m:t>c</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6C5A1078" w14:textId="77777777" w:rsidR="00035316" w:rsidRDefault="00831B25">
            <w:pPr>
              <w:snapToGrid w:val="0"/>
              <w:jc w:val="left"/>
              <w:rPr>
                <w:rFonts w:ascii="宋体"/>
                <w:sz w:val="24"/>
              </w:rPr>
            </w:pPr>
            <w:r>
              <w:rPr>
                <w:rFonts w:ascii="宋体" w:hAnsi="宋体"/>
                <w:sz w:val="24"/>
              </w:rPr>
              <w:t>通道 c 的归一化均值与标准差</w:t>
            </w:r>
          </w:p>
        </w:tc>
        <w:tc>
          <w:tcPr>
            <w:tcW w:w="2287" w:type="dxa"/>
            <w:tcBorders>
              <w:top w:val="nil"/>
              <w:left w:val="nil"/>
              <w:bottom w:val="nil"/>
              <w:right w:val="nil"/>
            </w:tcBorders>
            <w:tcMar>
              <w:top w:w="-1" w:type="dxa"/>
              <w:left w:w="-1" w:type="dxa"/>
              <w:bottom w:w="-1" w:type="dxa"/>
              <w:right w:w="-1" w:type="dxa"/>
            </w:tcMar>
            <w:vAlign w:val="center"/>
          </w:tcPr>
          <w:p w14:paraId="5636B790" w14:textId="77777777" w:rsidR="00035316" w:rsidRDefault="00831B25">
            <w:pPr>
              <w:snapToGrid w:val="0"/>
              <w:jc w:val="left"/>
              <w:rPr>
                <w:rFonts w:ascii="宋体"/>
                <w:sz w:val="24"/>
              </w:rPr>
            </w:pPr>
            <w:r>
              <w:rPr>
                <w:rFonts w:ascii="宋体" w:hAnsi="宋体"/>
                <w:sz w:val="24"/>
              </w:rPr>
              <w:t>式(3-3)、式(3-6)</w:t>
            </w:r>
          </w:p>
        </w:tc>
      </w:tr>
      <w:tr w:rsidR="00035316" w14:paraId="672EB77E"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36435D70" w14:textId="77777777" w:rsidR="00035316" w:rsidRDefault="00355533">
            <w:pPr>
              <w:snapToGrid w:val="0"/>
              <w:jc w:val="center"/>
              <w:rPr>
                <w:rFonts w:ascii="宋体"/>
                <w:sz w:val="24"/>
              </w:rPr>
            </w:pPr>
            <m:oMathPara>
              <m:oMath>
                <m:sSub>
                  <m:sSubPr>
                    <m:ctrlPr>
                      <w:rPr>
                        <w:rFonts w:ascii="Cambria Math" w:hAnsi="Cambria Math"/>
                        <w:sz w:val="24"/>
                      </w:rPr>
                    </m:ctrlPr>
                  </m:sSubPr>
                  <m:e>
                    <m:r>
                      <w:rPr>
                        <w:rFonts w:ascii="Cambria Math" w:hAnsi="Cambria Math"/>
                        <w:sz w:val="24"/>
                      </w:rPr>
                      <m:t>x</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516469BA" w14:textId="77777777" w:rsidR="00035316" w:rsidRDefault="00831B25">
            <w:pPr>
              <w:snapToGrid w:val="0"/>
              <w:jc w:val="left"/>
              <w:rPr>
                <w:rFonts w:ascii="宋体"/>
                <w:sz w:val="24"/>
              </w:rPr>
            </w:pPr>
            <w:r>
              <w:rPr>
                <w:rFonts w:ascii="宋体" w:hAnsi="宋体"/>
                <w:sz w:val="24"/>
              </w:rPr>
              <w:t>归一化后的模型输入张量</w:t>
            </w:r>
          </w:p>
        </w:tc>
        <w:tc>
          <w:tcPr>
            <w:tcW w:w="2287" w:type="dxa"/>
            <w:tcBorders>
              <w:top w:val="nil"/>
              <w:left w:val="nil"/>
              <w:bottom w:val="nil"/>
              <w:right w:val="nil"/>
            </w:tcBorders>
            <w:tcMar>
              <w:top w:w="-1" w:type="dxa"/>
              <w:left w:w="-1" w:type="dxa"/>
              <w:bottom w:w="-1" w:type="dxa"/>
              <w:right w:w="-1" w:type="dxa"/>
            </w:tcMar>
            <w:vAlign w:val="center"/>
          </w:tcPr>
          <w:p w14:paraId="1438EED2" w14:textId="77777777" w:rsidR="00035316" w:rsidRDefault="00831B25">
            <w:pPr>
              <w:snapToGrid w:val="0"/>
              <w:jc w:val="left"/>
              <w:rPr>
                <w:rFonts w:ascii="宋体"/>
                <w:sz w:val="24"/>
              </w:rPr>
            </w:pPr>
            <w:r>
              <w:rPr>
                <w:rFonts w:ascii="宋体" w:hAnsi="宋体"/>
                <w:sz w:val="24"/>
              </w:rPr>
              <w:t>式(3-3)、式(3-4)</w:t>
            </w:r>
          </w:p>
        </w:tc>
      </w:tr>
      <w:tr w:rsidR="00035316" w14:paraId="1D3034BA"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06424860" w14:textId="77777777" w:rsidR="00035316" w:rsidRDefault="00355533">
            <w:pPr>
              <w:snapToGrid w:val="0"/>
              <w:jc w:val="center"/>
              <w:rPr>
                <w:rFonts w:ascii="宋体"/>
                <w:sz w:val="24"/>
              </w:rPr>
            </w:pPr>
            <m:oMathPara>
              <m:oMath>
                <m:sSub>
                  <m:sSubPr>
                    <m:ctrlPr>
                      <w:rPr>
                        <w:rFonts w:ascii="Cambria Math" w:hAnsi="Cambria Math"/>
                        <w:sz w:val="24"/>
                      </w:rPr>
                    </m:ctrlPr>
                  </m:sSubPr>
                  <m:e>
                    <m:r>
                      <m:rPr>
                        <m:sty m:val="p"/>
                      </m:rPr>
                      <w:rPr>
                        <w:rFonts w:ascii="Cambria Math" w:hAnsi="Cambria Math"/>
                        <w:sz w:val="24"/>
                      </w:rPr>
                      <m:t>share0</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r>
                  <m:rPr>
                    <m:sty m:val="p"/>
                  </m:rPr>
                  <w:rPr>
                    <w:rFonts w:ascii="Cambria Math" w:hAnsi="Cambria Math"/>
                    <w:sz w:val="24"/>
                  </w:rPr>
                  <m:t xml:space="preserve">, </m:t>
                </m:r>
                <m:sSub>
                  <m:sSubPr>
                    <m:ctrlPr>
                      <w:rPr>
                        <w:rFonts w:ascii="Cambria Math" w:hAnsi="Cambria Math"/>
                        <w:sz w:val="24"/>
                      </w:rPr>
                    </m:ctrlPr>
                  </m:sSubPr>
                  <m:e>
                    <m:r>
                      <m:rPr>
                        <m:sty m:val="p"/>
                      </m:rPr>
                      <w:rPr>
                        <w:rFonts w:ascii="Cambria Math" w:hAnsi="Cambria Math"/>
                        <w:sz w:val="24"/>
                      </w:rPr>
                      <m:t>share1</m:t>
                    </m:r>
                  </m:e>
                  <m:sub>
                    <m:r>
                      <w:rPr>
                        <w:rFonts w:ascii="Cambria Math" w:hAnsi="Cambria Math"/>
                        <w:sz w:val="24"/>
                      </w:rPr>
                      <m:t>c</m:t>
                    </m:r>
                    <m:r>
                      <m:rPr>
                        <m:sty m:val="p"/>
                      </m:rPr>
                      <w:rPr>
                        <w:rFonts w:ascii="Cambria Math" w:hAnsi="Cambria Math"/>
                        <w:sz w:val="24"/>
                      </w:rPr>
                      <m:t>,</m:t>
                    </m:r>
                    <m:r>
                      <w:rPr>
                        <w:rFonts w:ascii="Cambria Math" w:hAnsi="Cambria Math"/>
                        <w:sz w:val="24"/>
                      </w:rPr>
                      <m:t>h</m:t>
                    </m:r>
                    <m:r>
                      <m:rPr>
                        <m:sty m:val="p"/>
                      </m:rPr>
                      <w:rPr>
                        <w:rFonts w:ascii="Cambria Math" w:hAnsi="Cambria Math"/>
                        <w:sz w:val="24"/>
                      </w:rPr>
                      <m:t>,</m:t>
                    </m:r>
                    <m:r>
                      <w:rPr>
                        <w:rFonts w:ascii="Cambria Math" w:hAnsi="Cambria Math"/>
                        <w:sz w:val="24"/>
                      </w:rPr>
                      <m:t>w</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37DF380F" w14:textId="77777777" w:rsidR="00035316" w:rsidRDefault="00831B25">
            <w:pPr>
              <w:snapToGrid w:val="0"/>
              <w:jc w:val="left"/>
              <w:rPr>
                <w:rFonts w:ascii="宋体"/>
                <w:sz w:val="24"/>
              </w:rPr>
            </w:pPr>
            <w:r>
              <w:rPr>
                <w:rFonts w:ascii="宋体" w:hAnsi="宋体"/>
                <w:sz w:val="24"/>
              </w:rPr>
              <w:t>针对输入张量构造的两份秘密分享分片</w:t>
            </w:r>
          </w:p>
        </w:tc>
        <w:tc>
          <w:tcPr>
            <w:tcW w:w="2287" w:type="dxa"/>
            <w:tcBorders>
              <w:top w:val="nil"/>
              <w:left w:val="nil"/>
              <w:bottom w:val="nil"/>
              <w:right w:val="nil"/>
            </w:tcBorders>
            <w:tcMar>
              <w:top w:w="-1" w:type="dxa"/>
              <w:left w:w="-1" w:type="dxa"/>
              <w:bottom w:w="-1" w:type="dxa"/>
              <w:right w:w="-1" w:type="dxa"/>
            </w:tcMar>
            <w:vAlign w:val="center"/>
          </w:tcPr>
          <w:p w14:paraId="09765F3C" w14:textId="77777777" w:rsidR="00035316" w:rsidRDefault="00831B25">
            <w:pPr>
              <w:snapToGrid w:val="0"/>
              <w:jc w:val="left"/>
              <w:rPr>
                <w:rFonts w:ascii="宋体"/>
                <w:sz w:val="24"/>
              </w:rPr>
            </w:pPr>
            <w:r>
              <w:rPr>
                <w:rFonts w:ascii="宋体" w:hAnsi="宋体"/>
                <w:sz w:val="24"/>
              </w:rPr>
              <w:t>式(3-4)</w:t>
            </w:r>
          </w:p>
        </w:tc>
      </w:tr>
      <w:tr w:rsidR="00035316" w14:paraId="3D3C3210" w14:textId="77777777">
        <w:trPr>
          <w:jc w:val="center"/>
        </w:trPr>
        <w:tc>
          <w:tcPr>
            <w:tcW w:w="2460" w:type="dxa"/>
            <w:tcBorders>
              <w:top w:val="nil"/>
              <w:left w:val="nil"/>
              <w:bottom w:val="nil"/>
              <w:right w:val="nil"/>
            </w:tcBorders>
            <w:tcMar>
              <w:top w:w="-1" w:type="dxa"/>
              <w:left w:w="-1" w:type="dxa"/>
              <w:bottom w:w="-1" w:type="dxa"/>
              <w:right w:w="-1" w:type="dxa"/>
            </w:tcMar>
            <w:vAlign w:val="center"/>
          </w:tcPr>
          <w:p w14:paraId="5D637253" w14:textId="77777777" w:rsidR="00035316" w:rsidRDefault="00355533">
            <w:pPr>
              <w:snapToGrid w:val="0"/>
              <w:jc w:val="center"/>
              <w:rPr>
                <w:rFonts w:ascii="宋体"/>
                <w:sz w:val="24"/>
              </w:rPr>
            </w:pPr>
            <m:oMathPara>
              <m:oMath>
                <m:sSub>
                  <m:sSubPr>
                    <m:ctrlPr>
                      <w:rPr>
                        <w:rFonts w:ascii="Cambria Math" w:hAnsi="Cambria Math"/>
                        <w:sz w:val="24"/>
                      </w:rPr>
                    </m:ctrlPr>
                  </m:sSubPr>
                  <m:e>
                    <m:r>
                      <w:rPr>
                        <w:rFonts w:ascii="Cambria Math" w:hAnsi="Cambria Math"/>
                        <w:sz w:val="24"/>
                      </w:rPr>
                      <m:t>q</m:t>
                    </m:r>
                  </m:e>
                  <m:sub>
                    <m:r>
                      <w:rPr>
                        <w:rFonts w:ascii="Cambria Math" w:hAnsi="Cambria Math"/>
                        <w:sz w:val="24"/>
                      </w:rPr>
                      <m:t>k</m:t>
                    </m:r>
                  </m:sub>
                </m:sSub>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Δ</m:t>
                    </m:r>
                  </m:e>
                  <m:sub>
                    <m:r>
                      <w:rPr>
                        <w:rFonts w:ascii="Cambria Math" w:hAnsi="Cambria Math"/>
                        <w:sz w:val="24"/>
                      </w:rPr>
                      <m:t>k</m:t>
                    </m:r>
                  </m:sub>
                </m:sSub>
              </m:oMath>
            </m:oMathPara>
          </w:p>
        </w:tc>
        <w:tc>
          <w:tcPr>
            <w:tcW w:w="4073" w:type="dxa"/>
            <w:tcBorders>
              <w:top w:val="nil"/>
              <w:left w:val="nil"/>
              <w:bottom w:val="nil"/>
              <w:right w:val="nil"/>
            </w:tcBorders>
            <w:tcMar>
              <w:top w:w="-1" w:type="dxa"/>
              <w:left w:w="-1" w:type="dxa"/>
              <w:bottom w:w="-1" w:type="dxa"/>
              <w:right w:w="-1" w:type="dxa"/>
            </w:tcMar>
            <w:vAlign w:val="center"/>
          </w:tcPr>
          <w:p w14:paraId="4B25C12E" w14:textId="77777777" w:rsidR="00035316" w:rsidRDefault="00831B25">
            <w:pPr>
              <w:snapToGrid w:val="0"/>
              <w:jc w:val="left"/>
              <w:rPr>
                <w:rFonts w:ascii="宋体"/>
                <w:sz w:val="24"/>
              </w:rPr>
            </w:pPr>
            <w:r>
              <w:rPr>
                <w:rFonts w:ascii="宋体" w:hAnsi="宋体"/>
                <w:sz w:val="24"/>
              </w:rPr>
              <w:t>第 k 个质量指标及其客户端/服务端绝对偏差</w:t>
            </w:r>
          </w:p>
        </w:tc>
        <w:tc>
          <w:tcPr>
            <w:tcW w:w="2287" w:type="dxa"/>
            <w:tcBorders>
              <w:top w:val="nil"/>
              <w:left w:val="nil"/>
              <w:bottom w:val="nil"/>
              <w:right w:val="nil"/>
            </w:tcBorders>
            <w:tcMar>
              <w:top w:w="-1" w:type="dxa"/>
              <w:left w:w="-1" w:type="dxa"/>
              <w:bottom w:w="-1" w:type="dxa"/>
              <w:right w:w="-1" w:type="dxa"/>
            </w:tcMar>
            <w:vAlign w:val="center"/>
          </w:tcPr>
          <w:p w14:paraId="0270D230" w14:textId="77777777" w:rsidR="00035316" w:rsidRDefault="00831B25">
            <w:pPr>
              <w:snapToGrid w:val="0"/>
              <w:jc w:val="left"/>
              <w:rPr>
                <w:rFonts w:ascii="宋体"/>
                <w:sz w:val="24"/>
              </w:rPr>
            </w:pPr>
            <w:r>
              <w:rPr>
                <w:rFonts w:ascii="宋体" w:hAnsi="宋体"/>
                <w:sz w:val="24"/>
              </w:rPr>
              <w:t>式(3-9)</w:t>
            </w:r>
          </w:p>
        </w:tc>
      </w:tr>
      <w:tr w:rsidR="00035316" w14:paraId="6C6B13AB" w14:textId="77777777">
        <w:trPr>
          <w:jc w:val="center"/>
        </w:trPr>
        <w:tc>
          <w:tcPr>
            <w:tcW w:w="2460" w:type="dxa"/>
            <w:tcBorders>
              <w:top w:val="nil"/>
              <w:left w:val="nil"/>
              <w:bottom w:val="single" w:sz="12" w:space="0" w:color="auto"/>
              <w:right w:val="nil"/>
            </w:tcBorders>
            <w:tcMar>
              <w:top w:w="-1" w:type="dxa"/>
              <w:left w:w="-1" w:type="dxa"/>
              <w:bottom w:w="-1" w:type="dxa"/>
              <w:right w:w="-1" w:type="dxa"/>
            </w:tcMar>
            <w:vAlign w:val="center"/>
          </w:tcPr>
          <w:p w14:paraId="49595340" w14:textId="77777777" w:rsidR="00035316" w:rsidRDefault="00831B25">
            <w:pPr>
              <w:snapToGrid w:val="0"/>
              <w:jc w:val="center"/>
              <w:rPr>
                <w:rFonts w:ascii="宋体"/>
                <w:sz w:val="24"/>
              </w:rPr>
            </w:pPr>
            <m:oMathPara>
              <m:oMath>
                <m:r>
                  <w:rPr>
                    <w:rFonts w:ascii="Cambria Math" w:hAnsi="Cambria Math"/>
                    <w:sz w:val="24"/>
                  </w:rPr>
                  <m:t>N</m:t>
                </m:r>
                <m:r>
                  <m:rPr>
                    <m:sty m:val="p"/>
                  </m:rPr>
                  <w:rPr>
                    <w:rFonts w:ascii="Cambria Math" w:hAnsi="Cambria Math"/>
                    <w:sz w:val="24"/>
                  </w:rPr>
                  <m:t xml:space="preserve">, </m:t>
                </m:r>
                <m:r>
                  <w:rPr>
                    <w:rFonts w:ascii="Cambria Math" w:hAnsi="Cambria Math"/>
                    <w:sz w:val="24"/>
                  </w:rPr>
                  <m:t>L</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r>
                  <m:rPr>
                    <m:sty m:val="p"/>
                  </m:rPr>
                  <w:rPr>
                    <w:rFonts w:ascii="Cambria Math" w:hAnsi="Cambria Math"/>
                    <w:sz w:val="24"/>
                  </w:rPr>
                  <m:t>, lap</m:t>
                </m:r>
                <m:d>
                  <m:dPr>
                    <m:ctrlPr>
                      <w:rPr>
                        <w:rFonts w:ascii="Cambria Math" w:hAnsi="Cambria Math"/>
                        <w:sz w:val="24"/>
                      </w:rPr>
                    </m:ctrlPr>
                  </m:dPr>
                  <m:e>
                    <m:r>
                      <w:rPr>
                        <w:rFonts w:ascii="Cambria Math" w:hAnsi="Cambria Math"/>
                        <w:sz w:val="24"/>
                      </w:rPr>
                      <m:t>x</m:t>
                    </m:r>
                    <m:r>
                      <m:rPr>
                        <m:sty m:val="p"/>
                      </m:rPr>
                      <w:rPr>
                        <w:rFonts w:ascii="Cambria Math" w:hAnsi="Cambria Math"/>
                        <w:sz w:val="24"/>
                      </w:rPr>
                      <m:t>,</m:t>
                    </m:r>
                    <m:r>
                      <w:rPr>
                        <w:rFonts w:ascii="Cambria Math" w:hAnsi="Cambria Math"/>
                        <w:sz w:val="24"/>
                      </w:rPr>
                      <m:t>y</m:t>
                    </m:r>
                  </m:e>
                </m:d>
              </m:oMath>
            </m:oMathPara>
          </w:p>
        </w:tc>
        <w:tc>
          <w:tcPr>
            <w:tcW w:w="4073" w:type="dxa"/>
            <w:tcBorders>
              <w:top w:val="nil"/>
              <w:left w:val="nil"/>
              <w:bottom w:val="single" w:sz="12" w:space="0" w:color="auto"/>
              <w:right w:val="nil"/>
            </w:tcBorders>
            <w:tcMar>
              <w:top w:w="-1" w:type="dxa"/>
              <w:left w:w="-1" w:type="dxa"/>
              <w:bottom w:w="-1" w:type="dxa"/>
              <w:right w:w="-1" w:type="dxa"/>
            </w:tcMar>
            <w:vAlign w:val="center"/>
          </w:tcPr>
          <w:p w14:paraId="02DB9B04" w14:textId="77777777" w:rsidR="00035316" w:rsidRDefault="00831B25">
            <w:pPr>
              <w:snapToGrid w:val="0"/>
              <w:jc w:val="left"/>
              <w:rPr>
                <w:rFonts w:ascii="宋体"/>
                <w:sz w:val="24"/>
              </w:rPr>
            </w:pPr>
            <w:r>
              <w:rPr>
                <w:rFonts w:ascii="宋体" w:hAnsi="宋体"/>
                <w:sz w:val="24"/>
              </w:rPr>
              <w:t>像素总数、亮度值与离散拉普拉斯响应</w:t>
            </w:r>
          </w:p>
        </w:tc>
        <w:tc>
          <w:tcPr>
            <w:tcW w:w="2287" w:type="dxa"/>
            <w:tcBorders>
              <w:top w:val="nil"/>
              <w:left w:val="nil"/>
              <w:bottom w:val="single" w:sz="12" w:space="0" w:color="auto"/>
              <w:right w:val="nil"/>
            </w:tcBorders>
            <w:tcMar>
              <w:top w:w="-1" w:type="dxa"/>
              <w:left w:w="-1" w:type="dxa"/>
              <w:bottom w:w="-1" w:type="dxa"/>
              <w:right w:w="-1" w:type="dxa"/>
            </w:tcMar>
            <w:vAlign w:val="center"/>
          </w:tcPr>
          <w:p w14:paraId="3DD696FC" w14:textId="77777777" w:rsidR="00035316" w:rsidRDefault="00831B25">
            <w:pPr>
              <w:snapToGrid w:val="0"/>
              <w:jc w:val="left"/>
              <w:rPr>
                <w:rFonts w:ascii="宋体"/>
                <w:sz w:val="24"/>
              </w:rPr>
            </w:pPr>
            <w:r>
              <w:rPr>
                <w:rFonts w:ascii="宋体" w:hAnsi="宋体"/>
                <w:sz w:val="24"/>
              </w:rPr>
              <w:t>式(3-7)、式(3-8)</w:t>
            </w:r>
          </w:p>
        </w:tc>
      </w:tr>
    </w:tbl>
    <w:p w14:paraId="62DE7AF5" w14:textId="77777777" w:rsidR="00035316" w:rsidRDefault="00831B25">
      <w:pPr>
        <w:spacing w:line="360" w:lineRule="auto"/>
        <w:outlineLvl w:val="1"/>
        <w:rPr>
          <w:rFonts w:ascii="黑体" w:eastAsia="黑体" w:hAnsi="黑体" w:hint="eastAsia"/>
          <w:b/>
          <w:sz w:val="24"/>
        </w:rPr>
      </w:pPr>
      <w:bookmarkStart w:id="40" w:name="Transshield_TOC_section_3_5"/>
      <w:bookmarkStart w:id="41" w:name="_Toc230989552"/>
      <w:r>
        <w:rPr>
          <w:rFonts w:ascii="黑体" w:eastAsia="黑体" w:hAnsi="黑体"/>
          <w:b/>
          <w:sz w:val="24"/>
        </w:rPr>
        <w:t>3.5 关键交付物与证据落点</w:t>
      </w:r>
      <w:bookmarkEnd w:id="40"/>
      <w:bookmarkEnd w:id="41"/>
    </w:p>
    <w:p w14:paraId="0C200251" w14:textId="77777777" w:rsidR="00035316" w:rsidRDefault="00831B25">
      <w:pPr>
        <w:spacing w:line="360" w:lineRule="auto"/>
        <w:rPr>
          <w:rFonts w:ascii="宋体" w:hAnsi="宋体" w:cs="宋体" w:hint="eastAsia"/>
          <w:sz w:val="24"/>
        </w:rPr>
      </w:pPr>
      <w:r>
        <w:rPr>
          <w:rFonts w:ascii="宋体" w:hAnsi="宋体" w:cs="宋体"/>
          <w:sz w:val="24"/>
        </w:rPr>
        <w:t xml:space="preserve">本作品的核心交付物、仓内存储路径与用途说明如表 </w:t>
      </w:r>
      <w:r>
        <w:rPr>
          <w:rFonts w:ascii="宋体" w:hAnsi="宋体" w:cs="宋体" w:hint="eastAsia"/>
          <w:sz w:val="24"/>
        </w:rPr>
        <w:t>6</w:t>
      </w:r>
      <w:r>
        <w:rPr>
          <w:rFonts w:ascii="宋体" w:hAnsi="宋体" w:cs="宋体"/>
          <w:sz w:val="24"/>
        </w:rPr>
        <w:t xml:space="preserve"> 所示。</w:t>
      </w:r>
    </w:p>
    <w:p w14:paraId="430593D3" w14:textId="77777777" w:rsidR="00035316" w:rsidRDefault="00831B25">
      <w:pPr>
        <w:spacing w:line="360" w:lineRule="auto"/>
        <w:ind w:firstLine="480"/>
        <w:rPr>
          <w:rFonts w:ascii="宋体" w:hAnsi="宋体" w:hint="eastAsia"/>
          <w:sz w:val="24"/>
        </w:rPr>
      </w:pPr>
      <w:r>
        <w:rPr>
          <w:rFonts w:ascii="宋体" w:hAnsi="宋体"/>
        </w:rPr>
        <w:t>工程实现上，模型部署包不仅包含权重和推理参数，还包含用于解释执行边界的 manifest 信息。该信息用于约束输入形状、剪枝阶段、保留比例、近似算子配置和审计字段，使训练导出的模型语义、SPU 执行闭包和前端展示内容能够相互校验。这样做可以降低“模型已更新但展示仍引用旧指标”或“配置变更后安全边界描述失真”的风险，也使报告中的实验指标能够回溯到仓内实际文件。</w:t>
      </w:r>
    </w:p>
    <w:p w14:paraId="4804DA8C" w14:textId="77777777" w:rsidR="00802BF6" w:rsidRDefault="00D442AD">
      <w:pPr>
        <w:spacing w:line="360" w:lineRule="auto"/>
        <w:ind w:firstLine="480"/>
        <w:rPr>
          <w:rFonts w:ascii="宋体" w:hAnsi="宋体" w:hint="eastAsia"/>
          <w:sz w:val="24"/>
        </w:rPr>
      </w:pPr>
      <w:r>
        <w:rPr>
          <w:rFonts w:ascii="宋体" w:hAnsi="宋体"/>
        </w:rPr>
        <w:t>从证据组织方式看，当前仓库将“正文叙述”与“正式结果文件”明确分离：医疗阈值精度、AUC、通信量、协议 fuzz 与 guard stress 均以 `results/` 下冻结的最终 JSON 为正式口径；证据链来源、保留理由与引用位置由 `docs/evidence/README.md` 统一索引；展示站章节摘要和图件则由报告主文档抽取到 `showcase/public/report-assets/` 与生成 JSON 中。这样的组织方式使模型包、结果摘要、展示内容和审计证据可以互相回指，降低了“页面、报告、结果文件三套口径不一致”的风险。</w:t>
      </w:r>
    </w:p>
    <w:p w14:paraId="7D40FEFA" w14:textId="77777777" w:rsidR="009C5E3E" w:rsidRDefault="00C47836">
      <w:r>
        <w:rPr>
          <w:rFonts w:ascii="宋体" w:hAnsi="宋体"/>
        </w:rPr>
        <w:t>进一步看，工具链也围绕这一证据组织方式形成闭环：`tools/start_showcase_spu_demo.py` 负责重建当前评委展示链路，`tools/transshield_spu_runtime_setup.py` 负责统一 2PC 运行配置、warmup 与部署包生成，`tools/showcase_protocol_fuzz.py` 与 `tools/showcase_guard_stress.py` 用于对展示接口实施黑盒验收，而 `tools/split_gateway_smoke.py` 则承担医院/AI/协调最小框架的本地串联验证。这样一来，报告中关于“可展示、可复现、可迁移”的表述并非来自抽象承诺，而是分别对应到仓内已经存在的启动、验收和结果核对入口。</w:t>
      </w:r>
    </w:p>
    <w:p w14:paraId="4182C005" w14:textId="77777777" w:rsidR="00035316" w:rsidRDefault="00831B25">
      <w:pPr>
        <w:spacing w:line="360" w:lineRule="auto"/>
        <w:jc w:val="center"/>
        <w:rPr>
          <w:rFonts w:ascii="宋体" w:hAnsi="宋体" w:cs="宋体" w:hint="eastAsia"/>
          <w:sz w:val="24"/>
        </w:rPr>
      </w:pPr>
      <w:r>
        <w:rPr>
          <w:rFonts w:ascii="宋体" w:hAnsi="宋体" w:cs="宋体"/>
          <w:sz w:val="24"/>
        </w:rPr>
        <w:t xml:space="preserve">表 </w:t>
      </w:r>
      <w:r>
        <w:rPr>
          <w:rFonts w:ascii="宋体" w:hAnsi="宋体" w:cs="宋体" w:hint="eastAsia"/>
          <w:sz w:val="24"/>
        </w:rPr>
        <w:t>6</w:t>
      </w:r>
      <w:r>
        <w:rPr>
          <w:rFonts w:ascii="宋体" w:hAnsi="宋体" w:cs="宋体"/>
          <w:sz w:val="24"/>
        </w:rPr>
        <w:t xml:space="preserve"> 系统关键交付物与仓内落点说明</w:t>
      </w:r>
    </w:p>
    <w:tbl>
      <w:tblPr>
        <w:tblW w:w="8820" w:type="dxa"/>
        <w:jc w:val="center"/>
        <w:tblLook w:val="04A0" w:firstRow="1" w:lastRow="0" w:firstColumn="1" w:lastColumn="0" w:noHBand="0" w:noVBand="1"/>
      </w:tblPr>
      <w:tblGrid>
        <w:gridCol w:w="2069"/>
        <w:gridCol w:w="4690"/>
        <w:gridCol w:w="2061"/>
      </w:tblGrid>
      <w:tr w:rsidR="00035316" w14:paraId="764C018E" w14:textId="77777777">
        <w:trPr>
          <w:tblHeader/>
          <w:jc w:val="center"/>
        </w:trPr>
        <w:tc>
          <w:tcPr>
            <w:tcW w:w="2178" w:type="dxa"/>
            <w:tcBorders>
              <w:top w:val="single" w:sz="12" w:space="0" w:color="auto"/>
              <w:left w:val="nil"/>
              <w:bottom w:val="nil"/>
              <w:right w:val="nil"/>
            </w:tcBorders>
            <w:tcMar>
              <w:top w:w="-1" w:type="dxa"/>
              <w:left w:w="-1" w:type="dxa"/>
              <w:bottom w:w="-1" w:type="dxa"/>
              <w:right w:w="-1" w:type="dxa"/>
            </w:tcMar>
            <w:vAlign w:val="center"/>
          </w:tcPr>
          <w:p w14:paraId="500D5BC1" w14:textId="77777777" w:rsidR="00035316" w:rsidRDefault="00831B25">
            <w:pPr>
              <w:keepNext/>
              <w:snapToGrid w:val="0"/>
              <w:jc w:val="center"/>
              <w:rPr>
                <w:rFonts w:ascii="宋体"/>
                <w:b/>
                <w:sz w:val="24"/>
              </w:rPr>
            </w:pPr>
            <w:r>
              <w:rPr>
                <w:rFonts w:ascii="宋体" w:hAnsi="宋体"/>
                <w:b/>
                <w:sz w:val="24"/>
              </w:rPr>
              <w:t>类别</w:t>
            </w:r>
          </w:p>
        </w:tc>
        <w:tc>
          <w:tcPr>
            <w:tcW w:w="4546" w:type="dxa"/>
            <w:tcBorders>
              <w:top w:val="single" w:sz="12" w:space="0" w:color="auto"/>
              <w:left w:val="nil"/>
              <w:bottom w:val="nil"/>
              <w:right w:val="nil"/>
            </w:tcBorders>
            <w:tcMar>
              <w:top w:w="-1" w:type="dxa"/>
              <w:left w:w="-1" w:type="dxa"/>
              <w:bottom w:w="-1" w:type="dxa"/>
              <w:right w:w="-1" w:type="dxa"/>
            </w:tcMar>
            <w:vAlign w:val="center"/>
          </w:tcPr>
          <w:p w14:paraId="2B85D015" w14:textId="77777777" w:rsidR="00035316" w:rsidRDefault="00831B25">
            <w:pPr>
              <w:keepNext/>
              <w:snapToGrid w:val="0"/>
              <w:jc w:val="center"/>
              <w:rPr>
                <w:rFonts w:ascii="宋体"/>
                <w:b/>
                <w:sz w:val="24"/>
              </w:rPr>
            </w:pPr>
            <w:r>
              <w:rPr>
                <w:rFonts w:ascii="宋体" w:hAnsi="宋体"/>
                <w:b/>
                <w:sz w:val="24"/>
              </w:rPr>
              <w:t>仓内落点</w:t>
            </w:r>
          </w:p>
        </w:tc>
        <w:tc>
          <w:tcPr>
            <w:tcW w:w="2096" w:type="dxa"/>
            <w:tcBorders>
              <w:top w:val="single" w:sz="12" w:space="0" w:color="auto"/>
              <w:left w:val="nil"/>
              <w:bottom w:val="nil"/>
              <w:right w:val="nil"/>
            </w:tcBorders>
            <w:tcMar>
              <w:top w:w="-1" w:type="dxa"/>
              <w:left w:w="-1" w:type="dxa"/>
              <w:bottom w:w="-1" w:type="dxa"/>
              <w:right w:w="-1" w:type="dxa"/>
            </w:tcMar>
            <w:vAlign w:val="center"/>
          </w:tcPr>
          <w:p w14:paraId="478C8EB8" w14:textId="77777777" w:rsidR="00035316" w:rsidRDefault="00831B25">
            <w:pPr>
              <w:keepNext/>
              <w:snapToGrid w:val="0"/>
              <w:jc w:val="center"/>
              <w:rPr>
                <w:rFonts w:ascii="宋体"/>
                <w:b/>
                <w:sz w:val="24"/>
              </w:rPr>
            </w:pPr>
            <w:r>
              <w:rPr>
                <w:rFonts w:ascii="宋体" w:hAnsi="宋体"/>
                <w:b/>
                <w:sz w:val="24"/>
              </w:rPr>
              <w:t>用途</w:t>
            </w:r>
          </w:p>
        </w:tc>
      </w:tr>
      <w:tr w:rsidR="00035316" w14:paraId="69B0B3EC" w14:textId="77777777">
        <w:trPr>
          <w:jc w:val="center"/>
        </w:trPr>
        <w:tc>
          <w:tcPr>
            <w:tcW w:w="2178" w:type="dxa"/>
            <w:tcBorders>
              <w:top w:val="single" w:sz="4" w:space="0" w:color="auto"/>
              <w:left w:val="nil"/>
              <w:bottom w:val="nil"/>
              <w:right w:val="nil"/>
            </w:tcBorders>
            <w:tcMar>
              <w:top w:w="-1" w:type="dxa"/>
              <w:left w:w="-1" w:type="dxa"/>
              <w:bottom w:w="-1" w:type="dxa"/>
              <w:right w:w="-1" w:type="dxa"/>
            </w:tcMar>
            <w:vAlign w:val="center"/>
          </w:tcPr>
          <w:p w14:paraId="5CE4A72F" w14:textId="77777777" w:rsidR="00035316" w:rsidRDefault="00831B25">
            <w:pPr>
              <w:keepNext/>
              <w:snapToGrid w:val="0"/>
              <w:jc w:val="center"/>
              <w:rPr>
                <w:rFonts w:ascii="宋体"/>
                <w:sz w:val="24"/>
              </w:rPr>
            </w:pPr>
            <w:r>
              <w:rPr>
                <w:rFonts w:ascii="宋体" w:hAnsi="宋体"/>
                <w:sz w:val="24"/>
              </w:rPr>
              <w:t>前后端演示程序</w:t>
            </w:r>
          </w:p>
        </w:tc>
        <w:tc>
          <w:tcPr>
            <w:tcW w:w="4546" w:type="dxa"/>
            <w:tcBorders>
              <w:top w:val="single" w:sz="4" w:space="0" w:color="auto"/>
              <w:left w:val="nil"/>
              <w:bottom w:val="nil"/>
              <w:right w:val="nil"/>
            </w:tcBorders>
            <w:tcMar>
              <w:top w:w="-1" w:type="dxa"/>
              <w:left w:w="-1" w:type="dxa"/>
              <w:bottom w:w="-1" w:type="dxa"/>
              <w:right w:w="-1" w:type="dxa"/>
            </w:tcMar>
            <w:vAlign w:val="center"/>
          </w:tcPr>
          <w:p w14:paraId="4AEEA6FE" w14:textId="77777777" w:rsidR="00035316" w:rsidRDefault="00831B25">
            <w:r>
              <w:t>showcase/src/</w:t>
            </w:r>
            <w:r>
              <w:t>；</w:t>
            </w:r>
            <w:r>
              <w:t>showcase/src/workers/medicalControlPlaneWorker.ts</w:t>
            </w:r>
            <w:r>
              <w:t>；</w:t>
            </w:r>
            <w:r>
              <w:t>showcase_api/app.py</w:t>
            </w:r>
            <w:r>
              <w:t>；</w:t>
            </w:r>
            <w:r>
              <w:t>showcase_api/control_plane.py</w:t>
            </w:r>
          </w:p>
        </w:tc>
        <w:tc>
          <w:tcPr>
            <w:tcW w:w="2096" w:type="dxa"/>
            <w:tcBorders>
              <w:top w:val="single" w:sz="4" w:space="0" w:color="auto"/>
              <w:left w:val="nil"/>
              <w:bottom w:val="nil"/>
              <w:right w:val="nil"/>
            </w:tcBorders>
            <w:tcMar>
              <w:top w:w="-1" w:type="dxa"/>
              <w:left w:w="-1" w:type="dxa"/>
              <w:bottom w:w="-1" w:type="dxa"/>
              <w:right w:w="-1" w:type="dxa"/>
            </w:tcMar>
            <w:vAlign w:val="center"/>
          </w:tcPr>
          <w:p w14:paraId="40892DD9" w14:textId="77777777" w:rsidR="00035316" w:rsidRDefault="00831B25">
            <w:r>
              <w:t>承载浏览器工作线程、服务端权威快检、页面交互与</w:t>
            </w:r>
            <w:r>
              <w:t xml:space="preserve"> /api/medical/live-run </w:t>
            </w:r>
            <w:r>
              <w:t>入口</w:t>
            </w:r>
          </w:p>
        </w:tc>
      </w:tr>
      <w:tr w:rsidR="00035316" w14:paraId="239665AC" w14:textId="77777777">
        <w:trPr>
          <w:jc w:val="center"/>
        </w:trPr>
        <w:tc>
          <w:tcPr>
            <w:tcW w:w="2178" w:type="dxa"/>
            <w:tcBorders>
              <w:top w:val="nil"/>
              <w:left w:val="nil"/>
              <w:bottom w:val="nil"/>
              <w:right w:val="nil"/>
            </w:tcBorders>
            <w:tcMar>
              <w:top w:w="-1" w:type="dxa"/>
              <w:left w:w="-1" w:type="dxa"/>
              <w:bottom w:w="-1" w:type="dxa"/>
              <w:right w:w="-1" w:type="dxa"/>
            </w:tcMar>
            <w:vAlign w:val="center"/>
          </w:tcPr>
          <w:p w14:paraId="3AF359A0" w14:textId="77777777" w:rsidR="00035316" w:rsidRDefault="00831B25">
            <w:pPr>
              <w:keepNext/>
              <w:snapToGrid w:val="0"/>
              <w:jc w:val="center"/>
              <w:rPr>
                <w:rFonts w:ascii="宋体"/>
                <w:sz w:val="24"/>
              </w:rPr>
            </w:pPr>
            <w:r>
              <w:rPr>
                <w:rFonts w:ascii="宋体" w:hAnsi="宋体"/>
                <w:sz w:val="24"/>
              </w:rPr>
              <w:t>自动化验证脚本</w:t>
            </w:r>
          </w:p>
        </w:tc>
        <w:tc>
          <w:tcPr>
            <w:tcW w:w="4546" w:type="dxa"/>
            <w:tcBorders>
              <w:top w:val="nil"/>
              <w:left w:val="nil"/>
              <w:bottom w:val="nil"/>
              <w:right w:val="nil"/>
            </w:tcBorders>
            <w:tcMar>
              <w:top w:w="-1" w:type="dxa"/>
              <w:left w:w="-1" w:type="dxa"/>
              <w:bottom w:w="-1" w:type="dxa"/>
              <w:right w:w="-1" w:type="dxa"/>
            </w:tcMar>
            <w:vAlign w:val="center"/>
          </w:tcPr>
          <w:p w14:paraId="24C21064" w14:textId="77777777" w:rsidR="00035316" w:rsidRDefault="00831B25">
            <w:r>
              <w:t>tools/showcase_protocol_fuzz.py</w:t>
            </w:r>
            <w:r>
              <w:t>；</w:t>
            </w:r>
            <w:r>
              <w:t>tools/showcase_guard_stress.py</w:t>
            </w:r>
          </w:p>
        </w:tc>
        <w:tc>
          <w:tcPr>
            <w:tcW w:w="2096" w:type="dxa"/>
            <w:tcBorders>
              <w:top w:val="nil"/>
              <w:left w:val="nil"/>
              <w:bottom w:val="nil"/>
              <w:right w:val="nil"/>
            </w:tcBorders>
            <w:tcMar>
              <w:top w:w="-1" w:type="dxa"/>
              <w:left w:w="-1" w:type="dxa"/>
              <w:bottom w:w="-1" w:type="dxa"/>
              <w:right w:w="-1" w:type="dxa"/>
            </w:tcMar>
            <w:vAlign w:val="center"/>
          </w:tcPr>
          <w:p w14:paraId="43FB87D2" w14:textId="77777777" w:rsidR="00035316" w:rsidRDefault="00831B25">
            <w:r>
              <w:t>验证协议层异常输入、重放与并发守卫</w:t>
            </w:r>
          </w:p>
        </w:tc>
      </w:tr>
      <w:tr w:rsidR="00035316" w14:paraId="6DCE85B4" w14:textId="77777777">
        <w:trPr>
          <w:jc w:val="center"/>
        </w:trPr>
        <w:tc>
          <w:tcPr>
            <w:tcW w:w="2178" w:type="dxa"/>
            <w:tcBorders>
              <w:top w:val="nil"/>
              <w:left w:val="nil"/>
              <w:bottom w:val="nil"/>
              <w:right w:val="nil"/>
            </w:tcBorders>
            <w:tcMar>
              <w:top w:w="-1" w:type="dxa"/>
              <w:left w:w="-1" w:type="dxa"/>
              <w:bottom w:w="-1" w:type="dxa"/>
              <w:right w:w="-1" w:type="dxa"/>
            </w:tcMar>
            <w:vAlign w:val="center"/>
          </w:tcPr>
          <w:p w14:paraId="5BC73DEA" w14:textId="77777777" w:rsidR="00035316" w:rsidRDefault="00831B25">
            <w:r>
              <w:t>图件与报告生成脚本</w:t>
            </w:r>
          </w:p>
        </w:tc>
        <w:tc>
          <w:tcPr>
            <w:tcW w:w="4546" w:type="dxa"/>
            <w:tcBorders>
              <w:top w:val="nil"/>
              <w:left w:val="nil"/>
              <w:bottom w:val="nil"/>
              <w:right w:val="nil"/>
            </w:tcBorders>
            <w:tcMar>
              <w:top w:w="-1" w:type="dxa"/>
              <w:left w:w="-1" w:type="dxa"/>
              <w:bottom w:w="-1" w:type="dxa"/>
              <w:right w:w="-1" w:type="dxa"/>
            </w:tcMar>
            <w:vAlign w:val="center"/>
          </w:tcPr>
          <w:p w14:paraId="059F3053" w14:textId="77777777" w:rsidR="00035316" w:rsidRDefault="00831B25">
            <w:r>
              <w:t>tools/showcase_extract_report_assets.py</w:t>
            </w:r>
            <w:r>
              <w:t>；</w:t>
            </w:r>
            <w:r>
              <w:t>showcase/public/report-assets/</w:t>
            </w:r>
            <w:r>
              <w:t>；</w:t>
            </w:r>
            <w:r>
              <w:t>showcase/src/generated/report_content.json</w:t>
            </w:r>
          </w:p>
        </w:tc>
        <w:tc>
          <w:tcPr>
            <w:tcW w:w="2096" w:type="dxa"/>
            <w:tcBorders>
              <w:top w:val="nil"/>
              <w:left w:val="nil"/>
              <w:bottom w:val="nil"/>
              <w:right w:val="nil"/>
            </w:tcBorders>
            <w:tcMar>
              <w:top w:w="-1" w:type="dxa"/>
              <w:left w:w="-1" w:type="dxa"/>
              <w:bottom w:w="-1" w:type="dxa"/>
              <w:right w:w="-1" w:type="dxa"/>
            </w:tcMar>
            <w:vAlign w:val="center"/>
          </w:tcPr>
          <w:p w14:paraId="470D8C5C" w14:textId="77777777" w:rsidR="00035316" w:rsidRDefault="00831B25">
            <w:r>
              <w:t>从正式</w:t>
            </w:r>
            <w:r>
              <w:t xml:space="preserve"> DOCX </w:t>
            </w:r>
            <w:r>
              <w:t>提取展示图件与章节</w:t>
            </w:r>
            <w:r>
              <w:t xml:space="preserve"> JSON</w:t>
            </w:r>
            <w:r>
              <w:t>，用于重建展示站内容</w:t>
            </w:r>
          </w:p>
        </w:tc>
      </w:tr>
      <w:tr w:rsidR="00035316" w14:paraId="67068321" w14:textId="77777777">
        <w:trPr>
          <w:jc w:val="center"/>
        </w:trPr>
        <w:tc>
          <w:tcPr>
            <w:tcW w:w="2178" w:type="dxa"/>
            <w:tcBorders>
              <w:top w:val="nil"/>
              <w:left w:val="nil"/>
              <w:bottom w:val="nil"/>
              <w:right w:val="nil"/>
            </w:tcBorders>
            <w:tcMar>
              <w:top w:w="-1" w:type="dxa"/>
              <w:left w:w="-1" w:type="dxa"/>
              <w:bottom w:w="-1" w:type="dxa"/>
              <w:right w:w="-1" w:type="dxa"/>
            </w:tcMar>
            <w:vAlign w:val="center"/>
          </w:tcPr>
          <w:p w14:paraId="26EC33E4" w14:textId="77777777" w:rsidR="00035316" w:rsidRDefault="00831B25">
            <w:pPr>
              <w:keepNext/>
              <w:snapToGrid w:val="0"/>
              <w:jc w:val="center"/>
              <w:rPr>
                <w:rFonts w:ascii="宋体"/>
                <w:sz w:val="24"/>
              </w:rPr>
            </w:pPr>
            <w:r>
              <w:rPr>
                <w:rFonts w:ascii="宋体" w:hAnsi="宋体"/>
                <w:sz w:val="24"/>
              </w:rPr>
              <w:t>复现说明</w:t>
            </w:r>
          </w:p>
        </w:tc>
        <w:tc>
          <w:tcPr>
            <w:tcW w:w="4546" w:type="dxa"/>
            <w:tcBorders>
              <w:top w:val="nil"/>
              <w:left w:val="nil"/>
              <w:bottom w:val="nil"/>
              <w:right w:val="nil"/>
            </w:tcBorders>
            <w:tcMar>
              <w:top w:w="-1" w:type="dxa"/>
              <w:left w:w="-1" w:type="dxa"/>
              <w:bottom w:w="-1" w:type="dxa"/>
              <w:right w:w="-1" w:type="dxa"/>
            </w:tcMar>
            <w:vAlign w:val="center"/>
          </w:tcPr>
          <w:p w14:paraId="4E8F8213" w14:textId="77777777" w:rsidR="00035316" w:rsidRDefault="00831B25">
            <w:pPr>
              <w:keepNext/>
              <w:snapToGrid w:val="0"/>
              <w:jc w:val="left"/>
              <w:rPr>
                <w:rFonts w:ascii="宋体"/>
                <w:sz w:val="24"/>
              </w:rPr>
            </w:pPr>
            <w:r>
              <w:rPr>
                <w:rFonts w:ascii="宋体" w:hAnsi="宋体"/>
                <w:sz w:val="24"/>
              </w:rPr>
              <w:t>README_REPRODUCE.md</w:t>
            </w:r>
          </w:p>
        </w:tc>
        <w:tc>
          <w:tcPr>
            <w:tcW w:w="2096" w:type="dxa"/>
            <w:tcBorders>
              <w:top w:val="nil"/>
              <w:left w:val="nil"/>
              <w:bottom w:val="nil"/>
              <w:right w:val="nil"/>
            </w:tcBorders>
            <w:tcMar>
              <w:top w:w="-1" w:type="dxa"/>
              <w:left w:w="-1" w:type="dxa"/>
              <w:bottom w:w="-1" w:type="dxa"/>
              <w:right w:w="-1" w:type="dxa"/>
            </w:tcMar>
            <w:vAlign w:val="center"/>
          </w:tcPr>
          <w:p w14:paraId="727E0158" w14:textId="77777777" w:rsidR="00035316" w:rsidRDefault="00831B25">
            <w:pPr>
              <w:keepNext/>
              <w:snapToGrid w:val="0"/>
              <w:jc w:val="left"/>
              <w:rPr>
                <w:rFonts w:ascii="宋体"/>
                <w:sz w:val="24"/>
              </w:rPr>
            </w:pPr>
            <w:r>
              <w:rPr>
                <w:rFonts w:ascii="宋体" w:hAnsi="宋体"/>
                <w:sz w:val="24"/>
              </w:rPr>
              <w:t>提供环境约束、运行步骤与预期输出</w:t>
            </w:r>
          </w:p>
        </w:tc>
      </w:tr>
      <w:tr w:rsidR="00035316" w14:paraId="4615D861" w14:textId="77777777">
        <w:trPr>
          <w:jc w:val="center"/>
        </w:trPr>
        <w:tc>
          <w:tcPr>
            <w:tcW w:w="2178" w:type="dxa"/>
            <w:tcBorders>
              <w:top w:val="nil"/>
              <w:left w:val="nil"/>
              <w:bottom w:val="single" w:sz="12" w:space="0" w:color="auto"/>
              <w:right w:val="nil"/>
            </w:tcBorders>
            <w:tcMar>
              <w:top w:w="-1" w:type="dxa"/>
              <w:left w:w="-1" w:type="dxa"/>
              <w:bottom w:w="-1" w:type="dxa"/>
              <w:right w:w="-1" w:type="dxa"/>
            </w:tcMar>
            <w:vAlign w:val="center"/>
          </w:tcPr>
          <w:p w14:paraId="7FE1740F" w14:textId="77777777" w:rsidR="00035316" w:rsidRDefault="00831B25">
            <w:pPr>
              <w:keepNext/>
              <w:snapToGrid w:val="0"/>
              <w:jc w:val="center"/>
              <w:rPr>
                <w:rFonts w:ascii="宋体"/>
                <w:sz w:val="24"/>
              </w:rPr>
            </w:pPr>
            <w:r>
              <w:rPr>
                <w:rFonts w:ascii="宋体" w:hAnsi="宋体"/>
                <w:sz w:val="24"/>
              </w:rPr>
              <w:t>许可证与修改映射</w:t>
            </w:r>
          </w:p>
        </w:tc>
        <w:tc>
          <w:tcPr>
            <w:tcW w:w="4546" w:type="dxa"/>
            <w:tcBorders>
              <w:top w:val="nil"/>
              <w:left w:val="nil"/>
              <w:bottom w:val="single" w:sz="12" w:space="0" w:color="auto"/>
              <w:right w:val="nil"/>
            </w:tcBorders>
            <w:tcMar>
              <w:top w:w="-1" w:type="dxa"/>
              <w:left w:w="-1" w:type="dxa"/>
              <w:bottom w:w="-1" w:type="dxa"/>
              <w:right w:w="-1" w:type="dxa"/>
            </w:tcMar>
            <w:vAlign w:val="center"/>
          </w:tcPr>
          <w:p w14:paraId="072E52F2" w14:textId="77777777" w:rsidR="00035316" w:rsidRDefault="00831B25">
            <w:pPr>
              <w:keepNext/>
              <w:snapToGrid w:val="0"/>
              <w:jc w:val="left"/>
              <w:rPr>
                <w:rFonts w:ascii="宋体"/>
                <w:sz w:val="24"/>
              </w:rPr>
            </w:pPr>
            <w:r>
              <w:rPr>
                <w:rFonts w:ascii="宋体" w:hAnsi="宋体"/>
                <w:sz w:val="24"/>
              </w:rPr>
              <w:t>spu_vendored/LICENSE；spu_vendored/MODIFICATIONS.md；THIRD_PARTY.md</w:t>
            </w:r>
          </w:p>
        </w:tc>
        <w:tc>
          <w:tcPr>
            <w:tcW w:w="2096" w:type="dxa"/>
            <w:tcBorders>
              <w:top w:val="nil"/>
              <w:left w:val="nil"/>
              <w:bottom w:val="single" w:sz="12" w:space="0" w:color="auto"/>
              <w:right w:val="nil"/>
            </w:tcBorders>
            <w:tcMar>
              <w:top w:w="-1" w:type="dxa"/>
              <w:left w:w="-1" w:type="dxa"/>
              <w:bottom w:w="-1" w:type="dxa"/>
              <w:right w:w="-1" w:type="dxa"/>
            </w:tcMar>
            <w:vAlign w:val="center"/>
          </w:tcPr>
          <w:p w14:paraId="1730CC2F" w14:textId="77777777" w:rsidR="00035316" w:rsidRDefault="00831B25">
            <w:pPr>
              <w:keepNext/>
              <w:snapToGrid w:val="0"/>
              <w:jc w:val="left"/>
              <w:rPr>
                <w:rFonts w:ascii="宋体"/>
                <w:sz w:val="24"/>
              </w:rPr>
            </w:pPr>
            <w:r>
              <w:rPr>
                <w:rFonts w:ascii="宋体" w:hAnsi="宋体"/>
                <w:sz w:val="24"/>
              </w:rPr>
              <w:t>支撑第三方许可与本地修改说明</w:t>
            </w:r>
          </w:p>
        </w:tc>
      </w:tr>
    </w:tbl>
    <w:p w14:paraId="4F1AC8A5" w14:textId="77777777" w:rsidR="00035316" w:rsidRDefault="00831B25">
      <w:pPr>
        <w:rPr>
          <w:rFonts w:ascii="黑体" w:eastAsia="黑体" w:hAnsi="黑体" w:hint="eastAsia"/>
          <w:b/>
          <w:sz w:val="24"/>
        </w:rPr>
      </w:pPr>
      <w:r>
        <w:rPr>
          <w:rFonts w:ascii="宋体" w:hAnsi="宋体" w:cs="宋体"/>
          <w:sz w:val="24"/>
        </w:rPr>
        <w:t>注：所有交付物均已纳入版本控制，仓内路径与本表格完全一致；自动化验证脚本可直接运行生成对应证据文件。</w:t>
      </w:r>
    </w:p>
    <w:p w14:paraId="51903FC0" w14:textId="77777777" w:rsidR="00035316" w:rsidRDefault="00831B25">
      <w:pPr>
        <w:rPr>
          <w:rFonts w:ascii="黑体" w:eastAsia="黑体" w:hAnsi="黑体" w:hint="eastAsia"/>
          <w:b/>
          <w:sz w:val="24"/>
        </w:rPr>
      </w:pPr>
      <w:r>
        <w:rPr>
          <w:rFonts w:ascii="黑体" w:eastAsia="黑体" w:hAnsi="黑体"/>
          <w:b/>
          <w:sz w:val="24"/>
        </w:rPr>
        <w:br w:type="page"/>
      </w:r>
    </w:p>
    <w:p w14:paraId="25EA927A" w14:textId="77777777" w:rsidR="00035316" w:rsidRDefault="00831B25">
      <w:pPr>
        <w:pStyle w:val="1"/>
        <w:jc w:val="center"/>
      </w:pPr>
      <w:bookmarkStart w:id="42" w:name="Transshield_TOC_chapter_4"/>
      <w:bookmarkStart w:id="43" w:name="_Toc230989553"/>
      <w:r>
        <w:rPr>
          <w:rFonts w:ascii="黑体" w:eastAsia="黑体" w:hAnsi="黑体"/>
        </w:rPr>
        <w:t>第四章 测试方案与结果分析</w:t>
      </w:r>
      <w:bookmarkEnd w:id="42"/>
      <w:bookmarkEnd w:id="43"/>
    </w:p>
    <w:p w14:paraId="3302111D" w14:textId="77777777" w:rsidR="00035316" w:rsidRDefault="00831B25">
      <w:pPr>
        <w:spacing w:line="360" w:lineRule="auto"/>
        <w:outlineLvl w:val="1"/>
        <w:rPr>
          <w:rFonts w:ascii="黑体" w:eastAsia="黑体" w:hAnsi="黑体" w:hint="eastAsia"/>
          <w:b/>
          <w:sz w:val="24"/>
        </w:rPr>
      </w:pPr>
      <w:bookmarkStart w:id="44" w:name="Transshield_TOC_section_4_1"/>
      <w:bookmarkStart w:id="45" w:name="_Toc230989554"/>
      <w:r>
        <w:rPr>
          <w:rFonts w:ascii="黑体" w:eastAsia="黑体" w:hAnsi="黑体"/>
          <w:b/>
          <w:sz w:val="24"/>
        </w:rPr>
        <w:t>4.1 测试环境、数据与评价指标</w:t>
      </w:r>
      <w:bookmarkEnd w:id="44"/>
      <w:bookmarkEnd w:id="45"/>
    </w:p>
    <w:p w14:paraId="71574140" w14:textId="77777777" w:rsidR="00035316" w:rsidRDefault="00831B25">
      <w:pPr>
        <w:spacing w:line="360" w:lineRule="auto"/>
        <w:ind w:firstLine="480"/>
        <w:rPr>
          <w:rFonts w:ascii="宋体" w:hAnsi="宋体" w:hint="eastAsia"/>
          <w:sz w:val="24"/>
        </w:rPr>
      </w:pPr>
      <w:r>
        <w:rPr>
          <w:rFonts w:ascii="宋体" w:hAnsi="宋体" w:cs="宋体"/>
          <w:sz w:val="24"/>
        </w:rPr>
        <w:t xml:space="preserve">本次测试使用的数据集规模、用途与核心评价指标如表 </w:t>
      </w:r>
      <w:r>
        <w:rPr>
          <w:rFonts w:ascii="宋体" w:hAnsi="宋体" w:cs="宋体" w:hint="eastAsia"/>
          <w:sz w:val="24"/>
        </w:rPr>
        <w:t>7</w:t>
      </w:r>
      <w:r>
        <w:rPr>
          <w:rFonts w:ascii="宋体" w:hAnsi="宋体" w:cs="宋体"/>
          <w:sz w:val="24"/>
        </w:rPr>
        <w:t xml:space="preserve"> 所示。</w:t>
      </w:r>
      <w:r>
        <w:rPr>
          <w:rFonts w:ascii="宋体" w:hAnsi="宋体" w:hint="eastAsia"/>
          <w:sz w:val="24"/>
        </w:rPr>
        <w:t>实验主要使用 524 张验证集样本进行医疗主线评估，另使用 8 条金融边界压力样本进行迁移性与稳定性验证。医疗主线采用阈值精度、AUC 和 argmax 精度作为主要指标，其中阈值精度用于反映部署口径下的最终分类效果，AUC 用于衡量整体判别能力，argmax 精度用于描述未校准条件下的直接决策表现。协议层与控制面验证则采用异常输入拦截率、重放拦截率、并发守卫结果和审计落盘状态作为主要观察指标。</w:t>
      </w:r>
    </w:p>
    <w:p w14:paraId="3B6F2B89" w14:textId="77777777" w:rsidR="00035316" w:rsidRDefault="00831B25">
      <w:pPr>
        <w:spacing w:line="360" w:lineRule="auto"/>
        <w:ind w:firstLine="480"/>
        <w:rPr>
          <w:rFonts w:ascii="宋体" w:hAnsi="宋体" w:hint="eastAsia"/>
          <w:sz w:val="24"/>
        </w:rPr>
      </w:pPr>
      <w:r>
        <w:rPr>
          <w:rFonts w:ascii="宋体" w:hAnsi="宋体" w:hint="eastAsia"/>
          <w:sz w:val="24"/>
        </w:rPr>
        <w:t>需要说明的是，本文中涉及的性能结果均以固定 checkpoint 和同口径验证集为基础，反映的是部署态结果而非多随机种子的训练均值。</w:t>
      </w:r>
    </w:p>
    <w:p w14:paraId="32E60734" w14:textId="77777777" w:rsidR="00035316" w:rsidRDefault="00831B25">
      <w:pPr>
        <w:spacing w:line="360" w:lineRule="auto"/>
        <w:jc w:val="center"/>
        <w:rPr>
          <w:rFonts w:ascii="宋体" w:hAnsi="宋体" w:hint="eastAsia"/>
          <w:sz w:val="24"/>
        </w:rPr>
      </w:pPr>
      <w:r>
        <w:rPr>
          <w:rFonts w:ascii="宋体" w:hAnsi="宋体" w:cs="宋体"/>
          <w:sz w:val="24"/>
        </w:rPr>
        <w:t>表</w:t>
      </w:r>
      <w:r>
        <w:rPr>
          <w:rFonts w:ascii="宋体" w:hAnsi="宋体" w:cs="宋体" w:hint="eastAsia"/>
          <w:sz w:val="24"/>
        </w:rPr>
        <w:t xml:space="preserve">7 </w:t>
      </w:r>
      <w:r>
        <w:rPr>
          <w:rFonts w:ascii="宋体" w:hAnsi="宋体" w:cs="宋体"/>
          <w:sz w:val="24"/>
        </w:rPr>
        <w:t>测试数据集与评价指标说明</w:t>
      </w:r>
    </w:p>
    <w:tbl>
      <w:tblPr>
        <w:tblpPr w:leftFromText="180" w:rightFromText="180" w:vertAnchor="text" w:horzAnchor="page" w:tblpX="1653" w:tblpY="303"/>
        <w:tblOverlap w:val="never"/>
        <w:tblW w:w="9082" w:type="dxa"/>
        <w:tblLook w:val="04A0" w:firstRow="1" w:lastRow="0" w:firstColumn="1" w:lastColumn="0" w:noHBand="0" w:noVBand="1"/>
      </w:tblPr>
      <w:tblGrid>
        <w:gridCol w:w="2211"/>
        <w:gridCol w:w="996"/>
        <w:gridCol w:w="3311"/>
        <w:gridCol w:w="2564"/>
      </w:tblGrid>
      <w:tr w:rsidR="00035316" w14:paraId="4DEC1545" w14:textId="77777777">
        <w:trPr>
          <w:tblHeader/>
        </w:trPr>
        <w:tc>
          <w:tcPr>
            <w:tcW w:w="2211" w:type="dxa"/>
            <w:tcBorders>
              <w:top w:val="single" w:sz="12" w:space="0" w:color="auto"/>
              <w:left w:val="nil"/>
              <w:bottom w:val="nil"/>
              <w:right w:val="nil"/>
            </w:tcBorders>
            <w:tcMar>
              <w:top w:w="-1" w:type="dxa"/>
              <w:left w:w="-1" w:type="dxa"/>
              <w:bottom w:w="-1" w:type="dxa"/>
              <w:right w:w="-1" w:type="dxa"/>
            </w:tcMar>
            <w:vAlign w:val="center"/>
          </w:tcPr>
          <w:p w14:paraId="3DAF26F7" w14:textId="77777777" w:rsidR="00035316" w:rsidRDefault="00831B25">
            <w:pPr>
              <w:snapToGrid w:val="0"/>
              <w:jc w:val="center"/>
              <w:rPr>
                <w:rFonts w:ascii="宋体"/>
                <w:b/>
                <w:sz w:val="24"/>
              </w:rPr>
            </w:pPr>
            <w:r>
              <w:rPr>
                <w:rFonts w:ascii="宋体" w:hAnsi="宋体"/>
                <w:b/>
                <w:sz w:val="24"/>
              </w:rPr>
              <w:t>对象</w:t>
            </w:r>
          </w:p>
        </w:tc>
        <w:tc>
          <w:tcPr>
            <w:tcW w:w="996" w:type="dxa"/>
            <w:tcBorders>
              <w:top w:val="single" w:sz="12" w:space="0" w:color="auto"/>
              <w:left w:val="nil"/>
              <w:bottom w:val="nil"/>
              <w:right w:val="nil"/>
            </w:tcBorders>
            <w:tcMar>
              <w:top w:w="-1" w:type="dxa"/>
              <w:left w:w="-1" w:type="dxa"/>
              <w:bottom w:w="-1" w:type="dxa"/>
              <w:right w:w="-1" w:type="dxa"/>
            </w:tcMar>
            <w:vAlign w:val="center"/>
          </w:tcPr>
          <w:p w14:paraId="037699BE" w14:textId="77777777" w:rsidR="00035316" w:rsidRDefault="00831B25">
            <w:pPr>
              <w:snapToGrid w:val="0"/>
              <w:jc w:val="center"/>
              <w:rPr>
                <w:rFonts w:ascii="宋体"/>
                <w:b/>
                <w:sz w:val="24"/>
              </w:rPr>
            </w:pPr>
            <w:r>
              <w:rPr>
                <w:rFonts w:ascii="宋体" w:hAnsi="宋体"/>
                <w:b/>
                <w:sz w:val="24"/>
              </w:rPr>
              <w:t>样本规模</w:t>
            </w:r>
          </w:p>
        </w:tc>
        <w:tc>
          <w:tcPr>
            <w:tcW w:w="3311" w:type="dxa"/>
            <w:tcBorders>
              <w:top w:val="single" w:sz="12" w:space="0" w:color="auto"/>
              <w:left w:val="nil"/>
              <w:bottom w:val="nil"/>
              <w:right w:val="nil"/>
            </w:tcBorders>
            <w:tcMar>
              <w:top w:w="-1" w:type="dxa"/>
              <w:left w:w="-1" w:type="dxa"/>
              <w:bottom w:w="-1" w:type="dxa"/>
              <w:right w:w="-1" w:type="dxa"/>
            </w:tcMar>
            <w:vAlign w:val="center"/>
          </w:tcPr>
          <w:p w14:paraId="77F4B07D" w14:textId="77777777" w:rsidR="00035316" w:rsidRDefault="00831B25">
            <w:pPr>
              <w:snapToGrid w:val="0"/>
              <w:jc w:val="center"/>
              <w:rPr>
                <w:rFonts w:ascii="宋体"/>
                <w:b/>
                <w:sz w:val="24"/>
              </w:rPr>
            </w:pPr>
            <w:r>
              <w:rPr>
                <w:rFonts w:ascii="宋体" w:hAnsi="宋体"/>
                <w:b/>
                <w:sz w:val="24"/>
              </w:rPr>
              <w:t>作用</w:t>
            </w:r>
          </w:p>
        </w:tc>
        <w:tc>
          <w:tcPr>
            <w:tcW w:w="2564" w:type="dxa"/>
            <w:tcBorders>
              <w:top w:val="single" w:sz="12" w:space="0" w:color="auto"/>
              <w:left w:val="nil"/>
              <w:bottom w:val="nil"/>
              <w:right w:val="nil"/>
            </w:tcBorders>
            <w:tcMar>
              <w:top w:w="-1" w:type="dxa"/>
              <w:left w:w="-1" w:type="dxa"/>
              <w:bottom w:w="-1" w:type="dxa"/>
              <w:right w:w="-1" w:type="dxa"/>
            </w:tcMar>
            <w:vAlign w:val="center"/>
          </w:tcPr>
          <w:p w14:paraId="01239A88" w14:textId="77777777" w:rsidR="00035316" w:rsidRDefault="00831B25">
            <w:pPr>
              <w:snapToGrid w:val="0"/>
              <w:jc w:val="center"/>
              <w:rPr>
                <w:rFonts w:ascii="宋体"/>
                <w:b/>
                <w:sz w:val="24"/>
              </w:rPr>
            </w:pPr>
            <w:r>
              <w:rPr>
                <w:rFonts w:ascii="宋体" w:hAnsi="宋体"/>
                <w:b/>
                <w:sz w:val="24"/>
              </w:rPr>
              <w:t>主要指标</w:t>
            </w:r>
          </w:p>
        </w:tc>
      </w:tr>
      <w:tr w:rsidR="00035316" w14:paraId="07633D14" w14:textId="77777777">
        <w:tc>
          <w:tcPr>
            <w:tcW w:w="2211" w:type="dxa"/>
            <w:tcBorders>
              <w:top w:val="single" w:sz="4" w:space="0" w:color="auto"/>
              <w:left w:val="nil"/>
              <w:bottom w:val="nil"/>
              <w:right w:val="nil"/>
            </w:tcBorders>
            <w:tcMar>
              <w:top w:w="-1" w:type="dxa"/>
              <w:left w:w="-1" w:type="dxa"/>
              <w:bottom w:w="-1" w:type="dxa"/>
              <w:right w:w="-1" w:type="dxa"/>
            </w:tcMar>
            <w:vAlign w:val="center"/>
          </w:tcPr>
          <w:p w14:paraId="74F8C4F1" w14:textId="77777777" w:rsidR="00035316" w:rsidRDefault="00831B25">
            <w:pPr>
              <w:snapToGrid w:val="0"/>
              <w:jc w:val="center"/>
              <w:rPr>
                <w:rFonts w:ascii="宋体"/>
                <w:sz w:val="24"/>
              </w:rPr>
            </w:pPr>
            <w:r>
              <w:rPr>
                <w:rFonts w:ascii="宋体" w:hAnsi="宋体"/>
                <w:sz w:val="24"/>
              </w:rPr>
              <w:t>医疗全量验证集</w:t>
            </w:r>
          </w:p>
        </w:tc>
        <w:tc>
          <w:tcPr>
            <w:tcW w:w="996" w:type="dxa"/>
            <w:tcBorders>
              <w:top w:val="single" w:sz="4" w:space="0" w:color="auto"/>
              <w:left w:val="nil"/>
              <w:bottom w:val="nil"/>
              <w:right w:val="nil"/>
            </w:tcBorders>
            <w:tcMar>
              <w:top w:w="-1" w:type="dxa"/>
              <w:left w:w="-1" w:type="dxa"/>
              <w:bottom w:w="-1" w:type="dxa"/>
              <w:right w:w="-1" w:type="dxa"/>
            </w:tcMar>
            <w:vAlign w:val="center"/>
          </w:tcPr>
          <w:p w14:paraId="06A844CB" w14:textId="77777777" w:rsidR="00035316" w:rsidRDefault="00831B25">
            <w:pPr>
              <w:snapToGrid w:val="0"/>
              <w:jc w:val="left"/>
              <w:rPr>
                <w:rFonts w:ascii="宋体"/>
                <w:sz w:val="24"/>
              </w:rPr>
            </w:pPr>
            <w:r>
              <w:rPr>
                <w:rFonts w:ascii="宋体" w:hAnsi="宋体"/>
                <w:sz w:val="24"/>
              </w:rPr>
              <w:t>524 张</w:t>
            </w:r>
          </w:p>
        </w:tc>
        <w:tc>
          <w:tcPr>
            <w:tcW w:w="3311" w:type="dxa"/>
            <w:tcBorders>
              <w:top w:val="single" w:sz="4" w:space="0" w:color="auto"/>
              <w:left w:val="nil"/>
              <w:bottom w:val="nil"/>
              <w:right w:val="nil"/>
            </w:tcBorders>
            <w:tcMar>
              <w:top w:w="-1" w:type="dxa"/>
              <w:left w:w="-1" w:type="dxa"/>
              <w:bottom w:w="-1" w:type="dxa"/>
              <w:right w:w="-1" w:type="dxa"/>
            </w:tcMar>
            <w:vAlign w:val="center"/>
          </w:tcPr>
          <w:p w14:paraId="0063E150" w14:textId="77777777" w:rsidR="00035316" w:rsidRDefault="00831B25">
            <w:pPr>
              <w:snapToGrid w:val="0"/>
              <w:jc w:val="left"/>
              <w:rPr>
                <w:rFonts w:ascii="宋体"/>
                <w:sz w:val="24"/>
              </w:rPr>
            </w:pPr>
            <w:r>
              <w:rPr>
                <w:rFonts w:ascii="宋体" w:hAnsi="宋体"/>
                <w:sz w:val="24"/>
              </w:rPr>
              <w:t>正式阈值搜索与精度评估</w:t>
            </w:r>
          </w:p>
        </w:tc>
        <w:tc>
          <w:tcPr>
            <w:tcW w:w="2564" w:type="dxa"/>
            <w:tcBorders>
              <w:top w:val="single" w:sz="4" w:space="0" w:color="auto"/>
              <w:left w:val="nil"/>
              <w:bottom w:val="nil"/>
              <w:right w:val="nil"/>
            </w:tcBorders>
            <w:tcMar>
              <w:top w:w="-1" w:type="dxa"/>
              <w:left w:w="-1" w:type="dxa"/>
              <w:bottom w:w="-1" w:type="dxa"/>
              <w:right w:w="-1" w:type="dxa"/>
            </w:tcMar>
            <w:vAlign w:val="center"/>
          </w:tcPr>
          <w:p w14:paraId="12C76B12" w14:textId="77777777" w:rsidR="00035316" w:rsidRDefault="00831B25">
            <w:pPr>
              <w:snapToGrid w:val="0"/>
              <w:jc w:val="left"/>
              <w:rPr>
                <w:rFonts w:ascii="宋体"/>
                <w:sz w:val="24"/>
              </w:rPr>
            </w:pPr>
            <w:r>
              <w:rPr>
                <w:rFonts w:ascii="宋体" w:hAnsi="宋体"/>
                <w:sz w:val="24"/>
              </w:rPr>
              <w:t>argmax 精度、阈值精度、部署阈值</w:t>
            </w:r>
          </w:p>
        </w:tc>
      </w:tr>
      <w:tr w:rsidR="00035316" w14:paraId="444C1E99" w14:textId="77777777">
        <w:tc>
          <w:tcPr>
            <w:tcW w:w="2211" w:type="dxa"/>
            <w:tcBorders>
              <w:top w:val="nil"/>
              <w:left w:val="nil"/>
              <w:bottom w:val="nil"/>
              <w:right w:val="nil"/>
            </w:tcBorders>
            <w:tcMar>
              <w:top w:w="-1" w:type="dxa"/>
              <w:left w:w="-1" w:type="dxa"/>
              <w:bottom w:w="-1" w:type="dxa"/>
              <w:right w:w="-1" w:type="dxa"/>
            </w:tcMar>
            <w:vAlign w:val="center"/>
          </w:tcPr>
          <w:p w14:paraId="052AD834" w14:textId="77777777" w:rsidR="00035316" w:rsidRDefault="00831B25">
            <w:pPr>
              <w:snapToGrid w:val="0"/>
              <w:jc w:val="center"/>
              <w:rPr>
                <w:rFonts w:ascii="宋体"/>
                <w:sz w:val="24"/>
              </w:rPr>
            </w:pPr>
            <w:r>
              <w:rPr>
                <w:rFonts w:ascii="宋体" w:hAnsi="宋体"/>
                <w:sz w:val="24"/>
              </w:rPr>
              <w:t>医疗部署验证批次</w:t>
            </w:r>
          </w:p>
        </w:tc>
        <w:tc>
          <w:tcPr>
            <w:tcW w:w="996" w:type="dxa"/>
            <w:tcBorders>
              <w:top w:val="nil"/>
              <w:left w:val="nil"/>
              <w:bottom w:val="nil"/>
              <w:right w:val="nil"/>
            </w:tcBorders>
            <w:tcMar>
              <w:top w:w="-1" w:type="dxa"/>
              <w:left w:w="-1" w:type="dxa"/>
              <w:bottom w:w="-1" w:type="dxa"/>
              <w:right w:w="-1" w:type="dxa"/>
            </w:tcMar>
            <w:vAlign w:val="center"/>
          </w:tcPr>
          <w:p w14:paraId="57B507CE" w14:textId="77777777" w:rsidR="00035316" w:rsidRDefault="00831B25">
            <w:pPr>
              <w:snapToGrid w:val="0"/>
              <w:jc w:val="left"/>
              <w:rPr>
                <w:rFonts w:ascii="宋体"/>
                <w:sz w:val="24"/>
              </w:rPr>
            </w:pPr>
            <w:r>
              <w:rPr>
                <w:rFonts w:ascii="宋体" w:hAnsi="宋体"/>
                <w:sz w:val="24"/>
              </w:rPr>
              <w:t>32 张</w:t>
            </w:r>
          </w:p>
        </w:tc>
        <w:tc>
          <w:tcPr>
            <w:tcW w:w="3311" w:type="dxa"/>
            <w:tcBorders>
              <w:top w:val="nil"/>
              <w:left w:val="nil"/>
              <w:bottom w:val="nil"/>
              <w:right w:val="nil"/>
            </w:tcBorders>
            <w:tcMar>
              <w:top w:w="-1" w:type="dxa"/>
              <w:left w:w="-1" w:type="dxa"/>
              <w:bottom w:w="-1" w:type="dxa"/>
              <w:right w:w="-1" w:type="dxa"/>
            </w:tcMar>
            <w:vAlign w:val="center"/>
          </w:tcPr>
          <w:p w14:paraId="56F94FB8" w14:textId="77777777" w:rsidR="00035316" w:rsidRDefault="00831B25">
            <w:pPr>
              <w:snapToGrid w:val="0"/>
              <w:jc w:val="left"/>
              <w:rPr>
                <w:rFonts w:ascii="宋体"/>
                <w:sz w:val="24"/>
              </w:rPr>
            </w:pPr>
            <w:r>
              <w:rPr>
                <w:rFonts w:ascii="宋体" w:hAnsi="宋体"/>
                <w:sz w:val="24"/>
              </w:rPr>
              <w:t>完整双向隐私原型运行</w:t>
            </w:r>
          </w:p>
        </w:tc>
        <w:tc>
          <w:tcPr>
            <w:tcW w:w="2564" w:type="dxa"/>
            <w:tcBorders>
              <w:top w:val="nil"/>
              <w:left w:val="nil"/>
              <w:bottom w:val="nil"/>
              <w:right w:val="nil"/>
            </w:tcBorders>
            <w:tcMar>
              <w:top w:w="-1" w:type="dxa"/>
              <w:left w:w="-1" w:type="dxa"/>
              <w:bottom w:w="-1" w:type="dxa"/>
              <w:right w:w="-1" w:type="dxa"/>
            </w:tcMar>
            <w:vAlign w:val="center"/>
          </w:tcPr>
          <w:p w14:paraId="357428C0" w14:textId="77777777" w:rsidR="00035316" w:rsidRDefault="00831B25">
            <w:pPr>
              <w:snapToGrid w:val="0"/>
              <w:jc w:val="left"/>
              <w:rPr>
                <w:rFonts w:ascii="宋体"/>
                <w:sz w:val="24"/>
              </w:rPr>
            </w:pPr>
            <w:r>
              <w:rPr>
                <w:rFonts w:ascii="宋体" w:hAnsi="宋体"/>
                <w:sz w:val="24"/>
              </w:rPr>
              <w:t>平均时延、双向总通信量、隐私边界</w:t>
            </w:r>
          </w:p>
        </w:tc>
      </w:tr>
      <w:tr w:rsidR="00035316" w14:paraId="54A22306" w14:textId="77777777">
        <w:tc>
          <w:tcPr>
            <w:tcW w:w="2211" w:type="dxa"/>
            <w:tcBorders>
              <w:top w:val="nil"/>
              <w:left w:val="nil"/>
              <w:bottom w:val="nil"/>
              <w:right w:val="nil"/>
            </w:tcBorders>
            <w:tcMar>
              <w:top w:w="-1" w:type="dxa"/>
              <w:left w:w="-1" w:type="dxa"/>
              <w:bottom w:w="-1" w:type="dxa"/>
              <w:right w:w="-1" w:type="dxa"/>
            </w:tcMar>
            <w:vAlign w:val="center"/>
          </w:tcPr>
          <w:p w14:paraId="373EAD0C" w14:textId="77777777" w:rsidR="00035316" w:rsidRDefault="00831B25">
            <w:pPr>
              <w:snapToGrid w:val="0"/>
              <w:jc w:val="center"/>
              <w:rPr>
                <w:rFonts w:ascii="宋体"/>
                <w:sz w:val="24"/>
              </w:rPr>
            </w:pPr>
            <w:r>
              <w:rPr>
                <w:rFonts w:ascii="宋体" w:hAnsi="宋体"/>
                <w:sz w:val="24"/>
              </w:rPr>
              <w:t>金融边界压力样本</w:t>
            </w:r>
          </w:p>
        </w:tc>
        <w:tc>
          <w:tcPr>
            <w:tcW w:w="996" w:type="dxa"/>
            <w:tcBorders>
              <w:top w:val="nil"/>
              <w:left w:val="nil"/>
              <w:bottom w:val="nil"/>
              <w:right w:val="nil"/>
            </w:tcBorders>
            <w:tcMar>
              <w:top w:w="-1" w:type="dxa"/>
              <w:left w:w="-1" w:type="dxa"/>
              <w:bottom w:w="-1" w:type="dxa"/>
              <w:right w:w="-1" w:type="dxa"/>
            </w:tcMar>
            <w:vAlign w:val="center"/>
          </w:tcPr>
          <w:p w14:paraId="7A817A8D" w14:textId="77777777" w:rsidR="00035316" w:rsidRDefault="00831B25">
            <w:pPr>
              <w:snapToGrid w:val="0"/>
              <w:jc w:val="left"/>
              <w:rPr>
                <w:rFonts w:ascii="宋体"/>
                <w:sz w:val="24"/>
              </w:rPr>
            </w:pPr>
            <w:r>
              <w:rPr>
                <w:rFonts w:ascii="宋体" w:hAnsi="宋体"/>
                <w:sz w:val="24"/>
              </w:rPr>
              <w:t>8 条</w:t>
            </w:r>
          </w:p>
        </w:tc>
        <w:tc>
          <w:tcPr>
            <w:tcW w:w="3311" w:type="dxa"/>
            <w:tcBorders>
              <w:top w:val="nil"/>
              <w:left w:val="nil"/>
              <w:bottom w:val="nil"/>
              <w:right w:val="nil"/>
            </w:tcBorders>
            <w:tcMar>
              <w:top w:w="-1" w:type="dxa"/>
              <w:left w:w="-1" w:type="dxa"/>
              <w:bottom w:w="-1" w:type="dxa"/>
              <w:right w:w="-1" w:type="dxa"/>
            </w:tcMar>
            <w:vAlign w:val="center"/>
          </w:tcPr>
          <w:p w14:paraId="54476137" w14:textId="77777777" w:rsidR="00035316" w:rsidRDefault="00831B25">
            <w:pPr>
              <w:snapToGrid w:val="0"/>
              <w:jc w:val="left"/>
              <w:rPr>
                <w:rFonts w:ascii="宋体"/>
                <w:sz w:val="24"/>
              </w:rPr>
            </w:pPr>
            <w:r>
              <w:rPr>
                <w:rFonts w:ascii="宋体" w:hAnsi="宋体"/>
                <w:sz w:val="24"/>
              </w:rPr>
              <w:t>极端分布输入下的稳定性验证</w:t>
            </w:r>
          </w:p>
        </w:tc>
        <w:tc>
          <w:tcPr>
            <w:tcW w:w="2564" w:type="dxa"/>
            <w:tcBorders>
              <w:top w:val="nil"/>
              <w:left w:val="nil"/>
              <w:bottom w:val="nil"/>
              <w:right w:val="nil"/>
            </w:tcBorders>
            <w:tcMar>
              <w:top w:w="-1" w:type="dxa"/>
              <w:left w:w="-1" w:type="dxa"/>
              <w:bottom w:w="-1" w:type="dxa"/>
              <w:right w:w="-1" w:type="dxa"/>
            </w:tcMar>
            <w:vAlign w:val="center"/>
          </w:tcPr>
          <w:p w14:paraId="51696DB2" w14:textId="77777777" w:rsidR="00035316" w:rsidRDefault="00831B25">
            <w:pPr>
              <w:snapToGrid w:val="0"/>
              <w:jc w:val="left"/>
              <w:rPr>
                <w:rFonts w:ascii="宋体"/>
                <w:sz w:val="24"/>
              </w:rPr>
            </w:pPr>
            <w:r>
              <w:rPr>
                <w:rFonts w:ascii="宋体" w:hAnsi="宋体"/>
                <w:sz w:val="24"/>
              </w:rPr>
              <w:t>逐样本一致性、时延、通信量</w:t>
            </w:r>
          </w:p>
        </w:tc>
      </w:tr>
      <w:tr w:rsidR="00035316" w14:paraId="3C0A2409" w14:textId="77777777">
        <w:tc>
          <w:tcPr>
            <w:tcW w:w="2211" w:type="dxa"/>
            <w:tcBorders>
              <w:top w:val="nil"/>
              <w:left w:val="nil"/>
              <w:bottom w:val="single" w:sz="12" w:space="0" w:color="auto"/>
              <w:right w:val="nil"/>
            </w:tcBorders>
            <w:tcMar>
              <w:top w:w="-1" w:type="dxa"/>
              <w:left w:w="-1" w:type="dxa"/>
              <w:bottom w:w="-1" w:type="dxa"/>
              <w:right w:w="-1" w:type="dxa"/>
            </w:tcMar>
            <w:vAlign w:val="center"/>
          </w:tcPr>
          <w:p w14:paraId="6B268374" w14:textId="77777777" w:rsidR="00035316" w:rsidRDefault="00831B25">
            <w:pPr>
              <w:snapToGrid w:val="0"/>
              <w:jc w:val="center"/>
              <w:rPr>
                <w:rFonts w:ascii="宋体"/>
                <w:sz w:val="24"/>
              </w:rPr>
            </w:pPr>
            <w:r>
              <w:rPr>
                <w:rFonts w:ascii="宋体" w:hAnsi="宋体"/>
                <w:sz w:val="24"/>
              </w:rPr>
              <w:t>协议层与控制面黑盒用例</w:t>
            </w:r>
          </w:p>
        </w:tc>
        <w:tc>
          <w:tcPr>
            <w:tcW w:w="996" w:type="dxa"/>
            <w:tcBorders>
              <w:top w:val="nil"/>
              <w:left w:val="nil"/>
              <w:bottom w:val="single" w:sz="12" w:space="0" w:color="auto"/>
              <w:right w:val="nil"/>
            </w:tcBorders>
            <w:tcMar>
              <w:top w:w="-1" w:type="dxa"/>
              <w:left w:w="-1" w:type="dxa"/>
              <w:bottom w:w="-1" w:type="dxa"/>
              <w:right w:w="-1" w:type="dxa"/>
            </w:tcMar>
            <w:vAlign w:val="center"/>
          </w:tcPr>
          <w:p w14:paraId="3F8DF705" w14:textId="77777777" w:rsidR="00035316" w:rsidRDefault="00831B25">
            <w:pPr>
              <w:snapToGrid w:val="0"/>
              <w:jc w:val="left"/>
              <w:rPr>
                <w:rFonts w:ascii="宋体"/>
                <w:sz w:val="24"/>
              </w:rPr>
            </w:pPr>
            <w:r>
              <w:rPr>
                <w:rFonts w:ascii="宋体" w:hAnsi="宋体"/>
                <w:sz w:val="24"/>
              </w:rPr>
              <w:t>17 类</w:t>
            </w:r>
          </w:p>
        </w:tc>
        <w:tc>
          <w:tcPr>
            <w:tcW w:w="3311" w:type="dxa"/>
            <w:tcBorders>
              <w:top w:val="nil"/>
              <w:left w:val="nil"/>
              <w:bottom w:val="single" w:sz="12" w:space="0" w:color="auto"/>
              <w:right w:val="nil"/>
            </w:tcBorders>
            <w:tcMar>
              <w:top w:w="-1" w:type="dxa"/>
              <w:left w:w="-1" w:type="dxa"/>
              <w:bottom w:w="-1" w:type="dxa"/>
              <w:right w:w="-1" w:type="dxa"/>
            </w:tcMar>
            <w:vAlign w:val="center"/>
          </w:tcPr>
          <w:p w14:paraId="444A5AA6" w14:textId="77777777" w:rsidR="00035316" w:rsidRDefault="00831B25">
            <w:pPr>
              <w:snapToGrid w:val="0"/>
              <w:jc w:val="left"/>
              <w:rPr>
                <w:rFonts w:ascii="宋体"/>
                <w:sz w:val="24"/>
              </w:rPr>
            </w:pPr>
            <w:r>
              <w:rPr>
                <w:rFonts w:ascii="宋体" w:hAnsi="宋体"/>
                <w:sz w:val="24"/>
              </w:rPr>
              <w:t>异常输入、重放与并发探针验证</w:t>
            </w:r>
          </w:p>
        </w:tc>
        <w:tc>
          <w:tcPr>
            <w:tcW w:w="2564" w:type="dxa"/>
            <w:tcBorders>
              <w:top w:val="nil"/>
              <w:left w:val="nil"/>
              <w:bottom w:val="single" w:sz="12" w:space="0" w:color="auto"/>
              <w:right w:val="nil"/>
            </w:tcBorders>
            <w:tcMar>
              <w:top w:w="-1" w:type="dxa"/>
              <w:left w:w="-1" w:type="dxa"/>
              <w:bottom w:w="-1" w:type="dxa"/>
              <w:right w:w="-1" w:type="dxa"/>
            </w:tcMar>
            <w:vAlign w:val="center"/>
          </w:tcPr>
          <w:p w14:paraId="7384785B" w14:textId="77777777" w:rsidR="00035316" w:rsidRDefault="00831B25">
            <w:pPr>
              <w:snapToGrid w:val="0"/>
              <w:jc w:val="left"/>
              <w:rPr>
                <w:rFonts w:ascii="宋体"/>
                <w:sz w:val="24"/>
              </w:rPr>
            </w:pPr>
            <w:r>
              <w:rPr>
                <w:rFonts w:ascii="宋体" w:hAnsi="宋体"/>
                <w:sz w:val="24"/>
              </w:rPr>
              <w:t>首个拦截层、兜底层级、资源状态</w:t>
            </w:r>
          </w:p>
        </w:tc>
      </w:tr>
    </w:tbl>
    <w:p w14:paraId="6C15332D" w14:textId="77777777" w:rsidR="00035316" w:rsidRDefault="00831B25">
      <w:pPr>
        <w:spacing w:line="360" w:lineRule="auto"/>
        <w:outlineLvl w:val="1"/>
        <w:rPr>
          <w:rFonts w:ascii="黑体" w:eastAsia="黑体" w:hAnsi="黑体" w:hint="eastAsia"/>
          <w:b/>
          <w:sz w:val="24"/>
        </w:rPr>
      </w:pPr>
      <w:bookmarkStart w:id="46" w:name="Transshield_TOC_section_4_2"/>
      <w:bookmarkStart w:id="47" w:name="_Toc230989555"/>
      <w:r>
        <w:rPr>
          <w:rFonts w:ascii="黑体" w:eastAsia="黑体" w:hAnsi="黑体"/>
          <w:b/>
          <w:sz w:val="24"/>
        </w:rPr>
        <w:t>4.2 基线对比</w:t>
      </w:r>
      <w:bookmarkEnd w:id="46"/>
      <w:bookmarkEnd w:id="47"/>
    </w:p>
    <w:p w14:paraId="04593140" w14:textId="77777777" w:rsidR="00035316" w:rsidRDefault="00831B25">
      <w:pPr>
        <w:spacing w:line="360" w:lineRule="auto"/>
        <w:jc w:val="center"/>
        <w:rPr>
          <w:rFonts w:ascii="黑体" w:eastAsia="黑体" w:hAnsi="黑体" w:hint="eastAsia"/>
          <w:b/>
          <w:sz w:val="24"/>
        </w:rPr>
      </w:pPr>
      <w:r>
        <w:rPr>
          <w:rFonts w:ascii="宋体" w:hAnsi="宋体" w:cs="宋体" w:hint="eastAsia"/>
          <w:sz w:val="24"/>
        </w:rPr>
        <w:t>图4-1</w:t>
      </w:r>
      <w:r>
        <w:rPr>
          <w:rFonts w:ascii="宋体" w:hAnsi="宋体" w:cs="宋体"/>
          <w:sz w:val="24"/>
        </w:rPr>
        <w:t xml:space="preserve"> 不同方案医疗任务性能基线对比</w:t>
      </w:r>
    </w:p>
    <w:p w14:paraId="6CC306F0" w14:textId="77777777" w:rsidR="00035316" w:rsidRDefault="00831B25">
      <w:pPr>
        <w:spacing w:line="360" w:lineRule="auto"/>
        <w:ind w:firstLine="480"/>
        <w:jc w:val="center"/>
        <w:rPr>
          <w:rFonts w:ascii="宋体" w:hAnsi="宋体" w:cs="宋体" w:hint="eastAsia"/>
          <w:sz w:val="24"/>
        </w:rPr>
      </w:pPr>
      <w:r>
        <w:rPr>
          <w:noProof/>
        </w:rPr>
        <w:drawing>
          <wp:inline distT="0" distB="0" distL="114300" distR="114300" wp14:anchorId="78FDF189" wp14:editId="4127FF18">
            <wp:extent cx="4268470" cy="2292350"/>
            <wp:effectExtent l="0" t="0" r="11430" b="635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7"/>
                    <a:srcRect l="3738" t="8601" r="5770" b="3259"/>
                    <a:stretch>
                      <a:fillRect/>
                    </a:stretch>
                  </pic:blipFill>
                  <pic:spPr>
                    <a:xfrm>
                      <a:off x="0" y="0"/>
                      <a:ext cx="4268470" cy="2292350"/>
                    </a:xfrm>
                    <a:prstGeom prst="rect">
                      <a:avLst/>
                    </a:prstGeom>
                    <a:noFill/>
                    <a:ln>
                      <a:noFill/>
                    </a:ln>
                  </pic:spPr>
                </pic:pic>
              </a:graphicData>
            </a:graphic>
          </wp:inline>
        </w:drawing>
      </w:r>
    </w:p>
    <w:p w14:paraId="10EE2937" w14:textId="77777777" w:rsidR="00035316" w:rsidRDefault="00831B25">
      <w:pPr>
        <w:spacing w:line="360" w:lineRule="auto"/>
        <w:ind w:firstLine="480"/>
      </w:pPr>
      <w:r>
        <w:rPr>
          <w:rFonts w:ascii="宋体" w:hAnsi="宋体" w:cs="宋体"/>
          <w:sz w:val="24"/>
        </w:rPr>
        <w:t>本作品与不同基线方案在医疗任务上的性能对比结果如图4-1 所示。从同仓与外部对比结果看，本作品医疗动态安全剪枝链路相较固定结构静态对照线提升 0.7634 个百分点，相较当前仓内可复现的原始 DynamicViT 基线提升 17.3664 个百分点，说明协议友好重写并未使动态路径退化为不可部署状态。另一方面，与同数据集强明文参考 MPCViT（面向多方计算的视觉 Transformer）相比，本作品当前仍存在 4.2366 个百分点的阈值精度差距；与同架构静态上界 DeiT-S（数据高效图像 Transformer 小型模型）相比，差距为 3.2419 个百分点。这些差距说明本作品的价值主要在于“双向隐私 + 动态剪枝安全执行”的系统能力，而不是在明文精度指标上全面超过所有强明文参考。</w:t>
      </w:r>
    </w:p>
    <w:p w14:paraId="1BAFD88F" w14:textId="77777777" w:rsidR="00035316" w:rsidRDefault="00831B25">
      <w:pPr>
        <w:spacing w:line="360" w:lineRule="auto"/>
        <w:ind w:firstLine="480"/>
      </w:pPr>
      <w:r>
        <w:rPr>
          <w:rFonts w:ascii="宋体" w:hAnsi="宋体"/>
          <w:sz w:val="24"/>
        </w:rPr>
        <w:t>需要说明的是，外部对比表中“原始 DynamicViT”一行现统一采用当前仓内与服务器均可复现的原始明文基线口径。此前遗留的“20 epoch / 80.73%”旧值未能在最终交付仓与服务器环境中追溯到配套权重文件，因此本次修订不再继续引用该旧数值。</w:t>
      </w:r>
    </w:p>
    <w:p w14:paraId="4413948E" w14:textId="77777777" w:rsidR="00035316" w:rsidRDefault="00831B25">
      <w:pPr>
        <w:spacing w:line="360" w:lineRule="auto"/>
        <w:outlineLvl w:val="1"/>
        <w:rPr>
          <w:rFonts w:ascii="黑体" w:eastAsia="黑体" w:hAnsi="黑体" w:hint="eastAsia"/>
          <w:b/>
          <w:sz w:val="24"/>
        </w:rPr>
      </w:pPr>
      <w:bookmarkStart w:id="48" w:name="Transshield_TOC_section_4_3"/>
      <w:bookmarkStart w:id="49" w:name="_Toc230989556"/>
      <w:r>
        <w:rPr>
          <w:rFonts w:ascii="黑体" w:eastAsia="黑体" w:hAnsi="黑体"/>
          <w:b/>
          <w:sz w:val="24"/>
        </w:rPr>
        <w:t>4.3 医疗主要交付场景结果</w:t>
      </w:r>
      <w:bookmarkEnd w:id="48"/>
      <w:bookmarkEnd w:id="49"/>
    </w:p>
    <w:p w14:paraId="3E36E4AD" w14:textId="77777777" w:rsidR="00035316" w:rsidRDefault="00831B25">
      <w:pPr>
        <w:spacing w:line="360" w:lineRule="auto"/>
        <w:jc w:val="center"/>
        <w:rPr>
          <w:rFonts w:ascii="黑体" w:eastAsia="黑体" w:hAnsi="黑体" w:hint="eastAsia"/>
          <w:b/>
          <w:sz w:val="24"/>
        </w:rPr>
      </w:pPr>
      <w:r>
        <w:rPr>
          <w:rFonts w:ascii="宋体" w:hAnsi="宋体" w:cs="宋体"/>
          <w:sz w:val="24"/>
        </w:rPr>
        <w:t xml:space="preserve">表 </w:t>
      </w:r>
      <w:r>
        <w:rPr>
          <w:rFonts w:ascii="宋体" w:hAnsi="宋体" w:cs="宋体" w:hint="eastAsia"/>
          <w:sz w:val="24"/>
        </w:rPr>
        <w:t>8</w:t>
      </w:r>
      <w:r>
        <w:rPr>
          <w:rFonts w:ascii="宋体" w:hAnsi="宋体" w:cs="宋体"/>
          <w:sz w:val="24"/>
        </w:rPr>
        <w:t xml:space="preserve"> 医疗主要交付场景核心指标结果</w:t>
      </w:r>
    </w:p>
    <w:tbl>
      <w:tblPr>
        <w:tblW w:w="8820" w:type="dxa"/>
        <w:jc w:val="center"/>
        <w:tblLook w:val="04A0" w:firstRow="1" w:lastRow="0" w:firstColumn="1" w:lastColumn="0" w:noHBand="0" w:noVBand="1"/>
      </w:tblPr>
      <w:tblGrid>
        <w:gridCol w:w="2687"/>
        <w:gridCol w:w="3200"/>
        <w:gridCol w:w="2933"/>
      </w:tblGrid>
      <w:tr w:rsidR="00035316" w14:paraId="5B4C0DFF" w14:textId="77777777">
        <w:trPr>
          <w:tblHeader/>
          <w:jc w:val="center"/>
        </w:trPr>
        <w:tc>
          <w:tcPr>
            <w:tcW w:w="2687" w:type="dxa"/>
            <w:tcBorders>
              <w:top w:val="single" w:sz="12" w:space="0" w:color="auto"/>
              <w:left w:val="nil"/>
              <w:bottom w:val="nil"/>
              <w:right w:val="nil"/>
            </w:tcBorders>
            <w:tcMar>
              <w:top w:w="-1" w:type="dxa"/>
              <w:left w:w="-1" w:type="dxa"/>
              <w:bottom w:w="-1" w:type="dxa"/>
              <w:right w:w="-1" w:type="dxa"/>
            </w:tcMar>
            <w:vAlign w:val="center"/>
          </w:tcPr>
          <w:p w14:paraId="5AEF9990" w14:textId="77777777" w:rsidR="00035316" w:rsidRDefault="00831B25">
            <w:pPr>
              <w:snapToGrid w:val="0"/>
              <w:jc w:val="center"/>
              <w:rPr>
                <w:rFonts w:ascii="宋体"/>
                <w:b/>
                <w:sz w:val="24"/>
              </w:rPr>
            </w:pPr>
            <w:r>
              <w:rPr>
                <w:rFonts w:ascii="宋体" w:hAnsi="宋体"/>
                <w:b/>
                <w:sz w:val="24"/>
              </w:rPr>
              <w:t>指标</w:t>
            </w:r>
          </w:p>
        </w:tc>
        <w:tc>
          <w:tcPr>
            <w:tcW w:w="3200" w:type="dxa"/>
            <w:tcBorders>
              <w:top w:val="single" w:sz="12" w:space="0" w:color="auto"/>
              <w:left w:val="nil"/>
              <w:bottom w:val="nil"/>
              <w:right w:val="nil"/>
            </w:tcBorders>
            <w:tcMar>
              <w:top w:w="-1" w:type="dxa"/>
              <w:left w:w="-1" w:type="dxa"/>
              <w:bottom w:w="-1" w:type="dxa"/>
              <w:right w:w="-1" w:type="dxa"/>
            </w:tcMar>
            <w:vAlign w:val="center"/>
          </w:tcPr>
          <w:p w14:paraId="34E3058D" w14:textId="77777777" w:rsidR="00035316" w:rsidRDefault="00831B25">
            <w:pPr>
              <w:snapToGrid w:val="0"/>
              <w:jc w:val="center"/>
              <w:rPr>
                <w:rFonts w:ascii="宋体"/>
                <w:b/>
                <w:sz w:val="24"/>
              </w:rPr>
            </w:pPr>
            <w:r>
              <w:rPr>
                <w:rFonts w:ascii="宋体" w:hAnsi="宋体"/>
                <w:b/>
                <w:sz w:val="24"/>
              </w:rPr>
              <w:t>结果</w:t>
            </w:r>
          </w:p>
        </w:tc>
        <w:tc>
          <w:tcPr>
            <w:tcW w:w="2933" w:type="dxa"/>
            <w:tcBorders>
              <w:top w:val="single" w:sz="12" w:space="0" w:color="auto"/>
              <w:left w:val="nil"/>
              <w:bottom w:val="nil"/>
              <w:right w:val="nil"/>
            </w:tcBorders>
            <w:tcMar>
              <w:top w:w="-1" w:type="dxa"/>
              <w:left w:w="-1" w:type="dxa"/>
              <w:bottom w:w="-1" w:type="dxa"/>
              <w:right w:w="-1" w:type="dxa"/>
            </w:tcMar>
            <w:vAlign w:val="center"/>
          </w:tcPr>
          <w:p w14:paraId="0458BCB5" w14:textId="77777777" w:rsidR="00035316" w:rsidRDefault="00831B25">
            <w:pPr>
              <w:snapToGrid w:val="0"/>
              <w:jc w:val="center"/>
              <w:rPr>
                <w:rFonts w:ascii="宋体"/>
                <w:b/>
                <w:sz w:val="24"/>
              </w:rPr>
            </w:pPr>
            <w:r>
              <w:rPr>
                <w:rFonts w:ascii="宋体" w:hAnsi="宋体"/>
                <w:b/>
                <w:sz w:val="24"/>
              </w:rPr>
              <w:t>说明</w:t>
            </w:r>
          </w:p>
        </w:tc>
      </w:tr>
      <w:tr w:rsidR="00035316" w14:paraId="62690BFF" w14:textId="77777777">
        <w:trPr>
          <w:jc w:val="center"/>
        </w:trPr>
        <w:tc>
          <w:tcPr>
            <w:tcW w:w="2687" w:type="dxa"/>
            <w:tcBorders>
              <w:top w:val="single" w:sz="4" w:space="0" w:color="auto"/>
              <w:left w:val="nil"/>
              <w:bottom w:val="nil"/>
              <w:right w:val="nil"/>
            </w:tcBorders>
            <w:tcMar>
              <w:top w:w="-1" w:type="dxa"/>
              <w:left w:w="-1" w:type="dxa"/>
              <w:bottom w:w="-1" w:type="dxa"/>
              <w:right w:w="-1" w:type="dxa"/>
            </w:tcMar>
            <w:vAlign w:val="center"/>
          </w:tcPr>
          <w:p w14:paraId="0FC1C9DB" w14:textId="77777777" w:rsidR="00035316" w:rsidRDefault="00831B25">
            <w:pPr>
              <w:snapToGrid w:val="0"/>
              <w:jc w:val="center"/>
              <w:rPr>
                <w:rFonts w:ascii="宋体"/>
                <w:sz w:val="24"/>
              </w:rPr>
            </w:pPr>
            <w:r>
              <w:rPr>
                <w:rFonts w:ascii="宋体" w:hAnsi="宋体"/>
                <w:sz w:val="24"/>
              </w:rPr>
              <w:t>全量验证集 argmax 精度</w:t>
            </w:r>
          </w:p>
        </w:tc>
        <w:tc>
          <w:tcPr>
            <w:tcW w:w="3200" w:type="dxa"/>
            <w:tcBorders>
              <w:top w:val="single" w:sz="4" w:space="0" w:color="auto"/>
              <w:left w:val="nil"/>
              <w:bottom w:val="nil"/>
              <w:right w:val="nil"/>
            </w:tcBorders>
            <w:tcMar>
              <w:top w:w="-1" w:type="dxa"/>
              <w:left w:w="-1" w:type="dxa"/>
              <w:bottom w:w="-1" w:type="dxa"/>
              <w:right w:w="-1" w:type="dxa"/>
            </w:tcMar>
            <w:vAlign w:val="center"/>
          </w:tcPr>
          <w:p w14:paraId="18697E59" w14:textId="77777777" w:rsidR="00035316" w:rsidRDefault="00831B25">
            <w:pPr>
              <w:snapToGrid w:val="0"/>
              <w:jc w:val="center"/>
              <w:rPr>
                <w:rFonts w:ascii="宋体"/>
                <w:sz w:val="24"/>
              </w:rPr>
            </w:pPr>
            <w:r>
              <w:rPr>
                <w:rFonts w:ascii="宋体" w:hAnsi="宋体"/>
                <w:sz w:val="24"/>
              </w:rPr>
              <w:t>74.2366%</w:t>
            </w:r>
          </w:p>
        </w:tc>
        <w:tc>
          <w:tcPr>
            <w:tcW w:w="2933" w:type="dxa"/>
            <w:tcBorders>
              <w:top w:val="single" w:sz="4" w:space="0" w:color="auto"/>
              <w:left w:val="nil"/>
              <w:bottom w:val="nil"/>
              <w:right w:val="nil"/>
            </w:tcBorders>
            <w:tcMar>
              <w:top w:w="-1" w:type="dxa"/>
              <w:left w:w="-1" w:type="dxa"/>
              <w:bottom w:w="-1" w:type="dxa"/>
              <w:right w:w="-1" w:type="dxa"/>
            </w:tcMar>
            <w:vAlign w:val="center"/>
          </w:tcPr>
          <w:p w14:paraId="2220E11E" w14:textId="77777777" w:rsidR="00035316" w:rsidRDefault="00831B25">
            <w:pPr>
              <w:snapToGrid w:val="0"/>
              <w:jc w:val="center"/>
              <w:rPr>
                <w:rFonts w:ascii="宋体"/>
                <w:sz w:val="24"/>
              </w:rPr>
            </w:pPr>
            <w:r>
              <w:rPr>
                <w:rFonts w:ascii="宋体" w:hAnsi="宋体"/>
                <w:sz w:val="24"/>
              </w:rPr>
              <w:t>反映动态路径在默认决策边界下的直接分类结果</w:t>
            </w:r>
          </w:p>
        </w:tc>
      </w:tr>
      <w:tr w:rsidR="00035316" w14:paraId="30539AE7"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72FE1624" w14:textId="77777777" w:rsidR="00035316" w:rsidRDefault="00831B25">
            <w:pPr>
              <w:snapToGrid w:val="0"/>
              <w:jc w:val="center"/>
              <w:rPr>
                <w:rFonts w:ascii="宋体"/>
                <w:sz w:val="24"/>
              </w:rPr>
            </w:pPr>
            <w:r>
              <w:rPr>
                <w:rFonts w:ascii="宋体" w:hAnsi="宋体"/>
                <w:sz w:val="24"/>
              </w:rPr>
              <w:t>全量验证集阈值精度</w:t>
            </w:r>
          </w:p>
        </w:tc>
        <w:tc>
          <w:tcPr>
            <w:tcW w:w="3200" w:type="dxa"/>
            <w:tcBorders>
              <w:top w:val="nil"/>
              <w:left w:val="nil"/>
              <w:bottom w:val="nil"/>
              <w:right w:val="nil"/>
            </w:tcBorders>
            <w:tcMar>
              <w:top w:w="-1" w:type="dxa"/>
              <w:left w:w="-1" w:type="dxa"/>
              <w:bottom w:w="-1" w:type="dxa"/>
              <w:right w:w="-1" w:type="dxa"/>
            </w:tcMar>
            <w:vAlign w:val="center"/>
          </w:tcPr>
          <w:p w14:paraId="18A4617C" w14:textId="77777777" w:rsidR="00035316" w:rsidRDefault="00831B25">
            <w:pPr>
              <w:snapToGrid w:val="0"/>
              <w:jc w:val="center"/>
              <w:rPr>
                <w:rFonts w:ascii="宋体"/>
                <w:sz w:val="24"/>
              </w:rPr>
            </w:pPr>
            <w:r>
              <w:rPr>
                <w:rFonts w:ascii="宋体" w:hAnsi="宋体"/>
                <w:sz w:val="24"/>
              </w:rPr>
              <w:t>92.7481%</w:t>
            </w:r>
          </w:p>
        </w:tc>
        <w:tc>
          <w:tcPr>
            <w:tcW w:w="2933" w:type="dxa"/>
            <w:tcBorders>
              <w:top w:val="nil"/>
              <w:left w:val="nil"/>
              <w:bottom w:val="nil"/>
              <w:right w:val="nil"/>
            </w:tcBorders>
            <w:tcMar>
              <w:top w:w="-1" w:type="dxa"/>
              <w:left w:w="-1" w:type="dxa"/>
              <w:bottom w:w="-1" w:type="dxa"/>
              <w:right w:w="-1" w:type="dxa"/>
            </w:tcMar>
            <w:vAlign w:val="center"/>
          </w:tcPr>
          <w:p w14:paraId="753C9601" w14:textId="77777777" w:rsidR="00035316" w:rsidRDefault="00831B25">
            <w:pPr>
              <w:snapToGrid w:val="0"/>
              <w:jc w:val="center"/>
              <w:rPr>
                <w:rFonts w:ascii="宋体"/>
                <w:sz w:val="24"/>
              </w:rPr>
            </w:pPr>
            <w:r>
              <w:rPr>
                <w:rFonts w:ascii="宋体" w:hAnsi="宋体"/>
                <w:sz w:val="24"/>
              </w:rPr>
              <w:t>基于 524 张验证样本完成统一阈值搜索后的正式指标</w:t>
            </w:r>
          </w:p>
        </w:tc>
      </w:tr>
      <w:tr w:rsidR="00035316" w14:paraId="5E0019E1"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126A512F" w14:textId="77777777" w:rsidR="00035316" w:rsidRDefault="00831B25">
            <w:pPr>
              <w:snapToGrid w:val="0"/>
              <w:jc w:val="center"/>
              <w:rPr>
                <w:rFonts w:ascii="宋体"/>
                <w:sz w:val="24"/>
              </w:rPr>
            </w:pPr>
            <w:r>
              <w:rPr>
                <w:rFonts w:ascii="宋体" w:hAnsi="宋体"/>
                <w:sz w:val="24"/>
              </w:rPr>
              <w:t>全量验证集 AUC</w:t>
            </w:r>
          </w:p>
        </w:tc>
        <w:tc>
          <w:tcPr>
            <w:tcW w:w="3200" w:type="dxa"/>
            <w:tcBorders>
              <w:top w:val="nil"/>
              <w:left w:val="nil"/>
              <w:bottom w:val="nil"/>
              <w:right w:val="nil"/>
            </w:tcBorders>
            <w:tcMar>
              <w:top w:w="-1" w:type="dxa"/>
              <w:left w:w="-1" w:type="dxa"/>
              <w:bottom w:w="-1" w:type="dxa"/>
              <w:right w:w="-1" w:type="dxa"/>
            </w:tcMar>
            <w:vAlign w:val="center"/>
          </w:tcPr>
          <w:p w14:paraId="13B93392" w14:textId="77777777" w:rsidR="00035316" w:rsidRDefault="00831B25">
            <w:pPr>
              <w:snapToGrid w:val="0"/>
              <w:jc w:val="center"/>
              <w:rPr>
                <w:rFonts w:ascii="宋体"/>
                <w:sz w:val="24"/>
              </w:rPr>
            </w:pPr>
            <w:r>
              <w:rPr>
                <w:rFonts w:ascii="宋体" w:hAnsi="宋体"/>
                <w:sz w:val="24"/>
              </w:rPr>
              <w:t>0.9639</w:t>
            </w:r>
          </w:p>
        </w:tc>
        <w:tc>
          <w:tcPr>
            <w:tcW w:w="2933" w:type="dxa"/>
            <w:tcBorders>
              <w:top w:val="nil"/>
              <w:left w:val="nil"/>
              <w:bottom w:val="nil"/>
              <w:right w:val="nil"/>
            </w:tcBorders>
            <w:tcMar>
              <w:top w:w="-1" w:type="dxa"/>
              <w:left w:w="-1" w:type="dxa"/>
              <w:bottom w:w="-1" w:type="dxa"/>
              <w:right w:w="-1" w:type="dxa"/>
            </w:tcMar>
            <w:vAlign w:val="center"/>
          </w:tcPr>
          <w:p w14:paraId="42FC240F" w14:textId="77777777" w:rsidR="00035316" w:rsidRDefault="00831B25">
            <w:pPr>
              <w:snapToGrid w:val="0"/>
              <w:jc w:val="center"/>
              <w:rPr>
                <w:rFonts w:ascii="宋体"/>
                <w:sz w:val="24"/>
              </w:rPr>
            </w:pPr>
            <w:r>
              <w:rPr>
                <w:rFonts w:ascii="宋体" w:hAnsi="宋体"/>
                <w:sz w:val="24"/>
              </w:rPr>
              <w:t>2026 年 5 月 20 日服务器按同口径重跑补齐</w:t>
            </w:r>
          </w:p>
        </w:tc>
      </w:tr>
      <w:tr w:rsidR="00035316" w14:paraId="7A38299D"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44EDC30D" w14:textId="77777777" w:rsidR="00035316" w:rsidRDefault="00831B25">
            <w:pPr>
              <w:snapToGrid w:val="0"/>
              <w:jc w:val="center"/>
              <w:rPr>
                <w:rFonts w:ascii="宋体"/>
                <w:sz w:val="24"/>
              </w:rPr>
            </w:pPr>
            <w:r>
              <w:rPr>
                <w:rFonts w:ascii="宋体" w:hAnsi="宋体"/>
                <w:sz w:val="24"/>
              </w:rPr>
              <w:t>部署阈值</w:t>
            </w:r>
          </w:p>
        </w:tc>
        <w:tc>
          <w:tcPr>
            <w:tcW w:w="3200" w:type="dxa"/>
            <w:tcBorders>
              <w:top w:val="nil"/>
              <w:left w:val="nil"/>
              <w:bottom w:val="nil"/>
              <w:right w:val="nil"/>
            </w:tcBorders>
            <w:tcMar>
              <w:top w:w="-1" w:type="dxa"/>
              <w:left w:w="-1" w:type="dxa"/>
              <w:bottom w:w="-1" w:type="dxa"/>
              <w:right w:w="-1" w:type="dxa"/>
            </w:tcMar>
            <w:vAlign w:val="center"/>
          </w:tcPr>
          <w:p w14:paraId="70609C4A" w14:textId="77777777" w:rsidR="00035316" w:rsidRDefault="00831B25">
            <w:pPr>
              <w:snapToGrid w:val="0"/>
              <w:jc w:val="center"/>
              <w:rPr>
                <w:rFonts w:ascii="宋体"/>
                <w:sz w:val="24"/>
              </w:rPr>
            </w:pPr>
            <w:r>
              <w:rPr>
                <w:rFonts w:ascii="宋体" w:hAnsi="宋体"/>
                <w:sz w:val="24"/>
              </w:rPr>
              <w:t>0.6619606018</w:t>
            </w:r>
          </w:p>
        </w:tc>
        <w:tc>
          <w:tcPr>
            <w:tcW w:w="2933" w:type="dxa"/>
            <w:tcBorders>
              <w:top w:val="nil"/>
              <w:left w:val="nil"/>
              <w:bottom w:val="nil"/>
              <w:right w:val="nil"/>
            </w:tcBorders>
            <w:tcMar>
              <w:top w:w="-1" w:type="dxa"/>
              <w:left w:w="-1" w:type="dxa"/>
              <w:bottom w:w="-1" w:type="dxa"/>
              <w:right w:w="-1" w:type="dxa"/>
            </w:tcMar>
            <w:vAlign w:val="center"/>
          </w:tcPr>
          <w:p w14:paraId="4558C987" w14:textId="77777777" w:rsidR="00035316" w:rsidRDefault="00831B25">
            <w:pPr>
              <w:snapToGrid w:val="0"/>
              <w:jc w:val="center"/>
              <w:rPr>
                <w:rFonts w:ascii="宋体"/>
                <w:sz w:val="24"/>
              </w:rPr>
            </w:pPr>
            <w:r>
              <w:rPr>
                <w:rFonts w:ascii="宋体" w:hAnsi="宋体"/>
                <w:sz w:val="24"/>
              </w:rPr>
              <w:t>动态路径单独校准后的正式部署阈值</w:t>
            </w:r>
          </w:p>
        </w:tc>
      </w:tr>
      <w:tr w:rsidR="00035316" w14:paraId="47BC09B2"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57A1699D" w14:textId="77777777" w:rsidR="00035316" w:rsidRDefault="00831B25">
            <w:pPr>
              <w:snapToGrid w:val="0"/>
              <w:jc w:val="center"/>
              <w:rPr>
                <w:rFonts w:ascii="宋体"/>
                <w:b/>
                <w:sz w:val="24"/>
              </w:rPr>
            </w:pPr>
            <w:r>
              <w:rPr>
                <w:rFonts w:ascii="宋体" w:hAnsi="宋体"/>
                <w:b/>
                <w:sz w:val="24"/>
              </w:rPr>
              <w:t>32 条样本验证批次平均时延</w:t>
            </w:r>
          </w:p>
        </w:tc>
        <w:tc>
          <w:tcPr>
            <w:tcW w:w="3200" w:type="dxa"/>
            <w:tcBorders>
              <w:top w:val="nil"/>
              <w:left w:val="nil"/>
              <w:bottom w:val="nil"/>
              <w:right w:val="nil"/>
            </w:tcBorders>
            <w:tcMar>
              <w:top w:w="-1" w:type="dxa"/>
              <w:left w:w="-1" w:type="dxa"/>
              <w:bottom w:w="-1" w:type="dxa"/>
              <w:right w:w="-1" w:type="dxa"/>
            </w:tcMar>
            <w:vAlign w:val="center"/>
          </w:tcPr>
          <w:p w14:paraId="665D965B" w14:textId="77777777" w:rsidR="00035316" w:rsidRDefault="00831B25">
            <w:pPr>
              <w:snapToGrid w:val="0"/>
              <w:jc w:val="center"/>
              <w:rPr>
                <w:rFonts w:ascii="宋体"/>
                <w:b/>
                <w:sz w:val="24"/>
              </w:rPr>
            </w:pPr>
            <w:r>
              <w:rPr>
                <w:rFonts w:ascii="宋体" w:hAnsi="宋体"/>
                <w:b/>
                <w:sz w:val="24"/>
              </w:rPr>
              <w:t>89.06 秒/样本</w:t>
            </w:r>
          </w:p>
        </w:tc>
        <w:tc>
          <w:tcPr>
            <w:tcW w:w="2933" w:type="dxa"/>
            <w:tcBorders>
              <w:top w:val="nil"/>
              <w:left w:val="nil"/>
              <w:bottom w:val="nil"/>
              <w:right w:val="nil"/>
            </w:tcBorders>
            <w:tcMar>
              <w:top w:w="-1" w:type="dxa"/>
              <w:left w:w="-1" w:type="dxa"/>
              <w:bottom w:w="-1" w:type="dxa"/>
              <w:right w:w="-1" w:type="dxa"/>
            </w:tcMar>
            <w:vAlign w:val="center"/>
          </w:tcPr>
          <w:p w14:paraId="2F5E1799" w14:textId="77777777" w:rsidR="00035316" w:rsidRDefault="00831B25">
            <w:pPr>
              <w:snapToGrid w:val="0"/>
              <w:jc w:val="center"/>
              <w:rPr>
                <w:rFonts w:ascii="宋体"/>
                <w:b/>
                <w:sz w:val="24"/>
              </w:rPr>
            </w:pPr>
            <w:r>
              <w:rPr>
                <w:rFonts w:ascii="宋体" w:hAnsi="宋体"/>
                <w:b/>
                <w:sz w:val="24"/>
              </w:rPr>
              <w:t>当前主要交付场景的端到端双向隐私原型口径</w:t>
            </w:r>
          </w:p>
        </w:tc>
      </w:tr>
      <w:tr w:rsidR="00035316" w14:paraId="7AF03D19" w14:textId="77777777">
        <w:trPr>
          <w:jc w:val="center"/>
        </w:trPr>
        <w:tc>
          <w:tcPr>
            <w:tcW w:w="2687" w:type="dxa"/>
            <w:tcBorders>
              <w:top w:val="nil"/>
              <w:left w:val="nil"/>
              <w:bottom w:val="nil"/>
              <w:right w:val="nil"/>
            </w:tcBorders>
            <w:tcMar>
              <w:top w:w="-1" w:type="dxa"/>
              <w:left w:w="-1" w:type="dxa"/>
              <w:bottom w:w="-1" w:type="dxa"/>
              <w:right w:w="-1" w:type="dxa"/>
            </w:tcMar>
            <w:vAlign w:val="center"/>
          </w:tcPr>
          <w:p w14:paraId="13CCC596" w14:textId="77777777" w:rsidR="00035316" w:rsidRDefault="00831B25">
            <w:pPr>
              <w:snapToGrid w:val="0"/>
              <w:jc w:val="center"/>
              <w:rPr>
                <w:rFonts w:ascii="宋体"/>
                <w:sz w:val="24"/>
              </w:rPr>
            </w:pPr>
            <w:r>
              <w:rPr>
                <w:rFonts w:ascii="宋体" w:hAnsi="宋体"/>
                <w:sz w:val="24"/>
              </w:rPr>
              <w:t>32 条样本验证批次双向通信量</w:t>
            </w:r>
          </w:p>
        </w:tc>
        <w:tc>
          <w:tcPr>
            <w:tcW w:w="3200" w:type="dxa"/>
            <w:tcBorders>
              <w:top w:val="nil"/>
              <w:left w:val="nil"/>
              <w:bottom w:val="nil"/>
              <w:right w:val="nil"/>
            </w:tcBorders>
            <w:tcMar>
              <w:top w:w="-1" w:type="dxa"/>
              <w:left w:w="-1" w:type="dxa"/>
              <w:bottom w:w="-1" w:type="dxa"/>
              <w:right w:w="-1" w:type="dxa"/>
            </w:tcMar>
            <w:vAlign w:val="center"/>
          </w:tcPr>
          <w:p w14:paraId="31C4CFC1" w14:textId="77777777" w:rsidR="00035316" w:rsidRDefault="00831B25">
            <w:pPr>
              <w:snapToGrid w:val="0"/>
              <w:jc w:val="center"/>
              <w:rPr>
                <w:rFonts w:ascii="宋体"/>
                <w:sz w:val="24"/>
              </w:rPr>
            </w:pPr>
            <w:r>
              <w:rPr>
                <w:rFonts w:ascii="宋体" w:hAnsi="宋体"/>
                <w:sz w:val="24"/>
              </w:rPr>
              <w:t>84.47 GiB</w:t>
            </w:r>
          </w:p>
        </w:tc>
        <w:tc>
          <w:tcPr>
            <w:tcW w:w="2933" w:type="dxa"/>
            <w:tcBorders>
              <w:top w:val="nil"/>
              <w:left w:val="nil"/>
              <w:bottom w:val="nil"/>
              <w:right w:val="nil"/>
            </w:tcBorders>
            <w:tcMar>
              <w:top w:w="-1" w:type="dxa"/>
              <w:left w:w="-1" w:type="dxa"/>
              <w:bottom w:w="-1" w:type="dxa"/>
              <w:right w:w="-1" w:type="dxa"/>
            </w:tcMar>
            <w:vAlign w:val="center"/>
          </w:tcPr>
          <w:p w14:paraId="6662E4CB" w14:textId="77777777" w:rsidR="00035316" w:rsidRDefault="00831B25">
            <w:pPr>
              <w:snapToGrid w:val="0"/>
              <w:jc w:val="center"/>
              <w:rPr>
                <w:rFonts w:ascii="宋体"/>
                <w:sz w:val="24"/>
              </w:rPr>
            </w:pPr>
            <w:r>
              <w:rPr>
                <w:rFonts w:ascii="宋体" w:hAnsi="宋体"/>
                <w:sz w:val="24"/>
              </w:rPr>
              <w:t>来自同配置重测记录的双向通信总量</w:t>
            </w:r>
          </w:p>
        </w:tc>
      </w:tr>
      <w:tr w:rsidR="00035316" w14:paraId="6C3630EE" w14:textId="77777777">
        <w:trPr>
          <w:jc w:val="center"/>
        </w:trPr>
        <w:tc>
          <w:tcPr>
            <w:tcW w:w="2687" w:type="dxa"/>
            <w:tcBorders>
              <w:top w:val="nil"/>
              <w:left w:val="nil"/>
              <w:bottom w:val="single" w:sz="12" w:space="0" w:color="auto"/>
              <w:right w:val="nil"/>
            </w:tcBorders>
            <w:tcMar>
              <w:top w:w="-1" w:type="dxa"/>
              <w:left w:w="-1" w:type="dxa"/>
              <w:bottom w:w="-1" w:type="dxa"/>
              <w:right w:w="-1" w:type="dxa"/>
            </w:tcMar>
            <w:vAlign w:val="center"/>
          </w:tcPr>
          <w:p w14:paraId="6D64E3DC" w14:textId="77777777" w:rsidR="00035316" w:rsidRDefault="00831B25">
            <w:pPr>
              <w:snapToGrid w:val="0"/>
              <w:jc w:val="center"/>
              <w:rPr>
                <w:rFonts w:ascii="宋体"/>
                <w:sz w:val="24"/>
              </w:rPr>
            </w:pPr>
            <w:r>
              <w:rPr>
                <w:rFonts w:ascii="宋体" w:hAnsi="宋体"/>
                <w:sz w:val="24"/>
              </w:rPr>
              <w:t>隐私边界</w:t>
            </w:r>
          </w:p>
        </w:tc>
        <w:tc>
          <w:tcPr>
            <w:tcW w:w="3200" w:type="dxa"/>
            <w:tcBorders>
              <w:top w:val="nil"/>
              <w:left w:val="nil"/>
              <w:bottom w:val="single" w:sz="12" w:space="0" w:color="auto"/>
              <w:right w:val="nil"/>
            </w:tcBorders>
            <w:tcMar>
              <w:top w:w="-1" w:type="dxa"/>
              <w:left w:w="-1" w:type="dxa"/>
              <w:bottom w:w="-1" w:type="dxa"/>
              <w:right w:w="-1" w:type="dxa"/>
            </w:tcMar>
            <w:vAlign w:val="center"/>
          </w:tcPr>
          <w:p w14:paraId="528671D2" w14:textId="77777777" w:rsidR="00035316" w:rsidRDefault="00831B25">
            <w:pPr>
              <w:snapToGrid w:val="0"/>
              <w:jc w:val="center"/>
              <w:rPr>
                <w:rFonts w:ascii="宋体"/>
                <w:sz w:val="24"/>
              </w:rPr>
            </w:pPr>
            <w:r>
              <w:rPr>
                <w:rFonts w:ascii="宋体" w:hAnsi="宋体"/>
                <w:sz w:val="24"/>
              </w:rPr>
              <w:t>服务端不接收明文像素值，模型参数不以明文暴露</w:t>
            </w:r>
          </w:p>
        </w:tc>
        <w:tc>
          <w:tcPr>
            <w:tcW w:w="2933" w:type="dxa"/>
            <w:tcBorders>
              <w:top w:val="nil"/>
              <w:left w:val="nil"/>
              <w:bottom w:val="single" w:sz="12" w:space="0" w:color="auto"/>
              <w:right w:val="nil"/>
            </w:tcBorders>
            <w:tcMar>
              <w:top w:w="-1" w:type="dxa"/>
              <w:left w:w="-1" w:type="dxa"/>
              <w:bottom w:w="-1" w:type="dxa"/>
              <w:right w:w="-1" w:type="dxa"/>
            </w:tcMar>
            <w:vAlign w:val="center"/>
          </w:tcPr>
          <w:p w14:paraId="0AC96BB8" w14:textId="77777777" w:rsidR="00035316" w:rsidRDefault="00831B25">
            <w:pPr>
              <w:snapToGrid w:val="0"/>
              <w:jc w:val="center"/>
              <w:rPr>
                <w:rFonts w:ascii="宋体"/>
                <w:sz w:val="24"/>
              </w:rPr>
            </w:pPr>
            <w:r>
              <w:rPr>
                <w:rFonts w:ascii="宋体" w:hAnsi="宋体"/>
                <w:sz w:val="24"/>
              </w:rPr>
              <w:t>对外仅返回最终分类结果</w:t>
            </w:r>
          </w:p>
        </w:tc>
      </w:tr>
    </w:tbl>
    <w:p w14:paraId="7600186A" w14:textId="77777777" w:rsidR="00035316" w:rsidRDefault="00831B25">
      <w:pPr>
        <w:spacing w:line="360" w:lineRule="auto"/>
        <w:ind w:firstLine="480"/>
      </w:pPr>
      <w:r>
        <w:rPr>
          <w:rFonts w:ascii="宋体" w:hAnsi="宋体" w:cs="宋体"/>
          <w:sz w:val="24"/>
        </w:rPr>
        <w:t xml:space="preserve">医疗主要交付场景下的核心精度、性能与隐私边界指标如表 </w:t>
      </w:r>
      <w:r>
        <w:rPr>
          <w:rFonts w:ascii="宋体" w:hAnsi="宋体" w:cs="宋体" w:hint="eastAsia"/>
          <w:sz w:val="24"/>
        </w:rPr>
        <w:t>8</w:t>
      </w:r>
      <w:r>
        <w:rPr>
          <w:rFonts w:ascii="宋体" w:hAnsi="宋体" w:cs="宋体"/>
          <w:sz w:val="24"/>
        </w:rPr>
        <w:t xml:space="preserve"> 所示。</w:t>
      </w:r>
      <w:r>
        <w:rPr>
          <w:rFonts w:ascii="宋体" w:hAnsi="宋体"/>
          <w:sz w:val="24"/>
        </w:rPr>
        <w:t>图 4-</w:t>
      </w:r>
      <w:r>
        <w:rPr>
          <w:rFonts w:ascii="宋体" w:hAnsi="宋体" w:hint="eastAsia"/>
          <w:sz w:val="24"/>
        </w:rPr>
        <w:t>2</w:t>
      </w:r>
      <w:r>
        <w:rPr>
          <w:rFonts w:ascii="宋体" w:hAnsi="宋体"/>
          <w:sz w:val="24"/>
        </w:rPr>
        <w:t xml:space="preserve"> 对比了医疗动态安全剪枝路径与 DenseNet121 明文卷积基线的概率分布及阈值位置。结合 argmax 精度与阈值精度可以看出，当前动态路径的主要问题并非样本排序能力完全丧失，而是部署边界相对固定结构参考发生了系统性偏移。因此，针对动态路径单独校准部署阈值，是当前交付方案中的必要步骤。</w:t>
      </w:r>
    </w:p>
    <w:p w14:paraId="7CB58162" w14:textId="77777777" w:rsidR="00407270" w:rsidRDefault="009543CE">
      <w:pPr>
        <w:spacing w:line="360" w:lineRule="auto"/>
        <w:ind w:firstLine="480"/>
        <w:rPr>
          <w:rFonts w:ascii="宋体" w:hAnsi="宋体" w:hint="eastAsia"/>
          <w:sz w:val="24"/>
        </w:rPr>
      </w:pPr>
      <w:r>
        <w:rPr>
          <w:rFonts w:ascii="宋体" w:hAnsi="宋体"/>
        </w:rPr>
        <w:t>从部署含义看，阈值校准并不是对结果进行事后修饰，而是把动态路径保留下来的排序能力转化为最终判决边界的必要步骤。当前结果说明，医疗动态安全剪枝链路在 AUC 维度仍维持较强样本区分能力，但未校准 argmax 决策与最终阈值判决并不完全等价；如果直接沿用固定结构参考模型的边界或未校准输出，就可能把“排序能力尚在”误判为“部署边界失效”。因此，报告在部署口径下采用阈值精度作为主指标，是为了更准确反映系统真正可交付的决策效果。</w:t>
      </w:r>
    </w:p>
    <w:p w14:paraId="5A317593" w14:textId="77777777" w:rsidR="00B52F25" w:rsidRDefault="00FF347E">
      <w:pPr>
        <w:spacing w:line="360" w:lineRule="auto"/>
        <w:ind w:firstLine="480"/>
        <w:rPr>
          <w:rFonts w:ascii="宋体" w:hAnsi="宋体" w:hint="eastAsia"/>
          <w:sz w:val="24"/>
        </w:rPr>
      </w:pPr>
      <w:r>
        <w:rPr>
          <w:rFonts w:ascii="宋体" w:hAnsi="宋体"/>
        </w:rPr>
        <w:t>因此，医疗主交付场景中的结果解释应分成“排序能力是否仍在”和“最终部署边界是否已经稳定”两个层次来读。AUC 较高说明动态路径在样本区分上仍保留了主要判别信息，阈值精度则进一步说明经过单独校准后，这种排序能力已经能够映射为可交付的最终决策效果。把这两个层次拆开描述，有助于避免将未校准输出与最终部署判决混为一谈。</w:t>
      </w:r>
    </w:p>
    <w:p w14:paraId="367874AD" w14:textId="77777777" w:rsidR="00035316" w:rsidRDefault="00831B25">
      <w:pPr>
        <w:spacing w:line="360" w:lineRule="auto"/>
        <w:jc w:val="center"/>
      </w:pPr>
      <w:r>
        <w:rPr>
          <w:noProof/>
        </w:rPr>
        <w:drawing>
          <wp:inline distT="0" distB="0" distL="114300" distR="114300" wp14:anchorId="36720BF8" wp14:editId="5041F12D">
            <wp:extent cx="5760720" cy="3096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8"/>
                    <a:stretch>
                      <a:fillRect/>
                    </a:stretch>
                  </pic:blipFill>
                  <pic:spPr>
                    <a:xfrm>
                      <a:off x="0" y="0"/>
                      <a:ext cx="5760720" cy="3096387"/>
                    </a:xfrm>
                    <a:prstGeom prst="rect">
                      <a:avLst/>
                    </a:prstGeom>
                  </pic:spPr>
                </pic:pic>
              </a:graphicData>
            </a:graphic>
          </wp:inline>
        </w:drawing>
      </w:r>
    </w:p>
    <w:p w14:paraId="4620D662" w14:textId="77777777" w:rsidR="00035316" w:rsidRDefault="00831B25">
      <w:pPr>
        <w:spacing w:line="288" w:lineRule="auto"/>
        <w:jc w:val="center"/>
      </w:pPr>
      <w:r>
        <w:rPr>
          <w:rFonts w:ascii="宋体" w:hAnsi="宋体"/>
          <w:sz w:val="20"/>
        </w:rPr>
        <w:t>图4-</w:t>
      </w:r>
      <w:r>
        <w:rPr>
          <w:rFonts w:ascii="宋体" w:hAnsi="宋体" w:hint="eastAsia"/>
          <w:sz w:val="20"/>
        </w:rPr>
        <w:t>2</w:t>
      </w:r>
      <w:r>
        <w:rPr>
          <w:rFonts w:ascii="宋体" w:hAnsi="宋体"/>
          <w:sz w:val="20"/>
        </w:rPr>
        <w:t xml:space="preserve"> 医疗动态安全剪枝路径与 DenseNet121 明文基线的概率分布与阈值偏移对比。</w:t>
      </w:r>
    </w:p>
    <w:p w14:paraId="74CD36A7" w14:textId="77777777" w:rsidR="00035316" w:rsidRDefault="00831B25">
      <w:pPr>
        <w:spacing w:line="360" w:lineRule="auto"/>
        <w:ind w:firstLine="480"/>
      </w:pPr>
      <w:r>
        <w:rPr>
          <w:rFonts w:ascii="宋体" w:hAnsi="宋体"/>
          <w:sz w:val="24"/>
        </w:rPr>
        <w:t>同口径服务器复核表明，医疗动态安全剪枝链路在 full-val CPU runtime-pruning reference 口径下的 AUC 为 0.9639。这说明当前动态路径并未失去样本排序能力，影响部署效果的关键问题仍然是决策边界相对固定结构参考发生系统性偏移，因此动态路径单独阈值校准仍是正式部署中的必要步骤。</w:t>
      </w:r>
    </w:p>
    <w:p w14:paraId="7FB6A8B0" w14:textId="77777777" w:rsidR="00035316" w:rsidRDefault="00831B25">
      <w:pPr>
        <w:spacing w:line="360" w:lineRule="auto"/>
        <w:outlineLvl w:val="1"/>
        <w:rPr>
          <w:rFonts w:ascii="黑体" w:eastAsia="黑体" w:hAnsi="黑体" w:hint="eastAsia"/>
          <w:b/>
          <w:sz w:val="24"/>
        </w:rPr>
      </w:pPr>
      <w:bookmarkStart w:id="50" w:name="Transshield_TOC_section_4_4"/>
      <w:bookmarkStart w:id="51" w:name="_Toc230989557"/>
      <w:r>
        <w:rPr>
          <w:rFonts w:ascii="黑体" w:eastAsia="黑体" w:hAnsi="黑体"/>
          <w:b/>
          <w:sz w:val="24"/>
        </w:rPr>
        <w:t>4.4 性能与通信量分析</w:t>
      </w:r>
      <w:bookmarkEnd w:id="50"/>
      <w:bookmarkEnd w:id="51"/>
    </w:p>
    <w:p w14:paraId="1D726A3E" w14:textId="77777777" w:rsidR="00035316" w:rsidRDefault="00831B25">
      <w:pPr>
        <w:spacing w:line="360" w:lineRule="auto"/>
        <w:ind w:firstLineChars="200" w:firstLine="480"/>
        <w:rPr>
          <w:rFonts w:ascii="宋体" w:hAnsi="宋体" w:cs="宋体" w:hint="eastAsia"/>
          <w:sz w:val="24"/>
        </w:rPr>
      </w:pPr>
      <w:r>
        <w:rPr>
          <w:rFonts w:ascii="宋体" w:hAnsi="宋体" w:cs="宋体"/>
          <w:sz w:val="24"/>
        </w:rPr>
        <w:t>医疗交付场景与金融边界压力验证场景的端到端性能与通信量统计结果</w:t>
      </w:r>
      <w:r>
        <w:rPr>
          <w:rFonts w:ascii="宋体" w:hAnsi="宋体" w:cs="宋体" w:hint="eastAsia"/>
          <w:sz w:val="24"/>
        </w:rPr>
        <w:t>如图4-3</w:t>
      </w:r>
      <w:r>
        <w:rPr>
          <w:rFonts w:ascii="宋体" w:hAnsi="宋体" w:cs="宋体"/>
          <w:sz w:val="24"/>
        </w:rPr>
        <w:t>所示。</w:t>
      </w:r>
    </w:p>
    <w:p w14:paraId="49627B34" w14:textId="77777777" w:rsidR="00035316" w:rsidRDefault="00831B25">
      <w:pPr>
        <w:spacing w:line="360" w:lineRule="auto"/>
        <w:jc w:val="center"/>
        <w:rPr>
          <w:rFonts w:ascii="黑体" w:eastAsia="黑体" w:hAnsi="黑体" w:hint="eastAsia"/>
          <w:b/>
          <w:sz w:val="24"/>
        </w:rPr>
      </w:pPr>
      <w:r>
        <w:rPr>
          <w:rFonts w:ascii="宋体" w:hAnsi="宋体" w:cs="宋体" w:hint="eastAsia"/>
          <w:sz w:val="24"/>
        </w:rPr>
        <w:t>图4-3</w:t>
      </w:r>
      <w:r>
        <w:rPr>
          <w:rFonts w:ascii="宋体" w:hAnsi="宋体" w:cs="宋体"/>
          <w:sz w:val="24"/>
        </w:rPr>
        <w:t xml:space="preserve"> 不同场景端到端性能与通信量统计</w:t>
      </w:r>
    </w:p>
    <w:p w14:paraId="621D59F2" w14:textId="35C7705A" w:rsidR="00035316" w:rsidRDefault="00831B25">
      <w:pPr>
        <w:spacing w:line="360" w:lineRule="auto"/>
        <w:jc w:val="left"/>
        <w:rPr>
          <w:rFonts w:ascii="宋体" w:hAnsi="宋体" w:cs="宋体" w:hint="eastAsia"/>
          <w:sz w:val="24"/>
        </w:rPr>
      </w:pPr>
      <w:r>
        <w:rPr>
          <w:noProof/>
        </w:rPr>
        <w:drawing>
          <wp:inline distT="0" distB="0" distL="114300" distR="114300" wp14:anchorId="0CCE1B26" wp14:editId="59F44570">
            <wp:extent cx="5591175" cy="2767965"/>
            <wp:effectExtent l="0" t="0" r="9525" b="63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9"/>
                    <a:stretch>
                      <a:fillRect/>
                    </a:stretch>
                  </pic:blipFill>
                  <pic:spPr>
                    <a:xfrm>
                      <a:off x="0" y="0"/>
                      <a:ext cx="5591175" cy="2767965"/>
                    </a:xfrm>
                    <a:prstGeom prst="rect">
                      <a:avLst/>
                    </a:prstGeom>
                    <a:noFill/>
                    <a:ln>
                      <a:noFill/>
                    </a:ln>
                  </pic:spPr>
                </pic:pic>
              </a:graphicData>
            </a:graphic>
          </wp:inline>
        </w:drawing>
      </w:r>
      <w:r>
        <w:rPr>
          <w:rFonts w:ascii="宋体" w:hAnsi="宋体" w:cs="宋体"/>
          <w:sz w:val="24"/>
        </w:rPr>
        <w:t xml:space="preserve">注：通信量为两方节点之间的双向总字节数，包含协议头与控制报文；所有测试均在同机本地双节点（colocated </w:t>
      </w:r>
      <w:hyperlink r:id="rId20" w:tgtFrame="_blank" w:tooltip="autolink" w:history="1">
        <w:r>
          <w:rPr>
            <w:rStyle w:val="a9"/>
            <w:rFonts w:ascii="宋体" w:hAnsi="宋体" w:cs="宋体"/>
            <w:color w:val="auto"/>
            <w:sz w:val="24"/>
          </w:rPr>
          <w:t>localhost</w:t>
        </w:r>
      </w:hyperlink>
      <w:r>
        <w:rPr>
          <w:rFonts w:ascii="宋体" w:hAnsi="宋体" w:cs="宋体"/>
          <w:sz w:val="24"/>
        </w:rPr>
        <w:t>）2PC 模式下执行。</w:t>
      </w:r>
    </w:p>
    <w:p w14:paraId="1B1093E0" w14:textId="77777777" w:rsidR="00035316" w:rsidRDefault="00831B25">
      <w:pPr>
        <w:spacing w:line="360" w:lineRule="auto"/>
        <w:ind w:firstLineChars="200" w:firstLine="480"/>
        <w:jc w:val="left"/>
        <w:rPr>
          <w:rFonts w:ascii="宋体" w:hAnsi="宋体" w:cs="宋体" w:hint="eastAsia"/>
          <w:sz w:val="24"/>
        </w:rPr>
      </w:pPr>
      <w:r>
        <w:rPr>
          <w:rFonts w:ascii="宋体" w:hAnsi="宋体" w:cs="宋体"/>
          <w:sz w:val="24"/>
        </w:rPr>
        <w:t>为进一步量化算子优化的收益，本作品补充了统一基准下的算子级代理对比，结果如表</w:t>
      </w:r>
      <w:r>
        <w:rPr>
          <w:rFonts w:ascii="宋体" w:hAnsi="宋体" w:cs="宋体" w:hint="eastAsia"/>
          <w:sz w:val="24"/>
        </w:rPr>
        <w:t>9</w:t>
      </w:r>
      <w:r>
        <w:rPr>
          <w:rFonts w:ascii="宋体" w:hAnsi="宋体" w:cs="宋体"/>
          <w:sz w:val="24"/>
        </w:rPr>
        <w:t>所示。</w:t>
      </w:r>
    </w:p>
    <w:p w14:paraId="6605AE9F" w14:textId="77777777" w:rsidR="00035316" w:rsidRDefault="00831B25">
      <w:pPr>
        <w:spacing w:line="360" w:lineRule="auto"/>
        <w:jc w:val="center"/>
      </w:pPr>
      <w:r>
        <w:rPr>
          <w:rFonts w:ascii="宋体" w:hAnsi="宋体" w:cs="宋体"/>
          <w:sz w:val="24"/>
        </w:rPr>
        <w:t xml:space="preserve">表 </w:t>
      </w:r>
      <w:r>
        <w:rPr>
          <w:rFonts w:ascii="宋体" w:hAnsi="宋体" w:cs="宋体" w:hint="eastAsia"/>
          <w:sz w:val="24"/>
        </w:rPr>
        <w:t>9</w:t>
      </w:r>
      <w:r>
        <w:rPr>
          <w:rFonts w:ascii="宋体" w:hAnsi="宋体" w:cs="宋体"/>
          <w:sz w:val="24"/>
        </w:rPr>
        <w:t xml:space="preserve"> 算子级代理基准对比结果</w:t>
      </w:r>
    </w:p>
    <w:tbl>
      <w:tblPr>
        <w:tblW w:w="8820" w:type="dxa"/>
        <w:jc w:val="center"/>
        <w:tblLook w:val="04A0" w:firstRow="1" w:lastRow="0" w:firstColumn="1" w:lastColumn="0" w:noHBand="0" w:noVBand="1"/>
      </w:tblPr>
      <w:tblGrid>
        <w:gridCol w:w="1650"/>
        <w:gridCol w:w="1203"/>
        <w:gridCol w:w="1182"/>
        <w:gridCol w:w="4785"/>
      </w:tblGrid>
      <w:tr w:rsidR="00035316" w14:paraId="5A970767" w14:textId="77777777">
        <w:trPr>
          <w:tblHeader/>
          <w:jc w:val="center"/>
        </w:trPr>
        <w:tc>
          <w:tcPr>
            <w:tcW w:w="0" w:type="auto"/>
            <w:tcBorders>
              <w:top w:val="single" w:sz="12" w:space="0" w:color="auto"/>
              <w:left w:val="nil"/>
              <w:bottom w:val="nil"/>
              <w:right w:val="nil"/>
            </w:tcBorders>
            <w:tcMar>
              <w:top w:w="-1" w:type="dxa"/>
              <w:left w:w="-1" w:type="dxa"/>
              <w:bottom w:w="-1" w:type="dxa"/>
              <w:right w:w="-1" w:type="dxa"/>
            </w:tcMar>
            <w:vAlign w:val="center"/>
          </w:tcPr>
          <w:p w14:paraId="0308F716" w14:textId="77777777" w:rsidR="00035316" w:rsidRDefault="00831B25">
            <w:pPr>
              <w:snapToGrid w:val="0"/>
              <w:jc w:val="center"/>
              <w:rPr>
                <w:rFonts w:ascii="宋体"/>
                <w:b/>
                <w:sz w:val="24"/>
              </w:rPr>
            </w:pPr>
            <w:r>
              <w:rPr>
                <w:rFonts w:ascii="宋体" w:hAnsi="宋体"/>
                <w:b/>
                <w:sz w:val="24"/>
              </w:rPr>
              <w:t>代理基准对比组</w:t>
            </w:r>
          </w:p>
        </w:tc>
        <w:tc>
          <w:tcPr>
            <w:tcW w:w="1203" w:type="dxa"/>
            <w:tcBorders>
              <w:top w:val="single" w:sz="12" w:space="0" w:color="auto"/>
              <w:left w:val="nil"/>
              <w:bottom w:val="nil"/>
              <w:right w:val="nil"/>
            </w:tcBorders>
            <w:tcMar>
              <w:top w:w="-1" w:type="dxa"/>
              <w:left w:w="-1" w:type="dxa"/>
              <w:bottom w:w="-1" w:type="dxa"/>
              <w:right w:w="-1" w:type="dxa"/>
            </w:tcMar>
            <w:vAlign w:val="center"/>
          </w:tcPr>
          <w:p w14:paraId="09FBBAFF" w14:textId="77777777" w:rsidR="00035316" w:rsidRDefault="00831B25">
            <w:pPr>
              <w:snapToGrid w:val="0"/>
              <w:jc w:val="center"/>
              <w:rPr>
                <w:rFonts w:ascii="宋体" w:hAnsi="宋体" w:hint="eastAsia"/>
                <w:b/>
                <w:sz w:val="24"/>
              </w:rPr>
            </w:pPr>
            <w:r>
              <w:rPr>
                <w:rFonts w:ascii="宋体" w:hAnsi="宋体"/>
                <w:b/>
                <w:sz w:val="24"/>
              </w:rPr>
              <w:t>通信比值</w:t>
            </w:r>
          </w:p>
          <w:p w14:paraId="19417E5E" w14:textId="77777777" w:rsidR="00035316" w:rsidRDefault="00831B25">
            <w:pPr>
              <w:snapToGrid w:val="0"/>
              <w:jc w:val="center"/>
              <w:rPr>
                <w:rFonts w:ascii="宋体"/>
                <w:b/>
                <w:sz w:val="24"/>
              </w:rPr>
            </w:pPr>
            <w:r>
              <w:rPr>
                <w:rFonts w:ascii="宋体" w:hAnsi="宋体"/>
                <w:b/>
                <w:sz w:val="24"/>
              </w:rPr>
              <w:t>（左/右）</w:t>
            </w:r>
          </w:p>
        </w:tc>
        <w:tc>
          <w:tcPr>
            <w:tcW w:w="1182" w:type="dxa"/>
            <w:tcBorders>
              <w:top w:val="single" w:sz="12" w:space="0" w:color="auto"/>
              <w:left w:val="nil"/>
              <w:bottom w:val="nil"/>
              <w:right w:val="nil"/>
            </w:tcBorders>
            <w:tcMar>
              <w:top w:w="-1" w:type="dxa"/>
              <w:left w:w="-1" w:type="dxa"/>
              <w:bottom w:w="-1" w:type="dxa"/>
              <w:right w:w="-1" w:type="dxa"/>
            </w:tcMar>
            <w:vAlign w:val="center"/>
          </w:tcPr>
          <w:p w14:paraId="00998953" w14:textId="77777777" w:rsidR="00035316" w:rsidRDefault="00831B25">
            <w:pPr>
              <w:snapToGrid w:val="0"/>
              <w:jc w:val="center"/>
              <w:rPr>
                <w:rFonts w:ascii="宋体" w:hAnsi="宋体" w:hint="eastAsia"/>
                <w:b/>
                <w:sz w:val="24"/>
              </w:rPr>
            </w:pPr>
            <w:r>
              <w:rPr>
                <w:rFonts w:ascii="宋体" w:hAnsi="宋体"/>
                <w:b/>
                <w:sz w:val="24"/>
              </w:rPr>
              <w:t>时间比值</w:t>
            </w:r>
          </w:p>
          <w:p w14:paraId="1D35EDB0" w14:textId="77777777" w:rsidR="00035316" w:rsidRDefault="00831B25">
            <w:pPr>
              <w:snapToGrid w:val="0"/>
              <w:jc w:val="center"/>
              <w:rPr>
                <w:rFonts w:ascii="宋体"/>
                <w:b/>
                <w:sz w:val="24"/>
              </w:rPr>
            </w:pPr>
            <w:r>
              <w:rPr>
                <w:rFonts w:ascii="宋体" w:hAnsi="宋体"/>
                <w:b/>
                <w:sz w:val="24"/>
              </w:rPr>
              <w:t>（左/右）</w:t>
            </w:r>
          </w:p>
        </w:tc>
        <w:tc>
          <w:tcPr>
            <w:tcW w:w="4785" w:type="dxa"/>
            <w:tcBorders>
              <w:top w:val="single" w:sz="12" w:space="0" w:color="auto"/>
              <w:left w:val="nil"/>
              <w:bottom w:val="nil"/>
              <w:right w:val="nil"/>
            </w:tcBorders>
            <w:tcMar>
              <w:top w:w="-1" w:type="dxa"/>
              <w:left w:w="-1" w:type="dxa"/>
              <w:bottom w:w="-1" w:type="dxa"/>
              <w:right w:w="-1" w:type="dxa"/>
            </w:tcMar>
            <w:vAlign w:val="center"/>
          </w:tcPr>
          <w:p w14:paraId="38EC416F" w14:textId="77777777" w:rsidR="00035316" w:rsidRDefault="00831B25">
            <w:pPr>
              <w:snapToGrid w:val="0"/>
              <w:jc w:val="center"/>
              <w:rPr>
                <w:rFonts w:ascii="宋体"/>
                <w:b/>
                <w:sz w:val="24"/>
              </w:rPr>
            </w:pPr>
            <w:r>
              <w:rPr>
                <w:rFonts w:ascii="宋体" w:hAnsi="宋体"/>
                <w:b/>
                <w:sz w:val="24"/>
              </w:rPr>
              <w:t>适用范围说明</w:t>
            </w:r>
          </w:p>
        </w:tc>
      </w:tr>
      <w:tr w:rsidR="00035316" w14:paraId="6F99280F" w14:textId="77777777">
        <w:trPr>
          <w:jc w:val="center"/>
        </w:trPr>
        <w:tc>
          <w:tcPr>
            <w:tcW w:w="0" w:type="auto"/>
            <w:tcBorders>
              <w:top w:val="single" w:sz="4" w:space="0" w:color="auto"/>
              <w:left w:val="nil"/>
              <w:bottom w:val="nil"/>
              <w:right w:val="nil"/>
            </w:tcBorders>
            <w:tcMar>
              <w:top w:w="-1" w:type="dxa"/>
              <w:left w:w="-1" w:type="dxa"/>
              <w:bottom w:w="-1" w:type="dxa"/>
              <w:right w:w="-1" w:type="dxa"/>
            </w:tcMar>
            <w:vAlign w:val="center"/>
          </w:tcPr>
          <w:p w14:paraId="6F03F094" w14:textId="77777777" w:rsidR="00035316" w:rsidRDefault="00831B25">
            <w:pPr>
              <w:snapToGrid w:val="0"/>
              <w:jc w:val="center"/>
              <w:rPr>
                <w:rFonts w:ascii="宋体"/>
                <w:sz w:val="24"/>
              </w:rPr>
            </w:pPr>
            <w:r>
              <w:rPr>
                <w:rFonts w:ascii="宋体" w:hAnsi="宋体"/>
                <w:sz w:val="24"/>
              </w:rPr>
              <w:t>同形状算子代理基准</w:t>
            </w:r>
          </w:p>
        </w:tc>
        <w:tc>
          <w:tcPr>
            <w:tcW w:w="1203" w:type="dxa"/>
            <w:tcBorders>
              <w:top w:val="single" w:sz="4" w:space="0" w:color="auto"/>
              <w:left w:val="nil"/>
              <w:bottom w:val="nil"/>
              <w:right w:val="nil"/>
            </w:tcBorders>
            <w:tcMar>
              <w:top w:w="-1" w:type="dxa"/>
              <w:left w:w="-1" w:type="dxa"/>
              <w:bottom w:w="-1" w:type="dxa"/>
              <w:right w:w="-1" w:type="dxa"/>
            </w:tcMar>
            <w:vAlign w:val="center"/>
          </w:tcPr>
          <w:p w14:paraId="053148C4" w14:textId="77777777" w:rsidR="00035316" w:rsidRDefault="00831B25">
            <w:pPr>
              <w:jc w:val="center"/>
            </w:pPr>
            <w:r>
              <w:t>0.149x</w:t>
            </w:r>
          </w:p>
        </w:tc>
        <w:tc>
          <w:tcPr>
            <w:tcW w:w="1182" w:type="dxa"/>
            <w:tcBorders>
              <w:top w:val="single" w:sz="4" w:space="0" w:color="auto"/>
              <w:left w:val="nil"/>
              <w:bottom w:val="nil"/>
              <w:right w:val="nil"/>
            </w:tcBorders>
            <w:tcMar>
              <w:top w:w="-1" w:type="dxa"/>
              <w:left w:w="-1" w:type="dxa"/>
              <w:bottom w:w="-1" w:type="dxa"/>
              <w:right w:w="-1" w:type="dxa"/>
            </w:tcMar>
            <w:vAlign w:val="center"/>
          </w:tcPr>
          <w:p w14:paraId="4EC1495D" w14:textId="77777777" w:rsidR="00035316" w:rsidRDefault="00831B25">
            <w:pPr>
              <w:jc w:val="center"/>
            </w:pPr>
            <w:r>
              <w:t>0.528x</w:t>
            </w:r>
          </w:p>
        </w:tc>
        <w:tc>
          <w:tcPr>
            <w:tcW w:w="4785" w:type="dxa"/>
            <w:tcBorders>
              <w:top w:val="single" w:sz="4" w:space="0" w:color="auto"/>
              <w:left w:val="nil"/>
              <w:bottom w:val="nil"/>
              <w:right w:val="nil"/>
            </w:tcBorders>
            <w:tcMar>
              <w:top w:w="-1" w:type="dxa"/>
              <w:left w:w="-1" w:type="dxa"/>
              <w:bottom w:w="-1" w:type="dxa"/>
              <w:right w:w="-1" w:type="dxa"/>
            </w:tcMar>
            <w:vAlign w:val="center"/>
          </w:tcPr>
          <w:p w14:paraId="68285D88" w14:textId="77777777" w:rsidR="00035316" w:rsidRDefault="00831B25">
            <w:pPr>
              <w:snapToGrid w:val="0"/>
              <w:rPr>
                <w:rFonts w:ascii="宋体"/>
                <w:sz w:val="24"/>
              </w:rPr>
            </w:pPr>
            <w:r>
              <w:rPr>
                <w:rFonts w:ascii="宋体" w:hAnsi="宋体"/>
                <w:sz w:val="24"/>
              </w:rPr>
              <w:t>同一模型形状、同一 2PC benchmark harness；主要用于观察算子配置导致的安全开销差异。</w:t>
            </w:r>
          </w:p>
        </w:tc>
      </w:tr>
      <w:tr w:rsidR="00035316" w14:paraId="1DE6149C" w14:textId="77777777">
        <w:trPr>
          <w:jc w:val="center"/>
        </w:trPr>
        <w:tc>
          <w:tcPr>
            <w:tcW w:w="1650" w:type="dxa"/>
            <w:tcBorders>
              <w:top w:val="nil"/>
              <w:left w:val="nil"/>
              <w:bottom w:val="single" w:sz="12" w:space="0" w:color="auto"/>
              <w:right w:val="nil"/>
            </w:tcBorders>
            <w:tcMar>
              <w:top w:w="-1" w:type="dxa"/>
              <w:left w:w="-1" w:type="dxa"/>
              <w:bottom w:w="-1" w:type="dxa"/>
              <w:right w:w="-1" w:type="dxa"/>
            </w:tcMar>
            <w:vAlign w:val="center"/>
          </w:tcPr>
          <w:p w14:paraId="61A2B8BD" w14:textId="77777777" w:rsidR="00035316" w:rsidRDefault="00831B25">
            <w:pPr>
              <w:snapToGrid w:val="0"/>
              <w:jc w:val="center"/>
              <w:rPr>
                <w:rFonts w:ascii="宋体"/>
                <w:sz w:val="24"/>
              </w:rPr>
            </w:pPr>
            <w:r>
              <w:rPr>
                <w:rFonts w:ascii="宋体" w:hAnsi="宋体"/>
                <w:sz w:val="24"/>
              </w:rPr>
              <w:t>异构结构代理基准</w:t>
            </w:r>
          </w:p>
        </w:tc>
        <w:tc>
          <w:tcPr>
            <w:tcW w:w="1203" w:type="dxa"/>
            <w:tcBorders>
              <w:top w:val="nil"/>
              <w:left w:val="nil"/>
              <w:bottom w:val="single" w:sz="12" w:space="0" w:color="auto"/>
              <w:right w:val="nil"/>
            </w:tcBorders>
            <w:tcMar>
              <w:top w:w="-1" w:type="dxa"/>
              <w:left w:w="-1" w:type="dxa"/>
              <w:bottom w:w="-1" w:type="dxa"/>
              <w:right w:w="-1" w:type="dxa"/>
            </w:tcMar>
            <w:vAlign w:val="center"/>
          </w:tcPr>
          <w:p w14:paraId="3A961D14" w14:textId="77777777" w:rsidR="00035316" w:rsidRDefault="00831B25">
            <w:pPr>
              <w:jc w:val="center"/>
            </w:pPr>
            <w:r>
              <w:t>16.845x</w:t>
            </w:r>
          </w:p>
        </w:tc>
        <w:tc>
          <w:tcPr>
            <w:tcW w:w="1182" w:type="dxa"/>
            <w:tcBorders>
              <w:top w:val="nil"/>
              <w:left w:val="nil"/>
              <w:bottom w:val="single" w:sz="12" w:space="0" w:color="auto"/>
              <w:right w:val="nil"/>
            </w:tcBorders>
            <w:tcMar>
              <w:top w:w="-1" w:type="dxa"/>
              <w:left w:w="-1" w:type="dxa"/>
              <w:bottom w:w="-1" w:type="dxa"/>
              <w:right w:w="-1" w:type="dxa"/>
            </w:tcMar>
            <w:vAlign w:val="center"/>
          </w:tcPr>
          <w:p w14:paraId="2BE649C1" w14:textId="77777777" w:rsidR="00035316" w:rsidRDefault="00831B25">
            <w:pPr>
              <w:jc w:val="center"/>
            </w:pPr>
            <w:r>
              <w:t>2.955x</w:t>
            </w:r>
          </w:p>
        </w:tc>
        <w:tc>
          <w:tcPr>
            <w:tcW w:w="4785" w:type="dxa"/>
            <w:tcBorders>
              <w:top w:val="nil"/>
              <w:left w:val="nil"/>
              <w:bottom w:val="single" w:sz="12" w:space="0" w:color="auto"/>
              <w:right w:val="nil"/>
            </w:tcBorders>
            <w:tcMar>
              <w:top w:w="-1" w:type="dxa"/>
              <w:left w:w="-1" w:type="dxa"/>
              <w:bottom w:w="-1" w:type="dxa"/>
              <w:right w:w="-1" w:type="dxa"/>
            </w:tcMar>
            <w:vAlign w:val="center"/>
          </w:tcPr>
          <w:p w14:paraId="3CA84183" w14:textId="77777777" w:rsidR="00035316" w:rsidRDefault="00831B25">
            <w:pPr>
              <w:snapToGrid w:val="0"/>
              <w:rPr>
                <w:rFonts w:ascii="宋体"/>
                <w:sz w:val="24"/>
              </w:rPr>
            </w:pPr>
            <w:r>
              <w:rPr>
                <w:rFonts w:ascii="宋体" w:hAnsi="宋体"/>
                <w:sz w:val="24"/>
              </w:rPr>
              <w:t>同一 MPCFormer local 2PC benchmark harness；各 profile 使用各自模型结构参数。这不是 full-val 医学图像 pipeline 通信量。</w:t>
            </w:r>
          </w:p>
        </w:tc>
      </w:tr>
    </w:tbl>
    <w:p w14:paraId="1EB16C3B" w14:textId="77777777" w:rsidR="00035316" w:rsidRDefault="00831B25">
      <w:pPr>
        <w:spacing w:line="360" w:lineRule="auto"/>
        <w:rPr>
          <w:rFonts w:ascii="宋体" w:hAnsi="宋体" w:hint="eastAsia"/>
          <w:sz w:val="24"/>
        </w:rPr>
      </w:pPr>
      <w:r>
        <w:rPr>
          <w:rFonts w:ascii="宋体" w:hAnsi="宋体" w:cs="宋体"/>
          <w:sz w:val="24"/>
        </w:rPr>
        <w:t>注："同形状算子代理基准" 基于统一 DeiT-S 模型结构测试；"异构结构代理基准" 仅用于说明模型结构差异对性能的影响，不代表医疗端到端链路性能。</w:t>
      </w:r>
    </w:p>
    <w:p w14:paraId="1791D8D2" w14:textId="77777777" w:rsidR="00035316" w:rsidRDefault="00831B25">
      <w:pPr>
        <w:outlineLvl w:val="2"/>
      </w:pPr>
      <w:bookmarkStart w:id="52" w:name="_Toc230989558"/>
      <w:r>
        <w:rPr>
          <w:rFonts w:ascii="黑体" w:eastAsia="黑体" w:hAnsi="黑体"/>
          <w:sz w:val="24"/>
        </w:rPr>
        <w:t>4.4.1 代价分解与代理基准</w:t>
      </w:r>
      <w:bookmarkEnd w:id="52"/>
    </w:p>
    <w:p w14:paraId="5137AB68" w14:textId="77777777" w:rsidR="00035316" w:rsidRDefault="00831B25">
      <w:pPr>
        <w:spacing w:line="360" w:lineRule="auto"/>
        <w:ind w:firstLine="480"/>
      </w:pPr>
      <w:r>
        <w:rPr>
          <w:rFonts w:ascii="宋体" w:hAnsi="宋体"/>
          <w:sz w:val="24"/>
        </w:rPr>
        <w:t>为便于统一表达时延与通信量的来源，本节先用式（4-1）至式（4-2）给出端到端代价的分解形式，再结合当前原型链路的实测结果解释主要瓶颈。</w:t>
      </w:r>
    </w:p>
    <w:p w14:paraId="5FB79AAF"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total</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pre</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guard</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SPU</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post</m:t>
            </m:r>
          </m:sub>
        </m:sSub>
      </m:oMath>
      <w:r>
        <w:rPr>
          <w:rFonts w:eastAsia="Times New Roman"/>
          <w:sz w:val="24"/>
        </w:rPr>
        <w:tab/>
        <w:t>(4-1)</w:t>
      </w:r>
    </w:p>
    <w:p w14:paraId="21B6069D" w14:textId="77777777" w:rsidR="00035316" w:rsidRDefault="00831B25">
      <w:pPr>
        <w:tabs>
          <w:tab w:val="center" w:pos="4536"/>
          <w:tab w:val="right" w:pos="8712"/>
        </w:tabs>
        <w:spacing w:before="40" w:after="60"/>
        <w:jc w:val="left"/>
        <w:rPr>
          <w:sz w:val="24"/>
        </w:rPr>
      </w:pPr>
      <w:r>
        <w:rPr>
          <w:sz w:val="24"/>
        </w:rPr>
        <w:tab/>
      </w:r>
      <m:oMath>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total</m:t>
            </m:r>
          </m:sub>
        </m:sSub>
        <m:r>
          <m:rPr>
            <m:sty m:val="p"/>
          </m:rPr>
          <w:rPr>
            <w:rFonts w:ascii="Cambria Math" w:hAnsi="Cambria Math"/>
            <w:sz w:val="24"/>
          </w:rPr>
          <m:t>=</m:t>
        </m:r>
        <m:nary>
          <m:naryPr>
            <m:chr m:val="∑"/>
            <m:ctrlPr>
              <w:rPr>
                <w:rFonts w:ascii="Cambria Math" w:hAnsi="Cambria Math"/>
                <w:sz w:val="24"/>
              </w:rPr>
            </m:ctrlPr>
          </m:naryPr>
          <m:sub>
            <m:r>
              <w:rPr>
                <w:rFonts w:ascii="Cambria Math" w:hAnsi="Cambria Math"/>
                <w:sz w:val="24"/>
              </w:rPr>
              <m:t>r</m:t>
            </m:r>
          </m:sub>
          <m:sup/>
          <m:e>
            <m:d>
              <m:dPr>
                <m:ctrlPr>
                  <w:rPr>
                    <w:rFonts w:ascii="Cambria Math" w:hAnsi="Cambria Math"/>
                    <w:sz w:val="24"/>
                  </w:rPr>
                </m:ctrlPr>
              </m:dPr>
              <m:e>
                <m:sSubSup>
                  <m:sSubSupPr>
                    <m:ctrlPr>
                      <w:rPr>
                        <w:rFonts w:ascii="Cambria Math" w:hAnsi="Cambria Math"/>
                        <w:sz w:val="24"/>
                      </w:rPr>
                    </m:ctrlPr>
                  </m:sSubSupPr>
                  <m:e>
                    <m:r>
                      <w:rPr>
                        <w:rFonts w:ascii="Cambria Math" w:hAnsi="Cambria Math"/>
                        <w:sz w:val="24"/>
                      </w:rPr>
                      <m:t>V</m:t>
                    </m:r>
                  </m:e>
                  <m:sub>
                    <m:r>
                      <m:rPr>
                        <m:sty m:val="p"/>
                      </m:rPr>
                      <w:rPr>
                        <w:rFonts w:ascii="Cambria Math" w:hAnsi="Cambria Math"/>
                        <w:sz w:val="24"/>
                      </w:rPr>
                      <m:t>send</m:t>
                    </m:r>
                  </m:sub>
                  <m:sup>
                    <m:r>
                      <w:rPr>
                        <w:rFonts w:ascii="Cambria Math" w:hAnsi="Cambria Math"/>
                        <w:sz w:val="24"/>
                      </w:rPr>
                      <m:t>r</m:t>
                    </m:r>
                  </m:sup>
                </m:sSubSup>
                <m:r>
                  <m:rPr>
                    <m:sty m:val="p"/>
                  </m:rPr>
                  <w:rPr>
                    <w:rFonts w:ascii="Cambria Math" w:hAnsi="Cambria Math"/>
                    <w:sz w:val="24"/>
                  </w:rPr>
                  <m:t>+</m:t>
                </m:r>
                <m:sSubSup>
                  <m:sSubSupPr>
                    <m:ctrlPr>
                      <w:rPr>
                        <w:rFonts w:ascii="Cambria Math" w:hAnsi="Cambria Math"/>
                        <w:sz w:val="24"/>
                      </w:rPr>
                    </m:ctrlPr>
                  </m:sSubSupPr>
                  <m:e>
                    <m:r>
                      <w:rPr>
                        <w:rFonts w:ascii="Cambria Math" w:hAnsi="Cambria Math"/>
                        <w:sz w:val="24"/>
                      </w:rPr>
                      <m:t>V</m:t>
                    </m:r>
                  </m:e>
                  <m:sub>
                    <m:r>
                      <m:rPr>
                        <m:sty m:val="p"/>
                      </m:rPr>
                      <w:rPr>
                        <w:rFonts w:ascii="Cambria Math" w:hAnsi="Cambria Math"/>
                        <w:sz w:val="24"/>
                      </w:rPr>
                      <m:t>recv</m:t>
                    </m:r>
                  </m:sub>
                  <m:sup>
                    <m:r>
                      <w:rPr>
                        <w:rFonts w:ascii="Cambria Math" w:hAnsi="Cambria Math"/>
                        <w:sz w:val="24"/>
                      </w:rPr>
                      <m:t>r</m:t>
                    </m:r>
                  </m:sup>
                </m:sSubSup>
              </m:e>
            </m:d>
          </m:e>
        </m:nary>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ρ</m:t>
            </m:r>
          </m:e>
          <m:sub>
            <m:r>
              <w:rPr>
                <w:rFonts w:ascii="Cambria Math" w:hAnsi="Cambria Math"/>
                <w:sz w:val="24"/>
              </w:rPr>
              <m:t>V</m:t>
            </m: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密捷</m:t>
                </m:r>
              </m:sub>
            </m:sSub>
          </m:num>
          <m:den>
            <m:sSub>
              <m:sSubPr>
                <m:ctrlPr>
                  <w:rPr>
                    <w:rFonts w:ascii="Cambria Math" w:hAnsi="Cambria Math"/>
                    <w:sz w:val="24"/>
                  </w:rPr>
                </m:ctrlPr>
              </m:sSubPr>
              <m:e>
                <m:r>
                  <w:rPr>
                    <w:rFonts w:ascii="Cambria Math" w:hAnsi="Cambria Math"/>
                    <w:sz w:val="24"/>
                  </w:rPr>
                  <m:t>V</m:t>
                </m:r>
              </m:e>
              <m:sub>
                <m:r>
                  <m:rPr>
                    <m:sty m:val="p"/>
                  </m:rPr>
                  <w:rPr>
                    <w:rFonts w:ascii="Cambria Math" w:hAnsi="Cambria Math"/>
                    <w:sz w:val="24"/>
                  </w:rPr>
                  <m:t>ref</m:t>
                </m:r>
              </m:sub>
            </m:sSub>
          </m:den>
        </m:f>
        <m:r>
          <m:rPr>
            <m:sty m:val="p"/>
          </m:rPr>
          <w:rPr>
            <w:rFonts w:ascii="Cambria Math" w:hAnsi="Cambria Math"/>
            <w:sz w:val="24"/>
          </w:rPr>
          <m:t xml:space="preserve">, </m:t>
        </m:r>
        <m:sSub>
          <m:sSubPr>
            <m:ctrlPr>
              <w:rPr>
                <w:rFonts w:ascii="Cambria Math" w:hAnsi="Cambria Math"/>
                <w:sz w:val="24"/>
              </w:rPr>
            </m:ctrlPr>
          </m:sSubPr>
          <m:e>
            <m:r>
              <w:rPr>
                <w:rFonts w:ascii="Cambria Math" w:hAnsi="Cambria Math"/>
                <w:sz w:val="24"/>
              </w:rPr>
              <m:t>ρ</m:t>
            </m:r>
          </m:e>
          <m:sub>
            <m:r>
              <w:rPr>
                <w:rFonts w:ascii="Cambria Math" w:hAnsi="Cambria Math"/>
                <w:sz w:val="24"/>
              </w:rPr>
              <m:t>T</m:t>
            </m: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密捷</m:t>
                </m:r>
              </m:sub>
            </m:sSub>
          </m:num>
          <m:den>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ref</m:t>
                </m:r>
              </m:sub>
            </m:sSub>
          </m:den>
        </m:f>
      </m:oMath>
      <w:r>
        <w:rPr>
          <w:rFonts w:eastAsia="Times New Roman"/>
          <w:sz w:val="24"/>
        </w:rPr>
        <w:tab/>
        <w:t>(4-2)</w:t>
      </w:r>
    </w:p>
    <w:p w14:paraId="5F28831C" w14:textId="77777777" w:rsidR="00035316" w:rsidRDefault="00831B25">
      <w:pPr>
        <w:spacing w:line="360" w:lineRule="auto"/>
        <w:ind w:firstLine="480"/>
      </w:pPr>
      <w:r>
        <w:rPr>
          <w:rFonts w:ascii="宋体" w:hAnsi="宋体"/>
          <w:sz w:val="24"/>
        </w:rPr>
        <w:t>其中，T_total 由前端预处理、服务端控制面快检、SPU 密态执行与结果回传/审计收尾四部分组成；V_total 表示一次完整推理的双向总通信量，rho_V 与 rho_T 分别表示相对通信量与相对时延比。</w:t>
      </w:r>
      <m:oMath>
        <m:sSub>
          <m:sSubPr>
            <m:ctrlPr>
              <w:rPr>
                <w:rFonts w:ascii="Cambria Math" w:hAnsi="Cambria Math"/>
              </w:rPr>
            </m:ctrlPr>
          </m:sSubPr>
          <m:e>
            <m:r>
              <w:rPr>
                <w:rFonts w:ascii="Cambria Math" w:hAnsi="Cambria Math"/>
              </w:rPr>
              <m:t>T</m:t>
            </m:r>
          </m:e>
          <m:sub>
            <m:r>
              <m:rPr>
                <m:sty m:val="p"/>
              </m:rPr>
              <w:rPr>
                <w:rFonts w:ascii="Cambria Math" w:hAnsi="Cambria Math"/>
              </w:rPr>
              <m:t>total</m:t>
            </m:r>
          </m:sub>
        </m:sSub>
        <m:sSub>
          <m:sSubPr>
            <m:ctrlPr>
              <w:rPr>
                <w:rFonts w:ascii="Cambria Math" w:hAnsi="Cambria Math"/>
              </w:rPr>
            </m:ctrlPr>
          </m:sSubPr>
          <m:e>
            <m:r>
              <w:rPr>
                <w:rFonts w:ascii="Cambria Math" w:hAnsi="Cambria Math"/>
              </w:rPr>
              <m:t>V</m:t>
            </m:r>
          </m:e>
          <m:sub>
            <m:r>
              <m:rPr>
                <m:sty m:val="p"/>
              </m:rPr>
              <w:rPr>
                <w:rFonts w:ascii="Cambria Math" w:hAnsi="Cambria Math"/>
              </w:rPr>
              <m:t>total</m:t>
            </m:r>
          </m:sub>
        </m:sSub>
        <m:sSub>
          <m:sSubPr>
            <m:ctrlPr>
              <w:rPr>
                <w:rFonts w:ascii="Cambria Math" w:hAnsi="Cambria Math"/>
              </w:rPr>
            </m:ctrlPr>
          </m:sSubPr>
          <m:e>
            <m:r>
              <w:rPr>
                <w:rFonts w:ascii="Cambria Math" w:hAnsi="Cambria Math"/>
              </w:rPr>
              <m:t>ρ</m:t>
            </m:r>
          </m:e>
          <m:sub>
            <m:r>
              <w:rPr>
                <w:rFonts w:ascii="Cambria Math" w:hAnsi="Cambria Math"/>
              </w:rPr>
              <m:t>V</m:t>
            </m:r>
          </m:sub>
        </m:sSub>
        <m:sSub>
          <m:sSubPr>
            <m:ctrlPr>
              <w:rPr>
                <w:rFonts w:ascii="Cambria Math" w:hAnsi="Cambria Math"/>
              </w:rPr>
            </m:ctrlPr>
          </m:sSubPr>
          <m:e>
            <m:r>
              <w:rPr>
                <w:rFonts w:ascii="Cambria Math" w:hAnsi="Cambria Math"/>
              </w:rPr>
              <m:t>ρ</m:t>
            </m:r>
          </m:e>
          <m:sub>
            <m:r>
              <w:rPr>
                <w:rFonts w:ascii="Cambria Math" w:hAnsi="Cambria Math"/>
              </w:rPr>
              <m:t>T</m:t>
            </m:r>
          </m:sub>
        </m:sSub>
      </m:oMath>
    </w:p>
    <w:p w14:paraId="303AAD5A" w14:textId="77777777" w:rsidR="00035316" w:rsidRDefault="00831B25">
      <w:pPr>
        <w:spacing w:line="360" w:lineRule="auto"/>
        <w:ind w:firstLine="480"/>
      </w:pPr>
      <w:r>
        <w:rPr>
          <w:rFonts w:ascii="宋体" w:hAnsi="宋体"/>
          <w:sz w:val="24"/>
        </w:rPr>
        <w:t>性能证据分为两层：其一是上述端到端双向隐私运行结果，用于说明医疗动态安全剪枝链路与金融压力样本在当前原型中的总时延和总通信量；其二是统一安全基准下的算子级代理对比，用于说明算子替换本身的开销趋势。在固定同一 DeiT-S 形状的代理基准对比中，密捷的安全友好算子将通信压缩到外部基准算子的 0.149 倍，时间压缩到 0.528 倍，说明算子替换本身具有正向收益。另一方面，跨模型结构的异构结构代理基准只能用于说明结构尺度差异会显著放大绝对代价，不能与医疗全量验证链路混写。</w:t>
      </w:r>
      <m:oMath>
        <m:r>
          <w:rPr>
            <w:rFonts w:ascii="Cambria Math" w:hAnsi="Cambria Math"/>
          </w:rPr>
          <m:t>0.149×0.528×</m:t>
        </m:r>
      </m:oMath>
    </w:p>
    <w:p w14:paraId="561929EA" w14:textId="77777777" w:rsidR="00035316" w:rsidRDefault="00831B25">
      <w:pPr>
        <w:outlineLvl w:val="2"/>
      </w:pPr>
      <w:bookmarkStart w:id="53" w:name="_Toc230989559"/>
      <w:r>
        <w:rPr>
          <w:rFonts w:ascii="黑体" w:eastAsia="黑体" w:hAnsi="黑体"/>
          <w:sz w:val="24"/>
        </w:rPr>
        <w:t>4.4.2 端到端瓶颈来源</w:t>
      </w:r>
      <w:bookmarkEnd w:id="53"/>
    </w:p>
    <w:p w14:paraId="1E69D625" w14:textId="77777777" w:rsidR="00035316" w:rsidRDefault="00831B25">
      <w:pPr>
        <w:spacing w:line="360" w:lineRule="auto"/>
        <w:ind w:firstLine="480"/>
      </w:pPr>
      <w:r>
        <w:rPr>
          <w:rFonts w:ascii="宋体" w:hAnsi="宋体"/>
          <w:sz w:val="24"/>
        </w:rPr>
        <w:t>当前时延与通信量偏高，主要由三类因素共同造成。第一，动态安全剪枝链路保留了词元剪枝的密态比较、排序与掩码化决策链，相比固定结构安全推理会引入额外的协议轮次。第二，当前运行口径是同机本地双节点（colocated localhost）2PC 原型链路，虽然两方节点位于同一服务器内，但张量交换、线性层通信与 softmax 归一化指数函数相关算子仍构成主要代价来源，不能将 localhost 原型误解为“几乎无通信成本”。第三，当前 Web 演示后端以正确性与边界防护为首要目标，未针对生产级吞吐做异步化、流水化或任务队列改造。因此，本报告只保留已直接落盘的端到端结果与算子级代理证据，不额外给出未经观测的阶段占比、P50/P95 延迟或生产级并发吞吐承诺。</w:t>
      </w:r>
    </w:p>
    <w:p w14:paraId="5D48FEA4" w14:textId="77777777" w:rsidR="00035316" w:rsidRDefault="00831B25">
      <w:pPr>
        <w:spacing w:line="360" w:lineRule="auto"/>
        <w:outlineLvl w:val="1"/>
        <w:rPr>
          <w:rFonts w:ascii="黑体" w:eastAsia="黑体" w:hAnsi="黑体" w:hint="eastAsia"/>
          <w:b/>
          <w:sz w:val="24"/>
        </w:rPr>
      </w:pPr>
      <w:bookmarkStart w:id="54" w:name="Transshield_TOC_section_4_5"/>
      <w:bookmarkStart w:id="55" w:name="_Toc230989560"/>
      <w:r>
        <w:rPr>
          <w:rFonts w:ascii="黑体" w:eastAsia="黑体" w:hAnsi="黑体"/>
          <w:b/>
          <w:sz w:val="24"/>
        </w:rPr>
        <w:t>4.5 金融边界压力验证结果</w:t>
      </w:r>
      <w:bookmarkEnd w:id="54"/>
      <w:bookmarkEnd w:id="55"/>
    </w:p>
    <w:p w14:paraId="545DB211" w14:textId="77777777" w:rsidR="00035316" w:rsidRDefault="00831B25">
      <w:pPr>
        <w:spacing w:line="360" w:lineRule="auto"/>
        <w:ind w:firstLine="480"/>
        <w:rPr>
          <w:rFonts w:ascii="宋体" w:hAnsi="宋体" w:hint="eastAsia"/>
          <w:sz w:val="24"/>
        </w:rPr>
      </w:pPr>
      <w:r>
        <w:rPr>
          <w:rFonts w:ascii="宋体" w:hAnsi="宋体" w:cs="宋体"/>
          <w:sz w:val="24"/>
        </w:rPr>
        <w:t xml:space="preserve">金融边界压力验证场景下的核心指标结果如表 </w:t>
      </w:r>
      <w:r>
        <w:rPr>
          <w:rFonts w:ascii="宋体" w:hAnsi="宋体" w:cs="宋体" w:hint="eastAsia"/>
          <w:sz w:val="24"/>
        </w:rPr>
        <w:t>10</w:t>
      </w:r>
      <w:r>
        <w:rPr>
          <w:rFonts w:ascii="宋体" w:hAnsi="宋体" w:cs="宋体"/>
          <w:sz w:val="24"/>
        </w:rPr>
        <w:t xml:space="preserve"> 所示。</w:t>
      </w:r>
      <w:r>
        <w:rPr>
          <w:rFonts w:ascii="宋体" w:hAnsi="宋体"/>
          <w:sz w:val="24"/>
        </w:rPr>
        <w:t>需要说明的是，金融域原始输入并非自然图像，而是信用卡欺诈检测任务中的 30 维 PCA 特征。为了复用 DeiT-S 的块嵌入（Patch Embedding）结构，本作品先将一维金融特征通过拟图像空间连续性编码映射为 224×224 灰度图，使输入保留可供视觉 Transformer 利用的局部平滑先验。仓内冻结 bundle 记录表明，早期的 patch-based 与 DCT 编码未形成稳定可用结果，当前边界压力验证对应的是 v3 image-like smooth/contrast encoding。</w:t>
      </w:r>
    </w:p>
    <w:p w14:paraId="298523DF" w14:textId="77777777" w:rsidR="00035316" w:rsidRDefault="00831B25">
      <w:pPr>
        <w:spacing w:line="360" w:lineRule="auto"/>
        <w:ind w:firstLine="480"/>
        <w:jc w:val="center"/>
        <w:rPr>
          <w:rFonts w:ascii="宋体" w:hAnsi="宋体" w:hint="eastAsia"/>
          <w:sz w:val="24"/>
        </w:rPr>
      </w:pPr>
      <w:r>
        <w:rPr>
          <w:rFonts w:ascii="宋体" w:hAnsi="宋体" w:cs="宋体"/>
          <w:sz w:val="24"/>
        </w:rPr>
        <w:t xml:space="preserve">表 </w:t>
      </w:r>
      <w:r>
        <w:rPr>
          <w:rFonts w:ascii="宋体" w:hAnsi="宋体" w:cs="宋体" w:hint="eastAsia"/>
          <w:sz w:val="24"/>
        </w:rPr>
        <w:t>10</w:t>
      </w:r>
      <w:r>
        <w:rPr>
          <w:rFonts w:ascii="宋体" w:hAnsi="宋体" w:cs="宋体"/>
          <w:sz w:val="24"/>
        </w:rPr>
        <w:t xml:space="preserve"> 金融边界压力验证核心指标</w:t>
      </w:r>
    </w:p>
    <w:tbl>
      <w:tblPr>
        <w:tblW w:w="8820" w:type="dxa"/>
        <w:jc w:val="center"/>
        <w:tblLook w:val="04A0" w:firstRow="1" w:lastRow="0" w:firstColumn="1" w:lastColumn="0" w:noHBand="0" w:noVBand="1"/>
      </w:tblPr>
      <w:tblGrid>
        <w:gridCol w:w="3271"/>
        <w:gridCol w:w="2525"/>
        <w:gridCol w:w="3024"/>
      </w:tblGrid>
      <w:tr w:rsidR="00035316" w14:paraId="4E6CAE7D" w14:textId="77777777">
        <w:trPr>
          <w:tblHeader/>
          <w:jc w:val="center"/>
        </w:trPr>
        <w:tc>
          <w:tcPr>
            <w:tcW w:w="3271" w:type="dxa"/>
            <w:tcBorders>
              <w:top w:val="single" w:sz="12" w:space="0" w:color="auto"/>
              <w:left w:val="nil"/>
              <w:bottom w:val="nil"/>
              <w:right w:val="nil"/>
            </w:tcBorders>
            <w:tcMar>
              <w:top w:w="-1" w:type="dxa"/>
              <w:left w:w="-1" w:type="dxa"/>
              <w:bottom w:w="-1" w:type="dxa"/>
              <w:right w:w="-1" w:type="dxa"/>
            </w:tcMar>
            <w:vAlign w:val="center"/>
          </w:tcPr>
          <w:p w14:paraId="73BDF8DA" w14:textId="77777777" w:rsidR="00035316" w:rsidRDefault="00831B25">
            <w:pPr>
              <w:snapToGrid w:val="0"/>
              <w:jc w:val="center"/>
              <w:rPr>
                <w:rFonts w:ascii="宋体"/>
                <w:b/>
                <w:sz w:val="24"/>
              </w:rPr>
            </w:pPr>
            <w:r>
              <w:rPr>
                <w:rFonts w:ascii="宋体" w:hAnsi="宋体"/>
                <w:b/>
                <w:sz w:val="24"/>
              </w:rPr>
              <w:t>指标</w:t>
            </w:r>
          </w:p>
        </w:tc>
        <w:tc>
          <w:tcPr>
            <w:tcW w:w="2525" w:type="dxa"/>
            <w:tcBorders>
              <w:top w:val="single" w:sz="12" w:space="0" w:color="auto"/>
              <w:left w:val="nil"/>
              <w:bottom w:val="nil"/>
              <w:right w:val="nil"/>
            </w:tcBorders>
            <w:tcMar>
              <w:top w:w="-1" w:type="dxa"/>
              <w:left w:w="-1" w:type="dxa"/>
              <w:bottom w:w="-1" w:type="dxa"/>
              <w:right w:w="-1" w:type="dxa"/>
            </w:tcMar>
            <w:vAlign w:val="center"/>
          </w:tcPr>
          <w:p w14:paraId="5A00B10A" w14:textId="77777777" w:rsidR="00035316" w:rsidRDefault="00831B25">
            <w:pPr>
              <w:snapToGrid w:val="0"/>
              <w:jc w:val="center"/>
              <w:rPr>
                <w:rFonts w:ascii="宋体"/>
                <w:b/>
                <w:sz w:val="24"/>
              </w:rPr>
            </w:pPr>
            <w:r>
              <w:rPr>
                <w:rFonts w:ascii="宋体" w:hAnsi="宋体"/>
                <w:b/>
                <w:sz w:val="24"/>
              </w:rPr>
              <w:t>结果</w:t>
            </w:r>
          </w:p>
        </w:tc>
        <w:tc>
          <w:tcPr>
            <w:tcW w:w="3024" w:type="dxa"/>
            <w:tcBorders>
              <w:top w:val="single" w:sz="12" w:space="0" w:color="auto"/>
              <w:left w:val="nil"/>
              <w:bottom w:val="nil"/>
              <w:right w:val="nil"/>
            </w:tcBorders>
            <w:tcMar>
              <w:top w:w="-1" w:type="dxa"/>
              <w:left w:w="-1" w:type="dxa"/>
              <w:bottom w:w="-1" w:type="dxa"/>
              <w:right w:w="-1" w:type="dxa"/>
            </w:tcMar>
            <w:vAlign w:val="center"/>
          </w:tcPr>
          <w:p w14:paraId="6794B18F" w14:textId="77777777" w:rsidR="00035316" w:rsidRDefault="00831B25">
            <w:pPr>
              <w:snapToGrid w:val="0"/>
              <w:jc w:val="center"/>
              <w:rPr>
                <w:rFonts w:ascii="宋体"/>
                <w:b/>
                <w:sz w:val="24"/>
              </w:rPr>
            </w:pPr>
            <w:r>
              <w:rPr>
                <w:rFonts w:ascii="宋体" w:hAnsi="宋体"/>
                <w:b/>
                <w:sz w:val="24"/>
              </w:rPr>
              <w:t>说明</w:t>
            </w:r>
          </w:p>
        </w:tc>
      </w:tr>
      <w:tr w:rsidR="00035316" w14:paraId="26979D2E" w14:textId="77777777">
        <w:trPr>
          <w:jc w:val="center"/>
        </w:trPr>
        <w:tc>
          <w:tcPr>
            <w:tcW w:w="3271" w:type="dxa"/>
            <w:tcBorders>
              <w:top w:val="single" w:sz="4" w:space="0" w:color="auto"/>
              <w:left w:val="nil"/>
              <w:bottom w:val="nil"/>
              <w:right w:val="nil"/>
            </w:tcBorders>
            <w:tcMar>
              <w:top w:w="-1" w:type="dxa"/>
              <w:left w:w="-1" w:type="dxa"/>
              <w:bottom w:w="-1" w:type="dxa"/>
              <w:right w:w="-1" w:type="dxa"/>
            </w:tcMar>
            <w:vAlign w:val="center"/>
          </w:tcPr>
          <w:p w14:paraId="3A6ECEB2" w14:textId="77777777" w:rsidR="00035316" w:rsidRDefault="00831B25">
            <w:pPr>
              <w:snapToGrid w:val="0"/>
              <w:jc w:val="center"/>
              <w:rPr>
                <w:rFonts w:ascii="宋体"/>
                <w:sz w:val="24"/>
              </w:rPr>
            </w:pPr>
            <w:r>
              <w:rPr>
                <w:rFonts w:ascii="宋体" w:hAnsi="宋体"/>
                <w:sz w:val="24"/>
              </w:rPr>
              <w:t>8 条压力样本逐样本一致性</w:t>
            </w:r>
          </w:p>
        </w:tc>
        <w:tc>
          <w:tcPr>
            <w:tcW w:w="2525" w:type="dxa"/>
            <w:tcBorders>
              <w:top w:val="single" w:sz="4" w:space="0" w:color="auto"/>
              <w:left w:val="nil"/>
              <w:bottom w:val="nil"/>
              <w:right w:val="nil"/>
            </w:tcBorders>
            <w:tcMar>
              <w:top w:w="-1" w:type="dxa"/>
              <w:left w:w="-1" w:type="dxa"/>
              <w:bottom w:w="-1" w:type="dxa"/>
              <w:right w:w="-1" w:type="dxa"/>
            </w:tcMar>
            <w:vAlign w:val="center"/>
          </w:tcPr>
          <w:p w14:paraId="47FC61F9" w14:textId="77777777" w:rsidR="00035316" w:rsidRDefault="00831B25">
            <w:pPr>
              <w:snapToGrid w:val="0"/>
              <w:jc w:val="center"/>
              <w:rPr>
                <w:rFonts w:ascii="宋体"/>
                <w:sz w:val="24"/>
              </w:rPr>
            </w:pPr>
            <w:r>
              <w:rPr>
                <w:rFonts w:ascii="宋体" w:hAnsi="宋体"/>
                <w:sz w:val="24"/>
              </w:rPr>
              <w:t>8 / 8 样本差异为 0</w:t>
            </w:r>
          </w:p>
        </w:tc>
        <w:tc>
          <w:tcPr>
            <w:tcW w:w="3024" w:type="dxa"/>
            <w:tcBorders>
              <w:top w:val="single" w:sz="4" w:space="0" w:color="auto"/>
              <w:left w:val="nil"/>
              <w:bottom w:val="nil"/>
              <w:right w:val="nil"/>
            </w:tcBorders>
            <w:tcMar>
              <w:top w:w="-1" w:type="dxa"/>
              <w:left w:w="-1" w:type="dxa"/>
              <w:bottom w:w="-1" w:type="dxa"/>
              <w:right w:w="-1" w:type="dxa"/>
            </w:tcMar>
            <w:vAlign w:val="center"/>
          </w:tcPr>
          <w:p w14:paraId="38476918" w14:textId="77777777" w:rsidR="00035316" w:rsidRDefault="00831B25">
            <w:pPr>
              <w:snapToGrid w:val="0"/>
              <w:jc w:val="center"/>
              <w:rPr>
                <w:rFonts w:ascii="宋体"/>
                <w:sz w:val="24"/>
              </w:rPr>
            </w:pPr>
            <w:r>
              <w:rPr>
                <w:rFonts w:ascii="宋体" w:hAnsi="宋体"/>
                <w:sz w:val="24"/>
              </w:rPr>
              <w:t>与明文参考逐样本对齐</w:t>
            </w:r>
          </w:p>
        </w:tc>
      </w:tr>
      <w:tr w:rsidR="00035316" w14:paraId="3290AC1F" w14:textId="77777777">
        <w:trPr>
          <w:jc w:val="center"/>
        </w:trPr>
        <w:tc>
          <w:tcPr>
            <w:tcW w:w="3271" w:type="dxa"/>
            <w:tcBorders>
              <w:top w:val="nil"/>
              <w:left w:val="nil"/>
              <w:bottom w:val="nil"/>
              <w:right w:val="nil"/>
            </w:tcBorders>
            <w:tcMar>
              <w:top w:w="-1" w:type="dxa"/>
              <w:left w:w="-1" w:type="dxa"/>
              <w:bottom w:w="-1" w:type="dxa"/>
              <w:right w:w="-1" w:type="dxa"/>
            </w:tcMar>
            <w:vAlign w:val="center"/>
          </w:tcPr>
          <w:p w14:paraId="2175B0EC" w14:textId="77777777" w:rsidR="00035316" w:rsidRDefault="00831B25">
            <w:pPr>
              <w:snapToGrid w:val="0"/>
              <w:jc w:val="center"/>
              <w:rPr>
                <w:rFonts w:ascii="宋体"/>
                <w:sz w:val="24"/>
              </w:rPr>
            </w:pPr>
            <w:r>
              <w:rPr>
                <w:rFonts w:ascii="宋体" w:hAnsi="宋体"/>
                <w:sz w:val="24"/>
              </w:rPr>
              <w:t>部署效率</w:t>
            </w:r>
          </w:p>
        </w:tc>
        <w:tc>
          <w:tcPr>
            <w:tcW w:w="2525" w:type="dxa"/>
            <w:tcBorders>
              <w:top w:val="nil"/>
              <w:left w:val="nil"/>
              <w:bottom w:val="nil"/>
              <w:right w:val="nil"/>
            </w:tcBorders>
            <w:tcMar>
              <w:top w:w="-1" w:type="dxa"/>
              <w:left w:w="-1" w:type="dxa"/>
              <w:bottom w:w="-1" w:type="dxa"/>
              <w:right w:w="-1" w:type="dxa"/>
            </w:tcMar>
            <w:vAlign w:val="center"/>
          </w:tcPr>
          <w:p w14:paraId="3B1124F4" w14:textId="77777777" w:rsidR="00035316" w:rsidRDefault="00831B25">
            <w:pPr>
              <w:snapToGrid w:val="0"/>
              <w:jc w:val="center"/>
              <w:rPr>
                <w:rFonts w:ascii="宋体"/>
                <w:sz w:val="24"/>
              </w:rPr>
            </w:pPr>
            <w:r>
              <w:rPr>
                <w:rFonts w:ascii="宋体" w:hAnsi="宋体"/>
                <w:sz w:val="24"/>
              </w:rPr>
              <w:t>106.16 秒/样本</w:t>
            </w:r>
          </w:p>
        </w:tc>
        <w:tc>
          <w:tcPr>
            <w:tcW w:w="3024" w:type="dxa"/>
            <w:tcBorders>
              <w:top w:val="nil"/>
              <w:left w:val="nil"/>
              <w:bottom w:val="nil"/>
              <w:right w:val="nil"/>
            </w:tcBorders>
            <w:tcMar>
              <w:top w:w="-1" w:type="dxa"/>
              <w:left w:w="-1" w:type="dxa"/>
              <w:bottom w:w="-1" w:type="dxa"/>
              <w:right w:w="-1" w:type="dxa"/>
            </w:tcMar>
            <w:vAlign w:val="center"/>
          </w:tcPr>
          <w:p w14:paraId="1BC3689A" w14:textId="77777777" w:rsidR="00035316" w:rsidRDefault="00831B25">
            <w:pPr>
              <w:snapToGrid w:val="0"/>
              <w:jc w:val="center"/>
              <w:rPr>
                <w:rFonts w:ascii="宋体"/>
                <w:sz w:val="24"/>
              </w:rPr>
            </w:pPr>
            <w:r>
              <w:rPr>
                <w:rFonts w:ascii="宋体" w:hAnsi="宋体"/>
                <w:sz w:val="24"/>
              </w:rPr>
              <w:t>仅作为边界压力验证口径</w:t>
            </w:r>
          </w:p>
        </w:tc>
      </w:tr>
      <w:tr w:rsidR="00035316" w14:paraId="40301032" w14:textId="77777777">
        <w:trPr>
          <w:jc w:val="center"/>
        </w:trPr>
        <w:tc>
          <w:tcPr>
            <w:tcW w:w="3271" w:type="dxa"/>
            <w:tcBorders>
              <w:top w:val="nil"/>
              <w:left w:val="nil"/>
              <w:bottom w:val="nil"/>
              <w:right w:val="nil"/>
            </w:tcBorders>
            <w:tcMar>
              <w:top w:w="-1" w:type="dxa"/>
              <w:left w:w="-1" w:type="dxa"/>
              <w:bottom w:w="-1" w:type="dxa"/>
              <w:right w:w="-1" w:type="dxa"/>
            </w:tcMar>
            <w:vAlign w:val="center"/>
          </w:tcPr>
          <w:p w14:paraId="7327E25F" w14:textId="77777777" w:rsidR="00035316" w:rsidRDefault="00831B25">
            <w:pPr>
              <w:snapToGrid w:val="0"/>
              <w:jc w:val="center"/>
              <w:rPr>
                <w:rFonts w:ascii="宋体"/>
                <w:sz w:val="24"/>
              </w:rPr>
            </w:pPr>
            <w:r>
              <w:rPr>
                <w:rFonts w:ascii="宋体" w:hAnsi="宋体"/>
                <w:sz w:val="24"/>
              </w:rPr>
              <w:t>双向总通信量</w:t>
            </w:r>
          </w:p>
        </w:tc>
        <w:tc>
          <w:tcPr>
            <w:tcW w:w="2525" w:type="dxa"/>
            <w:tcBorders>
              <w:top w:val="nil"/>
              <w:left w:val="nil"/>
              <w:bottom w:val="nil"/>
              <w:right w:val="nil"/>
            </w:tcBorders>
            <w:tcMar>
              <w:top w:w="-1" w:type="dxa"/>
              <w:left w:w="-1" w:type="dxa"/>
              <w:bottom w:w="-1" w:type="dxa"/>
              <w:right w:w="-1" w:type="dxa"/>
            </w:tcMar>
            <w:vAlign w:val="center"/>
          </w:tcPr>
          <w:p w14:paraId="5C2450CB" w14:textId="77777777" w:rsidR="00035316" w:rsidRDefault="00831B25">
            <w:pPr>
              <w:snapToGrid w:val="0"/>
              <w:jc w:val="center"/>
              <w:rPr>
                <w:rFonts w:ascii="宋体"/>
                <w:sz w:val="24"/>
              </w:rPr>
            </w:pPr>
            <w:r>
              <w:rPr>
                <w:rFonts w:ascii="宋体" w:hAnsi="宋体"/>
                <w:sz w:val="24"/>
              </w:rPr>
              <w:t>25.30 GiB</w:t>
            </w:r>
          </w:p>
        </w:tc>
        <w:tc>
          <w:tcPr>
            <w:tcW w:w="3024" w:type="dxa"/>
            <w:tcBorders>
              <w:top w:val="nil"/>
              <w:left w:val="nil"/>
              <w:bottom w:val="nil"/>
              <w:right w:val="nil"/>
            </w:tcBorders>
            <w:tcMar>
              <w:top w:w="-1" w:type="dxa"/>
              <w:left w:w="-1" w:type="dxa"/>
              <w:bottom w:w="-1" w:type="dxa"/>
              <w:right w:w="-1" w:type="dxa"/>
            </w:tcMar>
            <w:vAlign w:val="center"/>
          </w:tcPr>
          <w:p w14:paraId="783C665E" w14:textId="77777777" w:rsidR="00035316" w:rsidRDefault="00831B25">
            <w:pPr>
              <w:snapToGrid w:val="0"/>
              <w:jc w:val="center"/>
              <w:rPr>
                <w:rFonts w:ascii="宋体"/>
                <w:sz w:val="24"/>
              </w:rPr>
            </w:pPr>
            <w:r>
              <w:rPr>
                <w:rFonts w:ascii="宋体" w:hAnsi="宋体"/>
                <w:sz w:val="24"/>
              </w:rPr>
              <w:t>同配置重测口径</w:t>
            </w:r>
          </w:p>
        </w:tc>
      </w:tr>
      <w:tr w:rsidR="00035316" w14:paraId="1E188453" w14:textId="77777777">
        <w:trPr>
          <w:jc w:val="center"/>
        </w:trPr>
        <w:tc>
          <w:tcPr>
            <w:tcW w:w="3271" w:type="dxa"/>
            <w:tcBorders>
              <w:top w:val="nil"/>
              <w:left w:val="nil"/>
              <w:bottom w:val="single" w:sz="12" w:space="0" w:color="auto"/>
              <w:right w:val="nil"/>
            </w:tcBorders>
            <w:tcMar>
              <w:top w:w="-1" w:type="dxa"/>
              <w:left w:w="-1" w:type="dxa"/>
              <w:bottom w:w="-1" w:type="dxa"/>
              <w:right w:w="-1" w:type="dxa"/>
            </w:tcMar>
            <w:vAlign w:val="center"/>
          </w:tcPr>
          <w:p w14:paraId="0EEA254F" w14:textId="77777777" w:rsidR="00035316" w:rsidRDefault="00831B25">
            <w:pPr>
              <w:snapToGrid w:val="0"/>
              <w:jc w:val="center"/>
              <w:rPr>
                <w:rFonts w:ascii="宋体"/>
                <w:sz w:val="24"/>
              </w:rPr>
            </w:pPr>
            <w:r>
              <w:rPr>
                <w:rFonts w:ascii="宋体" w:hAnsi="宋体"/>
                <w:sz w:val="24"/>
              </w:rPr>
              <w:t>参数规模保留比例</w:t>
            </w:r>
          </w:p>
        </w:tc>
        <w:tc>
          <w:tcPr>
            <w:tcW w:w="2525" w:type="dxa"/>
            <w:tcBorders>
              <w:top w:val="nil"/>
              <w:left w:val="nil"/>
              <w:bottom w:val="single" w:sz="12" w:space="0" w:color="auto"/>
              <w:right w:val="nil"/>
            </w:tcBorders>
            <w:tcMar>
              <w:top w:w="-1" w:type="dxa"/>
              <w:left w:w="-1" w:type="dxa"/>
              <w:bottom w:w="-1" w:type="dxa"/>
              <w:right w:w="-1" w:type="dxa"/>
            </w:tcMar>
            <w:vAlign w:val="center"/>
          </w:tcPr>
          <w:p w14:paraId="47A604B1" w14:textId="77777777" w:rsidR="00035316" w:rsidRDefault="00831B25">
            <w:pPr>
              <w:snapToGrid w:val="0"/>
              <w:jc w:val="center"/>
              <w:rPr>
                <w:rFonts w:ascii="宋体"/>
                <w:sz w:val="24"/>
              </w:rPr>
            </w:pPr>
            <w:r>
              <w:rPr>
                <w:rFonts w:ascii="宋体" w:hAnsi="宋体"/>
                <w:sz w:val="24"/>
              </w:rPr>
              <w:t>68.39%</w:t>
            </w:r>
          </w:p>
        </w:tc>
        <w:tc>
          <w:tcPr>
            <w:tcW w:w="3024" w:type="dxa"/>
            <w:tcBorders>
              <w:top w:val="nil"/>
              <w:left w:val="nil"/>
              <w:bottom w:val="single" w:sz="12" w:space="0" w:color="auto"/>
              <w:right w:val="nil"/>
            </w:tcBorders>
            <w:tcMar>
              <w:top w:w="-1" w:type="dxa"/>
              <w:left w:w="-1" w:type="dxa"/>
              <w:bottom w:w="-1" w:type="dxa"/>
              <w:right w:w="-1" w:type="dxa"/>
            </w:tcMar>
            <w:vAlign w:val="center"/>
          </w:tcPr>
          <w:p w14:paraId="470ECE98" w14:textId="77777777" w:rsidR="00035316" w:rsidRDefault="00831B25">
            <w:pPr>
              <w:snapToGrid w:val="0"/>
              <w:jc w:val="center"/>
              <w:rPr>
                <w:rFonts w:ascii="宋体"/>
                <w:sz w:val="24"/>
              </w:rPr>
            </w:pPr>
            <w:r>
              <w:rPr>
                <w:rFonts w:ascii="宋体" w:hAnsi="宋体"/>
                <w:sz w:val="24"/>
              </w:rPr>
              <w:t>体现低秩压缩收益</w:t>
            </w:r>
          </w:p>
        </w:tc>
      </w:tr>
    </w:tbl>
    <w:p w14:paraId="2D99153B" w14:textId="77777777" w:rsidR="00035316" w:rsidRDefault="00831B25">
      <w:pPr>
        <w:spacing w:line="360" w:lineRule="auto"/>
        <w:ind w:firstLine="480"/>
      </w:pPr>
      <w:r>
        <w:rPr>
          <w:rFonts w:ascii="宋体" w:hAnsi="宋体"/>
          <w:sz w:val="24"/>
        </w:rPr>
        <w:t>金融部分仅承担方法迁移性与极端输入稳定性验证职责，不作为与医疗并列的独立交付场景。其价值在于：在不改变安全运行链基本结构的前提下，验证控制面、动态路由与安全执行语义在另一类高敏感任务中的边界表现，从而证明本作品的工程设计并非只对单一数据分布有效。</w:t>
      </w:r>
    </w:p>
    <w:p w14:paraId="64D0514C" w14:textId="77777777" w:rsidR="00035316" w:rsidRDefault="00831B25">
      <w:pPr>
        <w:spacing w:line="360" w:lineRule="auto"/>
        <w:outlineLvl w:val="1"/>
        <w:rPr>
          <w:rFonts w:ascii="黑体" w:eastAsia="黑体" w:hAnsi="黑体" w:hint="eastAsia"/>
          <w:b/>
          <w:sz w:val="24"/>
        </w:rPr>
      </w:pPr>
      <w:bookmarkStart w:id="56" w:name="Transshield_TOC_section_4_6"/>
      <w:bookmarkStart w:id="57" w:name="_Toc230989561"/>
      <w:r>
        <w:rPr>
          <w:rFonts w:ascii="黑体" w:eastAsia="黑体" w:hAnsi="黑体"/>
          <w:b/>
          <w:sz w:val="24"/>
        </w:rPr>
        <w:t>4.6 协议层异常输入与鲁棒性验证</w:t>
      </w:r>
      <w:bookmarkEnd w:id="56"/>
      <w:bookmarkEnd w:id="57"/>
    </w:p>
    <w:p w14:paraId="26CBBAC9" w14:textId="77777777" w:rsidR="00035316" w:rsidRDefault="00831B25">
      <w:pPr>
        <w:spacing w:line="360" w:lineRule="auto"/>
        <w:ind w:firstLine="480"/>
        <w:rPr>
          <w:rFonts w:ascii="宋体" w:hAnsi="宋体" w:cs="宋体" w:hint="eastAsia"/>
          <w:sz w:val="24"/>
        </w:rPr>
      </w:pPr>
      <w:r>
        <w:rPr>
          <w:rFonts w:ascii="宋体" w:hAnsi="宋体"/>
          <w:sz w:val="24"/>
        </w:rPr>
        <w:t>鲁棒性验证采用穷举边缘分支矩阵，而不是以单一拦截率概括系统表现。协议层测试覆盖分块传输编码（Transfer-Encoding: chunked）、超大报文长度声明（Content-Length）、boundary 参数混淆、重复字段、畸形分片报文头、空字节注入、非空尾部附加数据、UTF-16 编码结构化元数据、超长结构化元数据以及截断请求体；控制面测试覆盖随机一次性标识（Nonce）并发重放、相同载荷更换 Nonce、同一来源地址并发占满与短窗限频。每个用例均记录首个拦截层、兜底层级、返回处置与资源状态回落摘要，以同时证明拦截有效性与系统可服务性。</w:t>
      </w:r>
      <w:r>
        <w:rPr>
          <w:rFonts w:ascii="宋体" w:hAnsi="宋体" w:cs="宋体"/>
          <w:sz w:val="24"/>
        </w:rPr>
        <w:t xml:space="preserve">协议层与控制面鲁棒性验证的整体统计结果如表 </w:t>
      </w:r>
      <w:r>
        <w:rPr>
          <w:rFonts w:ascii="宋体" w:hAnsi="宋体" w:cs="宋体" w:hint="eastAsia"/>
          <w:sz w:val="24"/>
        </w:rPr>
        <w:t>11</w:t>
      </w:r>
      <w:r>
        <w:rPr>
          <w:rFonts w:ascii="宋体" w:hAnsi="宋体" w:cs="宋体"/>
          <w:sz w:val="24"/>
        </w:rPr>
        <w:t xml:space="preserve"> 所示。</w:t>
      </w:r>
    </w:p>
    <w:p w14:paraId="70C97341" w14:textId="77777777" w:rsidR="00407270" w:rsidRDefault="009543CE">
      <w:pPr>
        <w:spacing w:line="360" w:lineRule="auto"/>
        <w:ind w:firstLine="480"/>
        <w:rPr>
          <w:rFonts w:ascii="宋体" w:hAnsi="宋体" w:hint="eastAsia"/>
          <w:sz w:val="24"/>
        </w:rPr>
      </w:pPr>
      <w:r>
        <w:rPr>
          <w:rFonts w:ascii="宋体" w:hAnsi="宋体"/>
        </w:rPr>
        <w:t>进一步看，这 17 类用例并非随机堆叠，而是覆盖了三类不同风险来源。第一类是协议语法层异常，例如 boundary 混淆、重复字段和截断请求体，用于验证原始报文解析与 MIME 结构树是否稳健；第二类是语义与张量层异常，例如 UTF-16 元数据、超长 JSON 和异常 share 载荷，用于验证结构化解析、哈希校验与张量快检是否联动；第三类是运行状态层异常，例如 nonce 重放、相同载荷更换 nonce 与来源地址并发占满，用于验证重放、限频和 inflight 守卫是否真正起效。因而，本节的价值不只在于“17/17 命中”，更在于各层拦截责任被清楚地区分出来。</w:t>
      </w:r>
    </w:p>
    <w:p w14:paraId="7B577454" w14:textId="77777777" w:rsidR="00B52F25" w:rsidRDefault="00FF347E">
      <w:pPr>
        <w:spacing w:line="360" w:lineRule="auto"/>
        <w:ind w:firstLine="480"/>
        <w:rPr>
          <w:rFonts w:ascii="宋体" w:hAnsi="宋体" w:hint="eastAsia"/>
          <w:sz w:val="24"/>
        </w:rPr>
      </w:pPr>
      <w:r>
        <w:rPr>
          <w:rFonts w:ascii="宋体" w:hAnsi="宋体"/>
        </w:rPr>
        <w:t>之所以同时观察 ΔFD、ΔSock、ΔRSS 和 ΔThr 四类资源指标，是因为它们分别对应文件句柄、网络句柄、常驻内存与线程占用四个最容易在异常输入压力下失衡的资源面向。对当前原型而言，这组指标不能证明“绝对无资源成本”，但足以证明异常处理完成后是否出现持续泄漏、是否存在无法回落的占用，以及是否需要把某类请求进一步前移阻断。也正因此，本作品在这一节中坚持使用“资源状态回落”而不是“零资源影响”作为结论表述。</w:t>
      </w:r>
    </w:p>
    <w:p w14:paraId="6516B41F" w14:textId="77777777" w:rsidR="00035316" w:rsidRDefault="00831B25">
      <w:pPr>
        <w:spacing w:line="360" w:lineRule="auto"/>
        <w:ind w:firstLine="480"/>
        <w:jc w:val="center"/>
        <w:rPr>
          <w:rFonts w:ascii="宋体" w:hAnsi="宋体" w:hint="eastAsia"/>
          <w:sz w:val="24"/>
        </w:rPr>
      </w:pPr>
      <w:r>
        <w:rPr>
          <w:rFonts w:ascii="宋体" w:hAnsi="宋体" w:cs="宋体"/>
          <w:sz w:val="24"/>
        </w:rPr>
        <w:t xml:space="preserve">表 </w:t>
      </w:r>
      <w:r>
        <w:rPr>
          <w:rFonts w:ascii="宋体" w:hAnsi="宋体" w:cs="宋体" w:hint="eastAsia"/>
          <w:sz w:val="24"/>
        </w:rPr>
        <w:t xml:space="preserve">11 </w:t>
      </w:r>
      <w:r>
        <w:rPr>
          <w:rFonts w:ascii="宋体" w:hAnsi="宋体" w:cs="宋体"/>
          <w:sz w:val="24"/>
        </w:rPr>
        <w:t>协议层与控制面鲁棒性验证统计</w:t>
      </w:r>
    </w:p>
    <w:tbl>
      <w:tblPr>
        <w:tblW w:w="5509" w:type="pct"/>
        <w:jc w:val="center"/>
        <w:tblLook w:val="04A0" w:firstRow="1" w:lastRow="0" w:firstColumn="1" w:lastColumn="0" w:noHBand="0" w:noVBand="1"/>
      </w:tblPr>
      <w:tblGrid>
        <w:gridCol w:w="1427"/>
        <w:gridCol w:w="645"/>
        <w:gridCol w:w="1069"/>
        <w:gridCol w:w="1776"/>
        <w:gridCol w:w="1693"/>
        <w:gridCol w:w="3108"/>
      </w:tblGrid>
      <w:tr w:rsidR="00035316" w14:paraId="2D69E5A0" w14:textId="77777777">
        <w:trPr>
          <w:tblHeader/>
          <w:jc w:val="center"/>
        </w:trPr>
        <w:tc>
          <w:tcPr>
            <w:tcW w:w="733" w:type="pct"/>
            <w:tcBorders>
              <w:top w:val="single" w:sz="12" w:space="0" w:color="auto"/>
              <w:left w:val="nil"/>
              <w:bottom w:val="nil"/>
              <w:right w:val="nil"/>
            </w:tcBorders>
            <w:tcMar>
              <w:top w:w="-1" w:type="dxa"/>
              <w:left w:w="-1" w:type="dxa"/>
              <w:bottom w:w="-1" w:type="dxa"/>
              <w:right w:w="-1" w:type="dxa"/>
            </w:tcMar>
            <w:vAlign w:val="center"/>
          </w:tcPr>
          <w:p w14:paraId="330901F9" w14:textId="77777777" w:rsidR="00035316" w:rsidRDefault="00831B25">
            <w:pPr>
              <w:snapToGrid w:val="0"/>
              <w:jc w:val="center"/>
              <w:rPr>
                <w:rFonts w:ascii="宋体"/>
                <w:b/>
                <w:sz w:val="24"/>
              </w:rPr>
            </w:pPr>
            <w:r>
              <w:rPr>
                <w:rFonts w:ascii="宋体" w:hAnsi="宋体"/>
                <w:b/>
                <w:sz w:val="24"/>
              </w:rPr>
              <w:t>测试组</w:t>
            </w:r>
          </w:p>
        </w:tc>
        <w:tc>
          <w:tcPr>
            <w:tcW w:w="332" w:type="pct"/>
            <w:tcBorders>
              <w:top w:val="single" w:sz="12" w:space="0" w:color="auto"/>
              <w:left w:val="nil"/>
              <w:bottom w:val="nil"/>
              <w:right w:val="nil"/>
            </w:tcBorders>
            <w:tcMar>
              <w:top w:w="-1" w:type="dxa"/>
              <w:left w:w="-1" w:type="dxa"/>
              <w:bottom w:w="-1" w:type="dxa"/>
              <w:right w:w="-1" w:type="dxa"/>
            </w:tcMar>
            <w:vAlign w:val="center"/>
          </w:tcPr>
          <w:p w14:paraId="7B9D78D5" w14:textId="77777777" w:rsidR="00035316" w:rsidRDefault="00831B25">
            <w:pPr>
              <w:snapToGrid w:val="0"/>
              <w:jc w:val="center"/>
              <w:rPr>
                <w:rFonts w:ascii="宋体"/>
                <w:b/>
                <w:sz w:val="24"/>
              </w:rPr>
            </w:pPr>
            <w:r>
              <w:rPr>
                <w:rFonts w:ascii="宋体" w:hAnsi="宋体"/>
                <w:b/>
                <w:sz w:val="24"/>
              </w:rPr>
              <w:t>用例数</w:t>
            </w:r>
          </w:p>
        </w:tc>
        <w:tc>
          <w:tcPr>
            <w:tcW w:w="550" w:type="pct"/>
            <w:tcBorders>
              <w:top w:val="single" w:sz="12" w:space="0" w:color="auto"/>
              <w:left w:val="nil"/>
              <w:bottom w:val="nil"/>
              <w:right w:val="nil"/>
            </w:tcBorders>
            <w:tcMar>
              <w:top w:w="-1" w:type="dxa"/>
              <w:left w:w="-1" w:type="dxa"/>
              <w:bottom w:w="-1" w:type="dxa"/>
              <w:right w:w="-1" w:type="dxa"/>
            </w:tcMar>
            <w:vAlign w:val="center"/>
          </w:tcPr>
          <w:p w14:paraId="6331793D" w14:textId="77777777" w:rsidR="00035316" w:rsidRDefault="00831B25">
            <w:pPr>
              <w:snapToGrid w:val="0"/>
              <w:jc w:val="center"/>
              <w:rPr>
                <w:rFonts w:ascii="宋体"/>
                <w:b/>
                <w:sz w:val="24"/>
              </w:rPr>
            </w:pPr>
            <w:r>
              <w:rPr>
                <w:rFonts w:ascii="宋体" w:hAnsi="宋体"/>
                <w:b/>
                <w:sz w:val="24"/>
              </w:rPr>
              <w:t>按预期通过</w:t>
            </w:r>
          </w:p>
        </w:tc>
        <w:tc>
          <w:tcPr>
            <w:tcW w:w="913" w:type="pct"/>
            <w:tcBorders>
              <w:top w:val="single" w:sz="12" w:space="0" w:color="auto"/>
              <w:left w:val="nil"/>
              <w:bottom w:val="nil"/>
              <w:right w:val="nil"/>
            </w:tcBorders>
            <w:tcMar>
              <w:top w:w="-1" w:type="dxa"/>
              <w:left w:w="-1" w:type="dxa"/>
              <w:bottom w:w="-1" w:type="dxa"/>
              <w:right w:w="-1" w:type="dxa"/>
            </w:tcMar>
            <w:vAlign w:val="center"/>
          </w:tcPr>
          <w:p w14:paraId="7C050EB8" w14:textId="77777777" w:rsidR="00035316" w:rsidRDefault="00831B25">
            <w:pPr>
              <w:snapToGrid w:val="0"/>
              <w:jc w:val="center"/>
              <w:rPr>
                <w:rFonts w:ascii="宋体"/>
                <w:b/>
                <w:sz w:val="24"/>
              </w:rPr>
            </w:pPr>
            <w:r>
              <w:rPr>
                <w:rFonts w:ascii="宋体" w:hAnsi="宋体"/>
                <w:b/>
                <w:sz w:val="24"/>
              </w:rPr>
              <w:t>FD/Socket无泄漏</w:t>
            </w:r>
          </w:p>
        </w:tc>
        <w:tc>
          <w:tcPr>
            <w:tcW w:w="870" w:type="pct"/>
            <w:tcBorders>
              <w:top w:val="single" w:sz="12" w:space="0" w:color="auto"/>
              <w:left w:val="nil"/>
              <w:bottom w:val="nil"/>
              <w:right w:val="nil"/>
            </w:tcBorders>
            <w:tcMar>
              <w:top w:w="-1" w:type="dxa"/>
              <w:left w:w="-1" w:type="dxa"/>
              <w:bottom w:w="-1" w:type="dxa"/>
              <w:right w:w="-1" w:type="dxa"/>
            </w:tcMar>
            <w:vAlign w:val="center"/>
          </w:tcPr>
          <w:p w14:paraId="6912A8D2" w14:textId="77777777" w:rsidR="00035316" w:rsidRDefault="00831B25">
            <w:pPr>
              <w:snapToGrid w:val="0"/>
              <w:jc w:val="center"/>
              <w:rPr>
                <w:rFonts w:ascii="宋体"/>
                <w:b/>
                <w:sz w:val="24"/>
              </w:rPr>
            </w:pPr>
            <w:r>
              <w:rPr>
                <w:rFonts w:ascii="宋体" w:hAnsi="宋体"/>
                <w:b/>
                <w:sz w:val="24"/>
              </w:rPr>
              <w:t>稳态回落用例</w:t>
            </w:r>
          </w:p>
        </w:tc>
        <w:tc>
          <w:tcPr>
            <w:tcW w:w="1598" w:type="pct"/>
            <w:tcBorders>
              <w:top w:val="single" w:sz="12" w:space="0" w:color="auto"/>
              <w:left w:val="nil"/>
              <w:bottom w:val="nil"/>
              <w:right w:val="nil"/>
            </w:tcBorders>
            <w:tcMar>
              <w:top w:w="-1" w:type="dxa"/>
              <w:left w:w="-1" w:type="dxa"/>
              <w:bottom w:w="-1" w:type="dxa"/>
              <w:right w:w="-1" w:type="dxa"/>
            </w:tcMar>
            <w:vAlign w:val="center"/>
          </w:tcPr>
          <w:p w14:paraId="0BE3636C" w14:textId="77777777" w:rsidR="00035316" w:rsidRDefault="00831B25">
            <w:pPr>
              <w:snapToGrid w:val="0"/>
              <w:jc w:val="center"/>
              <w:rPr>
                <w:rFonts w:ascii="宋体"/>
                <w:b/>
                <w:sz w:val="24"/>
              </w:rPr>
            </w:pPr>
            <w:r>
              <w:rPr>
                <w:rFonts w:ascii="宋体" w:hAnsi="宋体"/>
                <w:b/>
                <w:sz w:val="24"/>
              </w:rPr>
              <w:t>证据文件</w:t>
            </w:r>
          </w:p>
        </w:tc>
      </w:tr>
      <w:tr w:rsidR="00035316" w14:paraId="3A176DE4" w14:textId="77777777">
        <w:trPr>
          <w:jc w:val="center"/>
        </w:trPr>
        <w:tc>
          <w:tcPr>
            <w:tcW w:w="733" w:type="pct"/>
            <w:tcBorders>
              <w:top w:val="single" w:sz="4" w:space="0" w:color="auto"/>
              <w:left w:val="nil"/>
              <w:bottom w:val="nil"/>
              <w:right w:val="nil"/>
            </w:tcBorders>
            <w:tcMar>
              <w:top w:w="-1" w:type="dxa"/>
              <w:left w:w="-1" w:type="dxa"/>
              <w:bottom w:w="-1" w:type="dxa"/>
              <w:right w:w="-1" w:type="dxa"/>
            </w:tcMar>
            <w:vAlign w:val="center"/>
          </w:tcPr>
          <w:p w14:paraId="529AF83A" w14:textId="77777777" w:rsidR="00035316" w:rsidRDefault="00831B25">
            <w:pPr>
              <w:snapToGrid w:val="0"/>
              <w:jc w:val="center"/>
              <w:rPr>
                <w:rFonts w:ascii="宋体"/>
                <w:sz w:val="24"/>
              </w:rPr>
            </w:pPr>
            <w:r>
              <w:rPr>
                <w:rFonts w:ascii="宋体" w:hAnsi="宋体"/>
                <w:sz w:val="24"/>
              </w:rPr>
              <w:t>协议层异常输入</w:t>
            </w:r>
          </w:p>
        </w:tc>
        <w:tc>
          <w:tcPr>
            <w:tcW w:w="332" w:type="pct"/>
            <w:tcBorders>
              <w:top w:val="single" w:sz="4" w:space="0" w:color="auto"/>
              <w:left w:val="nil"/>
              <w:bottom w:val="nil"/>
              <w:right w:val="nil"/>
            </w:tcBorders>
            <w:tcMar>
              <w:top w:w="-1" w:type="dxa"/>
              <w:left w:w="-1" w:type="dxa"/>
              <w:bottom w:w="-1" w:type="dxa"/>
              <w:right w:w="-1" w:type="dxa"/>
            </w:tcMar>
            <w:vAlign w:val="center"/>
          </w:tcPr>
          <w:p w14:paraId="1E319F64" w14:textId="77777777" w:rsidR="00035316" w:rsidRDefault="00831B25">
            <w:pPr>
              <w:snapToGrid w:val="0"/>
              <w:jc w:val="left"/>
              <w:rPr>
                <w:rFonts w:ascii="宋体"/>
                <w:sz w:val="24"/>
              </w:rPr>
            </w:pPr>
            <w:r>
              <w:rPr>
                <w:rFonts w:ascii="宋体" w:hAnsi="宋体"/>
                <w:sz w:val="24"/>
              </w:rPr>
              <w:t>13</w:t>
            </w:r>
          </w:p>
        </w:tc>
        <w:tc>
          <w:tcPr>
            <w:tcW w:w="550" w:type="pct"/>
            <w:tcBorders>
              <w:top w:val="single" w:sz="4" w:space="0" w:color="auto"/>
              <w:left w:val="nil"/>
              <w:bottom w:val="nil"/>
              <w:right w:val="nil"/>
            </w:tcBorders>
            <w:tcMar>
              <w:top w:w="-1" w:type="dxa"/>
              <w:left w:w="-1" w:type="dxa"/>
              <w:bottom w:w="-1" w:type="dxa"/>
              <w:right w:w="-1" w:type="dxa"/>
            </w:tcMar>
            <w:vAlign w:val="center"/>
          </w:tcPr>
          <w:p w14:paraId="70BC7C64" w14:textId="77777777" w:rsidR="00035316" w:rsidRDefault="00831B25">
            <w:pPr>
              <w:snapToGrid w:val="0"/>
              <w:jc w:val="center"/>
              <w:rPr>
                <w:rFonts w:ascii="宋体"/>
                <w:sz w:val="24"/>
              </w:rPr>
            </w:pPr>
            <w:r>
              <w:rPr>
                <w:rFonts w:ascii="宋体" w:hAnsi="宋体"/>
                <w:sz w:val="24"/>
              </w:rPr>
              <w:t>13 / 13</w:t>
            </w:r>
          </w:p>
        </w:tc>
        <w:tc>
          <w:tcPr>
            <w:tcW w:w="913" w:type="pct"/>
            <w:tcBorders>
              <w:top w:val="single" w:sz="4" w:space="0" w:color="auto"/>
              <w:left w:val="nil"/>
              <w:bottom w:val="nil"/>
              <w:right w:val="nil"/>
            </w:tcBorders>
            <w:tcMar>
              <w:top w:w="-1" w:type="dxa"/>
              <w:left w:w="-1" w:type="dxa"/>
              <w:bottom w:w="-1" w:type="dxa"/>
              <w:right w:w="-1" w:type="dxa"/>
            </w:tcMar>
            <w:vAlign w:val="center"/>
          </w:tcPr>
          <w:p w14:paraId="09FD09F5" w14:textId="77777777" w:rsidR="00035316" w:rsidRDefault="00831B25">
            <w:pPr>
              <w:snapToGrid w:val="0"/>
              <w:jc w:val="center"/>
              <w:rPr>
                <w:rFonts w:ascii="宋体"/>
                <w:sz w:val="24"/>
              </w:rPr>
            </w:pPr>
            <w:r>
              <w:rPr>
                <w:rFonts w:ascii="宋体" w:hAnsi="宋体"/>
                <w:sz w:val="24"/>
              </w:rPr>
              <w:t>13 / 13</w:t>
            </w:r>
          </w:p>
        </w:tc>
        <w:tc>
          <w:tcPr>
            <w:tcW w:w="870" w:type="pct"/>
            <w:tcBorders>
              <w:top w:val="single" w:sz="4" w:space="0" w:color="auto"/>
              <w:left w:val="nil"/>
              <w:bottom w:val="nil"/>
              <w:right w:val="nil"/>
            </w:tcBorders>
            <w:tcMar>
              <w:top w:w="-1" w:type="dxa"/>
              <w:left w:w="-1" w:type="dxa"/>
              <w:bottom w:w="-1" w:type="dxa"/>
              <w:right w:w="-1" w:type="dxa"/>
            </w:tcMar>
            <w:vAlign w:val="center"/>
          </w:tcPr>
          <w:p w14:paraId="4B73B8C5" w14:textId="77777777" w:rsidR="00035316" w:rsidRDefault="00831B25">
            <w:pPr>
              <w:snapToGrid w:val="0"/>
              <w:jc w:val="center"/>
              <w:rPr>
                <w:rFonts w:ascii="宋体"/>
                <w:sz w:val="24"/>
              </w:rPr>
            </w:pPr>
            <w:r>
              <w:rPr>
                <w:rFonts w:ascii="宋体" w:hAnsi="宋体"/>
                <w:sz w:val="24"/>
              </w:rPr>
              <w:t>11 / 13</w:t>
            </w:r>
          </w:p>
        </w:tc>
        <w:tc>
          <w:tcPr>
            <w:tcW w:w="1598" w:type="pct"/>
            <w:tcBorders>
              <w:top w:val="single" w:sz="4" w:space="0" w:color="auto"/>
              <w:left w:val="nil"/>
              <w:bottom w:val="nil"/>
              <w:right w:val="nil"/>
            </w:tcBorders>
            <w:tcMar>
              <w:top w:w="-1" w:type="dxa"/>
              <w:left w:w="-1" w:type="dxa"/>
              <w:bottom w:w="-1" w:type="dxa"/>
              <w:right w:w="-1" w:type="dxa"/>
            </w:tcMar>
            <w:vAlign w:val="center"/>
          </w:tcPr>
          <w:p w14:paraId="31844352" w14:textId="77777777" w:rsidR="00035316" w:rsidRDefault="00831B25">
            <w:pPr>
              <w:snapToGrid w:val="0"/>
              <w:jc w:val="center"/>
              <w:rPr>
                <w:rFonts w:ascii="宋体"/>
                <w:sz w:val="24"/>
              </w:rPr>
            </w:pPr>
            <w:r>
              <w:rPr>
                <w:rFonts w:ascii="宋体" w:hAnsi="宋体"/>
                <w:sz w:val="24"/>
              </w:rPr>
              <w:t>协议异常输入验证记录</w:t>
            </w:r>
          </w:p>
        </w:tc>
      </w:tr>
      <w:tr w:rsidR="00035316" w14:paraId="1DCC16B0" w14:textId="77777777">
        <w:trPr>
          <w:jc w:val="center"/>
        </w:trPr>
        <w:tc>
          <w:tcPr>
            <w:tcW w:w="733" w:type="pct"/>
            <w:tcBorders>
              <w:top w:val="nil"/>
              <w:left w:val="nil"/>
              <w:bottom w:val="nil"/>
              <w:right w:val="nil"/>
            </w:tcBorders>
            <w:tcMar>
              <w:top w:w="-1" w:type="dxa"/>
              <w:left w:w="-1" w:type="dxa"/>
              <w:bottom w:w="-1" w:type="dxa"/>
              <w:right w:w="-1" w:type="dxa"/>
            </w:tcMar>
            <w:vAlign w:val="center"/>
          </w:tcPr>
          <w:p w14:paraId="2FDF9A26" w14:textId="77777777" w:rsidR="00035316" w:rsidRDefault="00831B25">
            <w:pPr>
              <w:snapToGrid w:val="0"/>
              <w:jc w:val="center"/>
              <w:rPr>
                <w:rFonts w:ascii="宋体"/>
                <w:sz w:val="24"/>
              </w:rPr>
            </w:pPr>
            <w:r>
              <w:rPr>
                <w:rFonts w:ascii="宋体" w:hAnsi="宋体"/>
                <w:sz w:val="24"/>
              </w:rPr>
              <w:t>控制面守卫</w:t>
            </w:r>
          </w:p>
        </w:tc>
        <w:tc>
          <w:tcPr>
            <w:tcW w:w="332" w:type="pct"/>
            <w:tcBorders>
              <w:top w:val="nil"/>
              <w:left w:val="nil"/>
              <w:bottom w:val="nil"/>
              <w:right w:val="nil"/>
            </w:tcBorders>
            <w:tcMar>
              <w:top w:w="-1" w:type="dxa"/>
              <w:left w:w="-1" w:type="dxa"/>
              <w:bottom w:w="-1" w:type="dxa"/>
              <w:right w:w="-1" w:type="dxa"/>
            </w:tcMar>
            <w:vAlign w:val="center"/>
          </w:tcPr>
          <w:p w14:paraId="302960DF" w14:textId="77777777" w:rsidR="00035316" w:rsidRDefault="00831B25">
            <w:pPr>
              <w:snapToGrid w:val="0"/>
              <w:jc w:val="left"/>
              <w:rPr>
                <w:rFonts w:ascii="宋体"/>
                <w:sz w:val="24"/>
              </w:rPr>
            </w:pPr>
            <w:r>
              <w:rPr>
                <w:rFonts w:ascii="宋体" w:hAnsi="宋体"/>
                <w:sz w:val="24"/>
              </w:rPr>
              <w:t>4</w:t>
            </w:r>
          </w:p>
        </w:tc>
        <w:tc>
          <w:tcPr>
            <w:tcW w:w="550" w:type="pct"/>
            <w:tcBorders>
              <w:top w:val="nil"/>
              <w:left w:val="nil"/>
              <w:bottom w:val="nil"/>
              <w:right w:val="nil"/>
            </w:tcBorders>
            <w:tcMar>
              <w:top w:w="-1" w:type="dxa"/>
              <w:left w:w="-1" w:type="dxa"/>
              <w:bottom w:w="-1" w:type="dxa"/>
              <w:right w:w="-1" w:type="dxa"/>
            </w:tcMar>
            <w:vAlign w:val="center"/>
          </w:tcPr>
          <w:p w14:paraId="3E762646" w14:textId="77777777" w:rsidR="00035316" w:rsidRDefault="00831B25">
            <w:pPr>
              <w:snapToGrid w:val="0"/>
              <w:jc w:val="center"/>
              <w:rPr>
                <w:rFonts w:ascii="宋体"/>
                <w:sz w:val="24"/>
              </w:rPr>
            </w:pPr>
            <w:r>
              <w:rPr>
                <w:rFonts w:ascii="宋体" w:hAnsi="宋体"/>
                <w:sz w:val="24"/>
              </w:rPr>
              <w:t>4 / 4</w:t>
            </w:r>
          </w:p>
        </w:tc>
        <w:tc>
          <w:tcPr>
            <w:tcW w:w="913" w:type="pct"/>
            <w:tcBorders>
              <w:top w:val="nil"/>
              <w:left w:val="nil"/>
              <w:bottom w:val="nil"/>
              <w:right w:val="nil"/>
            </w:tcBorders>
            <w:tcMar>
              <w:top w:w="-1" w:type="dxa"/>
              <w:left w:w="-1" w:type="dxa"/>
              <w:bottom w:w="-1" w:type="dxa"/>
              <w:right w:w="-1" w:type="dxa"/>
            </w:tcMar>
            <w:vAlign w:val="center"/>
          </w:tcPr>
          <w:p w14:paraId="55A72E69" w14:textId="77777777" w:rsidR="00035316" w:rsidRDefault="00831B25">
            <w:pPr>
              <w:snapToGrid w:val="0"/>
              <w:jc w:val="center"/>
              <w:rPr>
                <w:rFonts w:ascii="宋体"/>
                <w:sz w:val="24"/>
              </w:rPr>
            </w:pPr>
            <w:r>
              <w:rPr>
                <w:rFonts w:ascii="宋体" w:hAnsi="宋体"/>
                <w:sz w:val="24"/>
              </w:rPr>
              <w:t>4 / 4</w:t>
            </w:r>
          </w:p>
        </w:tc>
        <w:tc>
          <w:tcPr>
            <w:tcW w:w="870" w:type="pct"/>
            <w:tcBorders>
              <w:top w:val="nil"/>
              <w:left w:val="nil"/>
              <w:bottom w:val="nil"/>
              <w:right w:val="nil"/>
            </w:tcBorders>
            <w:tcMar>
              <w:top w:w="-1" w:type="dxa"/>
              <w:left w:w="-1" w:type="dxa"/>
              <w:bottom w:w="-1" w:type="dxa"/>
              <w:right w:w="-1" w:type="dxa"/>
            </w:tcMar>
            <w:vAlign w:val="center"/>
          </w:tcPr>
          <w:p w14:paraId="09AC49F7" w14:textId="77777777" w:rsidR="00035316" w:rsidRDefault="00831B25">
            <w:pPr>
              <w:snapToGrid w:val="0"/>
              <w:jc w:val="center"/>
              <w:rPr>
                <w:rFonts w:ascii="宋体"/>
                <w:sz w:val="24"/>
              </w:rPr>
            </w:pPr>
            <w:r>
              <w:rPr>
                <w:rFonts w:ascii="宋体" w:hAnsi="宋体"/>
                <w:sz w:val="24"/>
              </w:rPr>
              <w:t>1 / 4</w:t>
            </w:r>
          </w:p>
        </w:tc>
        <w:tc>
          <w:tcPr>
            <w:tcW w:w="1598" w:type="pct"/>
            <w:tcBorders>
              <w:top w:val="nil"/>
              <w:left w:val="nil"/>
              <w:bottom w:val="nil"/>
              <w:right w:val="nil"/>
            </w:tcBorders>
            <w:tcMar>
              <w:top w:w="-1" w:type="dxa"/>
              <w:left w:w="-1" w:type="dxa"/>
              <w:bottom w:w="-1" w:type="dxa"/>
              <w:right w:w="-1" w:type="dxa"/>
            </w:tcMar>
            <w:vAlign w:val="center"/>
          </w:tcPr>
          <w:p w14:paraId="319E37B6" w14:textId="77777777" w:rsidR="00035316" w:rsidRDefault="00831B25">
            <w:pPr>
              <w:snapToGrid w:val="0"/>
              <w:jc w:val="center"/>
              <w:rPr>
                <w:rFonts w:ascii="宋体"/>
                <w:sz w:val="24"/>
              </w:rPr>
            </w:pPr>
            <w:r>
              <w:rPr>
                <w:rFonts w:ascii="宋体" w:hAnsi="宋体"/>
                <w:sz w:val="24"/>
              </w:rPr>
              <w:t>控制面守卫验证记录</w:t>
            </w:r>
          </w:p>
        </w:tc>
      </w:tr>
      <w:tr w:rsidR="00035316" w14:paraId="49027DE3" w14:textId="77777777">
        <w:trPr>
          <w:jc w:val="center"/>
        </w:trPr>
        <w:tc>
          <w:tcPr>
            <w:tcW w:w="733" w:type="pct"/>
            <w:tcBorders>
              <w:top w:val="nil"/>
              <w:left w:val="nil"/>
              <w:bottom w:val="single" w:sz="12" w:space="0" w:color="auto"/>
              <w:right w:val="nil"/>
            </w:tcBorders>
            <w:tcMar>
              <w:top w:w="-1" w:type="dxa"/>
              <w:left w:w="-1" w:type="dxa"/>
              <w:bottom w:w="-1" w:type="dxa"/>
              <w:right w:w="-1" w:type="dxa"/>
            </w:tcMar>
            <w:vAlign w:val="center"/>
          </w:tcPr>
          <w:p w14:paraId="398F220C" w14:textId="77777777" w:rsidR="00035316" w:rsidRDefault="00831B25">
            <w:pPr>
              <w:snapToGrid w:val="0"/>
              <w:jc w:val="center"/>
              <w:rPr>
                <w:rFonts w:ascii="宋体"/>
                <w:b/>
                <w:sz w:val="24"/>
              </w:rPr>
            </w:pPr>
            <w:r>
              <w:rPr>
                <w:rFonts w:ascii="宋体" w:hAnsi="宋体"/>
                <w:b/>
                <w:sz w:val="24"/>
              </w:rPr>
              <w:t>合计</w:t>
            </w:r>
          </w:p>
        </w:tc>
        <w:tc>
          <w:tcPr>
            <w:tcW w:w="332" w:type="pct"/>
            <w:tcBorders>
              <w:top w:val="nil"/>
              <w:left w:val="nil"/>
              <w:bottom w:val="single" w:sz="12" w:space="0" w:color="auto"/>
              <w:right w:val="nil"/>
            </w:tcBorders>
            <w:tcMar>
              <w:top w:w="-1" w:type="dxa"/>
              <w:left w:w="-1" w:type="dxa"/>
              <w:bottom w:w="-1" w:type="dxa"/>
              <w:right w:w="-1" w:type="dxa"/>
            </w:tcMar>
            <w:vAlign w:val="center"/>
          </w:tcPr>
          <w:p w14:paraId="431A0478" w14:textId="77777777" w:rsidR="00035316" w:rsidRDefault="00831B25">
            <w:pPr>
              <w:snapToGrid w:val="0"/>
              <w:jc w:val="left"/>
              <w:rPr>
                <w:rFonts w:ascii="宋体"/>
                <w:b/>
                <w:sz w:val="24"/>
              </w:rPr>
            </w:pPr>
            <w:r>
              <w:rPr>
                <w:rFonts w:ascii="宋体" w:hAnsi="宋体"/>
                <w:b/>
                <w:sz w:val="24"/>
              </w:rPr>
              <w:t>17</w:t>
            </w:r>
          </w:p>
        </w:tc>
        <w:tc>
          <w:tcPr>
            <w:tcW w:w="550" w:type="pct"/>
            <w:tcBorders>
              <w:top w:val="nil"/>
              <w:left w:val="nil"/>
              <w:bottom w:val="single" w:sz="12" w:space="0" w:color="auto"/>
              <w:right w:val="nil"/>
            </w:tcBorders>
            <w:tcMar>
              <w:top w:w="-1" w:type="dxa"/>
              <w:left w:w="-1" w:type="dxa"/>
              <w:bottom w:w="-1" w:type="dxa"/>
              <w:right w:w="-1" w:type="dxa"/>
            </w:tcMar>
            <w:vAlign w:val="center"/>
          </w:tcPr>
          <w:p w14:paraId="582A4ED4" w14:textId="77777777" w:rsidR="00035316" w:rsidRDefault="00831B25">
            <w:pPr>
              <w:snapToGrid w:val="0"/>
              <w:jc w:val="center"/>
              <w:rPr>
                <w:rFonts w:ascii="宋体"/>
                <w:b/>
                <w:sz w:val="24"/>
              </w:rPr>
            </w:pPr>
            <w:r>
              <w:rPr>
                <w:rFonts w:ascii="宋体" w:hAnsi="宋体"/>
                <w:b/>
                <w:sz w:val="24"/>
              </w:rPr>
              <w:t>17 / 17</w:t>
            </w:r>
          </w:p>
        </w:tc>
        <w:tc>
          <w:tcPr>
            <w:tcW w:w="913" w:type="pct"/>
            <w:tcBorders>
              <w:top w:val="nil"/>
              <w:left w:val="nil"/>
              <w:bottom w:val="single" w:sz="12" w:space="0" w:color="auto"/>
              <w:right w:val="nil"/>
            </w:tcBorders>
            <w:tcMar>
              <w:top w:w="-1" w:type="dxa"/>
              <w:left w:w="-1" w:type="dxa"/>
              <w:bottom w:w="-1" w:type="dxa"/>
              <w:right w:w="-1" w:type="dxa"/>
            </w:tcMar>
            <w:vAlign w:val="center"/>
          </w:tcPr>
          <w:p w14:paraId="6A1EEFAF" w14:textId="77777777" w:rsidR="00035316" w:rsidRDefault="00831B25">
            <w:pPr>
              <w:snapToGrid w:val="0"/>
              <w:jc w:val="center"/>
              <w:rPr>
                <w:rFonts w:ascii="宋体"/>
                <w:b/>
                <w:sz w:val="24"/>
              </w:rPr>
            </w:pPr>
            <w:r>
              <w:rPr>
                <w:rFonts w:ascii="宋体" w:hAnsi="宋体"/>
                <w:b/>
                <w:sz w:val="24"/>
              </w:rPr>
              <w:t>17 / 17</w:t>
            </w:r>
          </w:p>
        </w:tc>
        <w:tc>
          <w:tcPr>
            <w:tcW w:w="870" w:type="pct"/>
            <w:tcBorders>
              <w:top w:val="nil"/>
              <w:left w:val="nil"/>
              <w:bottom w:val="single" w:sz="12" w:space="0" w:color="auto"/>
              <w:right w:val="nil"/>
            </w:tcBorders>
            <w:tcMar>
              <w:top w:w="-1" w:type="dxa"/>
              <w:left w:w="-1" w:type="dxa"/>
              <w:bottom w:w="-1" w:type="dxa"/>
              <w:right w:w="-1" w:type="dxa"/>
            </w:tcMar>
            <w:vAlign w:val="center"/>
          </w:tcPr>
          <w:p w14:paraId="3FDDF027" w14:textId="77777777" w:rsidR="00035316" w:rsidRDefault="00831B25">
            <w:pPr>
              <w:snapToGrid w:val="0"/>
              <w:jc w:val="center"/>
              <w:rPr>
                <w:rFonts w:ascii="宋体"/>
                <w:b/>
                <w:sz w:val="24"/>
              </w:rPr>
            </w:pPr>
            <w:r>
              <w:rPr>
                <w:rFonts w:ascii="宋体" w:hAnsi="宋体"/>
                <w:b/>
                <w:sz w:val="24"/>
              </w:rPr>
              <w:t>12 / 17</w:t>
            </w:r>
          </w:p>
        </w:tc>
        <w:tc>
          <w:tcPr>
            <w:tcW w:w="1598" w:type="pct"/>
            <w:tcBorders>
              <w:top w:val="nil"/>
              <w:left w:val="nil"/>
              <w:bottom w:val="single" w:sz="12" w:space="0" w:color="auto"/>
              <w:right w:val="nil"/>
            </w:tcBorders>
            <w:tcMar>
              <w:top w:w="-1" w:type="dxa"/>
              <w:left w:w="-1" w:type="dxa"/>
              <w:bottom w:w="-1" w:type="dxa"/>
              <w:right w:w="-1" w:type="dxa"/>
            </w:tcMar>
            <w:vAlign w:val="center"/>
          </w:tcPr>
          <w:p w14:paraId="4052F15E" w14:textId="77777777" w:rsidR="00035316" w:rsidRDefault="00831B25">
            <w:pPr>
              <w:snapToGrid w:val="0"/>
              <w:jc w:val="center"/>
              <w:rPr>
                <w:rFonts w:ascii="宋体"/>
                <w:b/>
                <w:sz w:val="24"/>
              </w:rPr>
            </w:pPr>
            <w:r>
              <w:rPr>
                <w:rFonts w:ascii="宋体" w:hAnsi="宋体"/>
                <w:b/>
                <w:sz w:val="24"/>
              </w:rPr>
              <w:t>汇总</w:t>
            </w:r>
          </w:p>
        </w:tc>
      </w:tr>
    </w:tbl>
    <w:p w14:paraId="7FA44607" w14:textId="77777777" w:rsidR="00035316" w:rsidRDefault="00831B25">
      <w:pPr>
        <w:spacing w:line="360" w:lineRule="auto"/>
        <w:ind w:firstLine="480"/>
      </w:pPr>
      <w:r>
        <w:rPr>
          <w:rFonts w:ascii="宋体" w:hAnsi="宋体"/>
          <w:sz w:val="24"/>
        </w:rPr>
        <w:t>从当前留存结果看，协议层异常输入与控制面守卫共覆盖 17 类黑盒用例，17/17 均返回预期拦截或限制结果；全部用例在采样窗口内均未观察到文件描述符或套接字文件描述符的净增长。与此同时，部分并发与大负载探针会带来瞬时常驻内存抬升，因此本作品将其如实记录为“资源成本存在但句柄未泄漏”，而不是将其包装为零成本防护。</w:t>
      </w:r>
    </w:p>
    <w:p w14:paraId="5C1F6F34" w14:textId="77777777" w:rsidR="00035316" w:rsidRDefault="00831B25">
      <w:pPr>
        <w:spacing w:line="360" w:lineRule="auto"/>
        <w:rPr>
          <w:rFonts w:ascii="宋体" w:hAnsi="宋体" w:cs="宋体" w:hint="eastAsia"/>
          <w:sz w:val="24"/>
        </w:rPr>
      </w:pPr>
      <w:r>
        <w:rPr>
          <w:rFonts w:ascii="宋体" w:hAnsi="宋体"/>
          <w:sz w:val="24"/>
        </w:rPr>
        <w:t>为适配 A4 版面，鲁棒性验证矩阵拆分为两张窄表：前表记录攻击特征与拦截链，后表记录返回处置、资源状态与证据来源；为便于对照阅读，第二张表重复给出“异常场景”列。其中，</w:t>
      </w:r>
      <m:oMath>
        <m:r>
          <w:rPr>
            <w:rFonts w:ascii="Cambria Math" w:hAnsi="Cambria Math"/>
          </w:rPr>
          <m:t>ΔFD</m:t>
        </m:r>
      </m:oMath>
      <w:r>
        <w:rPr>
          <w:rFonts w:ascii="宋体" w:hAnsi="宋体"/>
          <w:sz w:val="24"/>
        </w:rPr>
        <w:t>表示文件描述符数量变化，</w:t>
      </w:r>
      <m:oMath>
        <m:r>
          <w:rPr>
            <w:rFonts w:ascii="Cambria Math" w:hAnsi="Cambria Math"/>
          </w:rPr>
          <m:t>ΔSock</m:t>
        </m:r>
      </m:oMath>
      <w:r>
        <w:rPr>
          <w:rFonts w:ascii="宋体" w:hAnsi="宋体"/>
          <w:sz w:val="24"/>
        </w:rPr>
        <w:t>表示套接字文件描述符数量变化，</w:t>
      </w:r>
      <m:oMath>
        <m:r>
          <w:rPr>
            <w:rFonts w:ascii="Cambria Math" w:hAnsi="Cambria Math"/>
          </w:rPr>
          <m:t>ΔRSS</m:t>
        </m:r>
      </m:oMath>
      <w:r>
        <w:rPr>
          <w:rFonts w:ascii="宋体" w:hAnsi="宋体"/>
          <w:sz w:val="24"/>
        </w:rPr>
        <w:t>表示常驻内存变化，</w:t>
      </w:r>
      <m:oMath>
        <m:r>
          <w:rPr>
            <w:rFonts w:ascii="Cambria Math" w:hAnsi="Cambria Math"/>
          </w:rPr>
          <m:t>ΔThr</m:t>
        </m:r>
      </m:oMath>
      <w:r>
        <w:rPr>
          <w:rFonts w:ascii="宋体" w:hAnsi="宋体"/>
          <w:sz w:val="24"/>
        </w:rPr>
        <w:t>表示线程数变化，四项指标均按异常处理后观测值减去基线观测值计算。</w:t>
      </w:r>
      <w:r>
        <w:rPr>
          <w:rFonts w:ascii="宋体" w:hAnsi="宋体" w:cs="宋体"/>
          <w:sz w:val="24"/>
        </w:rPr>
        <w:t xml:space="preserve">各类异常场景的攻击特征与系统拦截层级明细如表 </w:t>
      </w:r>
      <w:r>
        <w:rPr>
          <w:rFonts w:ascii="宋体" w:hAnsi="宋体" w:cs="宋体" w:hint="eastAsia"/>
          <w:sz w:val="24"/>
        </w:rPr>
        <w:t>12</w:t>
      </w:r>
      <w:r>
        <w:rPr>
          <w:rFonts w:ascii="宋体" w:hAnsi="宋体" w:cs="宋体"/>
          <w:sz w:val="24"/>
        </w:rPr>
        <w:t xml:space="preserve"> 所示。对应异常场景的系统返回处置、资源状态与证据来源明细如</w:t>
      </w:r>
      <w:r>
        <w:rPr>
          <w:rFonts w:ascii="宋体" w:hAnsi="宋体" w:cs="宋体" w:hint="eastAsia"/>
          <w:sz w:val="24"/>
        </w:rPr>
        <w:t>表13</w:t>
      </w:r>
      <w:r>
        <w:rPr>
          <w:rFonts w:ascii="宋体" w:hAnsi="宋体" w:cs="宋体"/>
          <w:sz w:val="24"/>
        </w:rPr>
        <w:t>所示</w:t>
      </w:r>
    </w:p>
    <w:p w14:paraId="3CFA170D" w14:textId="77777777" w:rsidR="00035316" w:rsidRDefault="00831B25">
      <w:pPr>
        <w:spacing w:line="360" w:lineRule="auto"/>
        <w:ind w:firstLine="480"/>
        <w:jc w:val="center"/>
        <w:rPr>
          <w:rFonts w:ascii="宋体" w:hAnsi="宋体" w:cs="宋体" w:hint="eastAsia"/>
          <w:sz w:val="24"/>
        </w:rPr>
      </w:pPr>
      <w:r>
        <w:rPr>
          <w:rFonts w:ascii="宋体" w:hAnsi="宋体" w:cs="宋体"/>
          <w:sz w:val="24"/>
        </w:rPr>
        <w:t xml:space="preserve">表 </w:t>
      </w:r>
      <w:r>
        <w:rPr>
          <w:rFonts w:ascii="宋体" w:hAnsi="宋体" w:cs="宋体" w:hint="eastAsia"/>
          <w:sz w:val="24"/>
        </w:rPr>
        <w:t>12</w:t>
      </w:r>
      <w:r>
        <w:rPr>
          <w:rFonts w:ascii="宋体" w:hAnsi="宋体" w:cs="宋体"/>
          <w:sz w:val="24"/>
        </w:rPr>
        <w:t xml:space="preserve"> 异常场景攻击特征与拦截层级明细（上）</w:t>
      </w:r>
    </w:p>
    <w:tbl>
      <w:tblPr>
        <w:tblW w:w="8820" w:type="dxa"/>
        <w:jc w:val="center"/>
        <w:tblLook w:val="04A0" w:firstRow="1" w:lastRow="0" w:firstColumn="1" w:lastColumn="0" w:noHBand="0" w:noVBand="1"/>
      </w:tblPr>
      <w:tblGrid>
        <w:gridCol w:w="2069"/>
        <w:gridCol w:w="3181"/>
        <w:gridCol w:w="2106"/>
        <w:gridCol w:w="1464"/>
      </w:tblGrid>
      <w:tr w:rsidR="00035316" w14:paraId="75C6E004" w14:textId="77777777">
        <w:trPr>
          <w:tblHeader/>
          <w:jc w:val="center"/>
        </w:trPr>
        <w:tc>
          <w:tcPr>
            <w:tcW w:w="2069" w:type="dxa"/>
            <w:tcBorders>
              <w:top w:val="single" w:sz="12" w:space="0" w:color="auto"/>
              <w:left w:val="nil"/>
              <w:bottom w:val="nil"/>
              <w:right w:val="nil"/>
            </w:tcBorders>
            <w:tcMar>
              <w:top w:w="-1" w:type="dxa"/>
              <w:left w:w="-1" w:type="dxa"/>
              <w:bottom w:w="-1" w:type="dxa"/>
              <w:right w:w="-1" w:type="dxa"/>
            </w:tcMar>
            <w:vAlign w:val="center"/>
          </w:tcPr>
          <w:p w14:paraId="61531C8C" w14:textId="77777777" w:rsidR="00035316" w:rsidRDefault="00831B25">
            <w:pPr>
              <w:snapToGrid w:val="0"/>
              <w:jc w:val="center"/>
              <w:rPr>
                <w:rFonts w:ascii="宋体"/>
                <w:b/>
                <w:sz w:val="24"/>
              </w:rPr>
            </w:pPr>
            <w:r>
              <w:rPr>
                <w:rFonts w:ascii="宋体" w:hAnsi="宋体"/>
                <w:b/>
                <w:sz w:val="24"/>
              </w:rPr>
              <w:t>异常场景</w:t>
            </w:r>
          </w:p>
        </w:tc>
        <w:tc>
          <w:tcPr>
            <w:tcW w:w="3181" w:type="dxa"/>
            <w:tcBorders>
              <w:top w:val="single" w:sz="12" w:space="0" w:color="auto"/>
              <w:left w:val="nil"/>
              <w:bottom w:val="nil"/>
              <w:right w:val="nil"/>
            </w:tcBorders>
            <w:tcMar>
              <w:top w:w="-1" w:type="dxa"/>
              <w:left w:w="-1" w:type="dxa"/>
              <w:bottom w:w="-1" w:type="dxa"/>
              <w:right w:w="-1" w:type="dxa"/>
            </w:tcMar>
            <w:vAlign w:val="center"/>
          </w:tcPr>
          <w:p w14:paraId="4C7B03FF" w14:textId="77777777" w:rsidR="00035316" w:rsidRDefault="00831B25">
            <w:pPr>
              <w:snapToGrid w:val="0"/>
              <w:jc w:val="center"/>
              <w:rPr>
                <w:rFonts w:ascii="宋体"/>
                <w:b/>
                <w:sz w:val="24"/>
              </w:rPr>
            </w:pPr>
            <w:r>
              <w:rPr>
                <w:rFonts w:ascii="宋体" w:hAnsi="宋体"/>
                <w:b/>
                <w:sz w:val="24"/>
              </w:rPr>
              <w:t>攻击载荷特征</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6551F03" w14:textId="77777777" w:rsidR="00035316" w:rsidRDefault="00831B25">
            <w:pPr>
              <w:snapToGrid w:val="0"/>
              <w:jc w:val="center"/>
              <w:rPr>
                <w:rFonts w:ascii="宋体"/>
                <w:b/>
                <w:sz w:val="24"/>
              </w:rPr>
            </w:pPr>
            <w:r>
              <w:rPr>
                <w:rFonts w:ascii="宋体" w:hAnsi="宋体"/>
                <w:b/>
                <w:sz w:val="24"/>
              </w:rPr>
              <w:t>首个拦截层级</w:t>
            </w:r>
          </w:p>
        </w:tc>
        <w:tc>
          <w:tcPr>
            <w:tcW w:w="1464" w:type="dxa"/>
            <w:tcBorders>
              <w:top w:val="single" w:sz="12" w:space="0" w:color="auto"/>
              <w:left w:val="nil"/>
              <w:bottom w:val="nil"/>
              <w:right w:val="nil"/>
            </w:tcBorders>
            <w:tcMar>
              <w:top w:w="-1" w:type="dxa"/>
              <w:left w:w="-1" w:type="dxa"/>
              <w:bottom w:w="-1" w:type="dxa"/>
              <w:right w:w="-1" w:type="dxa"/>
            </w:tcMar>
            <w:vAlign w:val="center"/>
          </w:tcPr>
          <w:p w14:paraId="2A93739C" w14:textId="77777777" w:rsidR="00035316" w:rsidRDefault="00831B25">
            <w:pPr>
              <w:snapToGrid w:val="0"/>
              <w:jc w:val="center"/>
              <w:rPr>
                <w:rFonts w:ascii="宋体"/>
                <w:b/>
                <w:sz w:val="24"/>
              </w:rPr>
            </w:pPr>
            <w:r>
              <w:rPr>
                <w:rFonts w:ascii="宋体" w:hAnsi="宋体"/>
                <w:b/>
                <w:sz w:val="24"/>
              </w:rPr>
              <w:t>兜底层级</w:t>
            </w:r>
          </w:p>
        </w:tc>
      </w:tr>
      <w:tr w:rsidR="00035316" w14:paraId="6E7C0C4E" w14:textId="77777777">
        <w:trPr>
          <w:jc w:val="center"/>
        </w:trPr>
        <w:tc>
          <w:tcPr>
            <w:tcW w:w="2069" w:type="dxa"/>
            <w:tcBorders>
              <w:top w:val="single" w:sz="4" w:space="0" w:color="auto"/>
              <w:left w:val="nil"/>
              <w:bottom w:val="nil"/>
              <w:right w:val="nil"/>
            </w:tcBorders>
            <w:tcMar>
              <w:top w:w="-1" w:type="dxa"/>
              <w:left w:w="-1" w:type="dxa"/>
              <w:bottom w:w="-1" w:type="dxa"/>
              <w:right w:w="-1" w:type="dxa"/>
            </w:tcMar>
            <w:vAlign w:val="center"/>
          </w:tcPr>
          <w:p w14:paraId="698CEA11" w14:textId="77777777" w:rsidR="00035316" w:rsidRDefault="00831B25">
            <w:pPr>
              <w:snapToGrid w:val="0"/>
              <w:jc w:val="center"/>
              <w:rPr>
                <w:rFonts w:ascii="宋体"/>
                <w:sz w:val="24"/>
              </w:rPr>
            </w:pPr>
            <w:r>
              <w:rPr>
                <w:rFonts w:ascii="宋体" w:hAnsi="宋体"/>
                <w:sz w:val="24"/>
              </w:rPr>
              <w:t>Chunked 编码绕过</w:t>
            </w:r>
          </w:p>
        </w:tc>
        <w:tc>
          <w:tcPr>
            <w:tcW w:w="3181" w:type="dxa"/>
            <w:tcBorders>
              <w:top w:val="single" w:sz="4" w:space="0" w:color="auto"/>
              <w:left w:val="nil"/>
              <w:bottom w:val="nil"/>
              <w:right w:val="nil"/>
            </w:tcBorders>
            <w:tcMar>
              <w:top w:w="-1" w:type="dxa"/>
              <w:left w:w="-1" w:type="dxa"/>
              <w:bottom w:w="-1" w:type="dxa"/>
              <w:right w:w="-1" w:type="dxa"/>
            </w:tcMar>
            <w:vAlign w:val="center"/>
          </w:tcPr>
          <w:p w14:paraId="5DFC8EAD" w14:textId="77777777" w:rsidR="00035316" w:rsidRDefault="00831B25">
            <w:pPr>
              <w:snapToGrid w:val="0"/>
              <w:jc w:val="center"/>
              <w:rPr>
                <w:rFonts w:ascii="宋体"/>
                <w:sz w:val="24"/>
              </w:rPr>
            </w:pPr>
            <w:r>
              <w:rPr>
                <w:rFonts w:ascii="宋体" w:hAnsi="宋体"/>
                <w:sz w:val="24"/>
              </w:rPr>
              <w:t>Transfer-Encoding: chunked，绕过 Content-Length</w:t>
            </w:r>
          </w:p>
        </w:tc>
        <w:tc>
          <w:tcPr>
            <w:tcW w:w="0" w:type="auto"/>
            <w:tcBorders>
              <w:top w:val="single" w:sz="4" w:space="0" w:color="auto"/>
              <w:left w:val="nil"/>
              <w:bottom w:val="nil"/>
              <w:right w:val="nil"/>
            </w:tcBorders>
            <w:tcMar>
              <w:top w:w="-1" w:type="dxa"/>
              <w:left w:w="-1" w:type="dxa"/>
              <w:bottom w:w="-1" w:type="dxa"/>
              <w:right w:w="-1" w:type="dxa"/>
            </w:tcMar>
            <w:vAlign w:val="center"/>
          </w:tcPr>
          <w:p w14:paraId="3CFA7065" w14:textId="77777777" w:rsidR="00035316" w:rsidRDefault="00831B25">
            <w:pPr>
              <w:snapToGrid w:val="0"/>
              <w:jc w:val="center"/>
              <w:rPr>
                <w:rFonts w:ascii="宋体"/>
                <w:sz w:val="24"/>
              </w:rPr>
            </w:pPr>
            <w:r>
              <w:rPr>
                <w:rFonts w:ascii="宋体" w:hAnsi="宋体"/>
                <w:sz w:val="24"/>
              </w:rPr>
              <w:t>HTTP 请求体入口门</w:t>
            </w:r>
          </w:p>
        </w:tc>
        <w:tc>
          <w:tcPr>
            <w:tcW w:w="1464" w:type="dxa"/>
            <w:tcBorders>
              <w:top w:val="single" w:sz="4" w:space="0" w:color="auto"/>
              <w:left w:val="nil"/>
              <w:bottom w:val="nil"/>
              <w:right w:val="nil"/>
            </w:tcBorders>
            <w:tcMar>
              <w:top w:w="-1" w:type="dxa"/>
              <w:left w:w="-1" w:type="dxa"/>
              <w:bottom w:w="-1" w:type="dxa"/>
              <w:right w:w="-1" w:type="dxa"/>
            </w:tcMar>
            <w:vAlign w:val="center"/>
          </w:tcPr>
          <w:p w14:paraId="6EB69B98" w14:textId="77777777" w:rsidR="00035316" w:rsidRDefault="00831B25">
            <w:pPr>
              <w:snapToGrid w:val="0"/>
              <w:jc w:val="center"/>
              <w:rPr>
                <w:rFonts w:ascii="宋体"/>
                <w:sz w:val="24"/>
              </w:rPr>
            </w:pPr>
            <w:r>
              <w:rPr>
                <w:rFonts w:ascii="宋体" w:hAnsi="宋体"/>
                <w:sz w:val="24"/>
              </w:rPr>
              <w:t>不适用</w:t>
            </w:r>
          </w:p>
        </w:tc>
      </w:tr>
      <w:tr w:rsidR="00035316" w14:paraId="457B0ED3"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27F0F05E" w14:textId="77777777" w:rsidR="00035316" w:rsidRDefault="00831B25">
            <w:pPr>
              <w:snapToGrid w:val="0"/>
              <w:jc w:val="center"/>
              <w:rPr>
                <w:rFonts w:ascii="宋体"/>
                <w:sz w:val="24"/>
              </w:rPr>
            </w:pPr>
            <w:r>
              <w:rPr>
                <w:rFonts w:ascii="宋体" w:hAnsi="宋体"/>
                <w:sz w:val="24"/>
              </w:rPr>
              <w:t>超大 Content-Length</w:t>
            </w:r>
          </w:p>
        </w:tc>
        <w:tc>
          <w:tcPr>
            <w:tcW w:w="3181" w:type="dxa"/>
            <w:tcBorders>
              <w:top w:val="nil"/>
              <w:left w:val="nil"/>
              <w:bottom w:val="nil"/>
              <w:right w:val="nil"/>
            </w:tcBorders>
            <w:tcMar>
              <w:top w:w="-1" w:type="dxa"/>
              <w:left w:w="-1" w:type="dxa"/>
              <w:bottom w:w="-1" w:type="dxa"/>
              <w:right w:w="-1" w:type="dxa"/>
            </w:tcMar>
            <w:vAlign w:val="center"/>
          </w:tcPr>
          <w:p w14:paraId="61420C81" w14:textId="77777777" w:rsidR="00035316" w:rsidRDefault="00831B25">
            <w:pPr>
              <w:snapToGrid w:val="0"/>
              <w:jc w:val="center"/>
              <w:rPr>
                <w:rFonts w:ascii="宋体"/>
                <w:sz w:val="24"/>
              </w:rPr>
            </w:pPr>
            <w:r>
              <w:rPr>
                <w:rFonts w:ascii="宋体" w:hAnsi="宋体"/>
                <w:sz w:val="24"/>
              </w:rPr>
              <w:t>声明体积超过 5 MiB，验证 413 + 强制阻断</w:t>
            </w:r>
          </w:p>
        </w:tc>
        <w:tc>
          <w:tcPr>
            <w:tcW w:w="0" w:type="auto"/>
            <w:tcBorders>
              <w:top w:val="nil"/>
              <w:left w:val="nil"/>
              <w:bottom w:val="nil"/>
              <w:right w:val="nil"/>
            </w:tcBorders>
            <w:tcMar>
              <w:top w:w="-1" w:type="dxa"/>
              <w:left w:w="-1" w:type="dxa"/>
              <w:bottom w:w="-1" w:type="dxa"/>
              <w:right w:w="-1" w:type="dxa"/>
            </w:tcMar>
            <w:vAlign w:val="center"/>
          </w:tcPr>
          <w:p w14:paraId="3DE6A035" w14:textId="77777777" w:rsidR="00035316" w:rsidRDefault="00831B25">
            <w:pPr>
              <w:snapToGrid w:val="0"/>
              <w:jc w:val="center"/>
              <w:rPr>
                <w:rFonts w:ascii="宋体"/>
                <w:sz w:val="24"/>
              </w:rPr>
            </w:pPr>
            <w:r>
              <w:rPr>
                <w:rFonts w:ascii="宋体" w:hAnsi="宋体"/>
                <w:sz w:val="24"/>
              </w:rPr>
              <w:t>Content-Length 头部上限门</w:t>
            </w:r>
          </w:p>
        </w:tc>
        <w:tc>
          <w:tcPr>
            <w:tcW w:w="1464" w:type="dxa"/>
            <w:tcBorders>
              <w:top w:val="nil"/>
              <w:left w:val="nil"/>
              <w:bottom w:val="nil"/>
              <w:right w:val="nil"/>
            </w:tcBorders>
            <w:tcMar>
              <w:top w:w="-1" w:type="dxa"/>
              <w:left w:w="-1" w:type="dxa"/>
              <w:bottom w:w="-1" w:type="dxa"/>
              <w:right w:w="-1" w:type="dxa"/>
            </w:tcMar>
            <w:vAlign w:val="center"/>
          </w:tcPr>
          <w:p w14:paraId="539CE7F2" w14:textId="77777777" w:rsidR="00035316" w:rsidRDefault="00831B25">
            <w:pPr>
              <w:snapToGrid w:val="0"/>
              <w:jc w:val="center"/>
              <w:rPr>
                <w:rFonts w:ascii="宋体"/>
                <w:sz w:val="24"/>
              </w:rPr>
            </w:pPr>
            <w:r>
              <w:rPr>
                <w:rFonts w:ascii="宋体" w:hAnsi="宋体"/>
                <w:sz w:val="24"/>
              </w:rPr>
              <w:t>TCP 强制阻断兜底</w:t>
            </w:r>
          </w:p>
        </w:tc>
      </w:tr>
      <w:tr w:rsidR="00035316" w14:paraId="6739F71A"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1CF47B50" w14:textId="77777777" w:rsidR="00035316" w:rsidRDefault="00831B25">
            <w:pPr>
              <w:snapToGrid w:val="0"/>
              <w:jc w:val="center"/>
              <w:rPr>
                <w:rFonts w:ascii="宋体"/>
                <w:sz w:val="24"/>
              </w:rPr>
            </w:pPr>
            <w:r>
              <w:rPr>
                <w:rFonts w:ascii="宋体" w:hAnsi="宋体"/>
                <w:sz w:val="24"/>
              </w:rPr>
              <w:t>重复字段名</w:t>
            </w:r>
          </w:p>
        </w:tc>
        <w:tc>
          <w:tcPr>
            <w:tcW w:w="3181" w:type="dxa"/>
            <w:tcBorders>
              <w:top w:val="nil"/>
              <w:left w:val="nil"/>
              <w:bottom w:val="nil"/>
              <w:right w:val="nil"/>
            </w:tcBorders>
            <w:tcMar>
              <w:top w:w="-1" w:type="dxa"/>
              <w:left w:w="-1" w:type="dxa"/>
              <w:bottom w:w="-1" w:type="dxa"/>
              <w:right w:w="-1" w:type="dxa"/>
            </w:tcMar>
            <w:vAlign w:val="center"/>
          </w:tcPr>
          <w:p w14:paraId="6A2B6A8D" w14:textId="77777777" w:rsidR="00035316" w:rsidRDefault="00831B25">
            <w:pPr>
              <w:snapToGrid w:val="0"/>
              <w:jc w:val="center"/>
              <w:rPr>
                <w:rFonts w:ascii="宋体"/>
                <w:sz w:val="24"/>
              </w:rPr>
            </w:pPr>
            <w:r>
              <w:rPr>
                <w:rFonts w:ascii="宋体" w:hAnsi="宋体"/>
                <w:sz w:val="24"/>
              </w:rPr>
              <w:t>重复注入 multipart 字段，诱导字段集歧义</w:t>
            </w:r>
          </w:p>
        </w:tc>
        <w:tc>
          <w:tcPr>
            <w:tcW w:w="0" w:type="auto"/>
            <w:tcBorders>
              <w:top w:val="nil"/>
              <w:left w:val="nil"/>
              <w:bottom w:val="nil"/>
              <w:right w:val="nil"/>
            </w:tcBorders>
            <w:tcMar>
              <w:top w:w="-1" w:type="dxa"/>
              <w:left w:w="-1" w:type="dxa"/>
              <w:bottom w:w="-1" w:type="dxa"/>
              <w:right w:w="-1" w:type="dxa"/>
            </w:tcMar>
            <w:vAlign w:val="center"/>
          </w:tcPr>
          <w:p w14:paraId="1EA38FCC" w14:textId="77777777" w:rsidR="00035316" w:rsidRDefault="00831B25">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03D04028" w14:textId="77777777" w:rsidR="00035316" w:rsidRDefault="00831B25">
            <w:pPr>
              <w:snapToGrid w:val="0"/>
              <w:jc w:val="center"/>
              <w:rPr>
                <w:rFonts w:ascii="宋体"/>
                <w:sz w:val="24"/>
              </w:rPr>
            </w:pPr>
            <w:r>
              <w:rPr>
                <w:rFonts w:ascii="宋体" w:hAnsi="宋体"/>
                <w:sz w:val="24"/>
              </w:rPr>
              <w:t>MIME 结构校验</w:t>
            </w:r>
          </w:p>
        </w:tc>
      </w:tr>
      <w:tr w:rsidR="00035316" w14:paraId="36403E7F"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35C97F9B" w14:textId="77777777" w:rsidR="00035316" w:rsidRDefault="00831B25">
            <w:pPr>
              <w:snapToGrid w:val="0"/>
              <w:jc w:val="center"/>
              <w:rPr>
                <w:rFonts w:ascii="宋体"/>
                <w:sz w:val="24"/>
              </w:rPr>
            </w:pPr>
            <w:r>
              <w:rPr>
                <w:rFonts w:ascii="宋体" w:hAnsi="宋体"/>
                <w:sz w:val="24"/>
              </w:rPr>
              <w:t>Boundary 扇出</w:t>
            </w:r>
          </w:p>
        </w:tc>
        <w:tc>
          <w:tcPr>
            <w:tcW w:w="3181" w:type="dxa"/>
            <w:tcBorders>
              <w:top w:val="nil"/>
              <w:left w:val="nil"/>
              <w:bottom w:val="nil"/>
              <w:right w:val="nil"/>
            </w:tcBorders>
            <w:tcMar>
              <w:top w:w="-1" w:type="dxa"/>
              <w:left w:w="-1" w:type="dxa"/>
              <w:bottom w:w="-1" w:type="dxa"/>
              <w:right w:w="-1" w:type="dxa"/>
            </w:tcMar>
            <w:vAlign w:val="center"/>
          </w:tcPr>
          <w:p w14:paraId="0E312B03" w14:textId="77777777" w:rsidR="00035316" w:rsidRDefault="00831B25">
            <w:pPr>
              <w:snapToGrid w:val="0"/>
              <w:jc w:val="center"/>
              <w:rPr>
                <w:rFonts w:ascii="宋体"/>
                <w:sz w:val="24"/>
              </w:rPr>
            </w:pPr>
            <w:r>
              <w:rPr>
                <w:rFonts w:ascii="宋体" w:hAnsi="宋体"/>
                <w:sz w:val="24"/>
              </w:rPr>
              <w:t>构造过多分片，放大 MIME 解析树</w:t>
            </w:r>
          </w:p>
        </w:tc>
        <w:tc>
          <w:tcPr>
            <w:tcW w:w="0" w:type="auto"/>
            <w:tcBorders>
              <w:top w:val="nil"/>
              <w:left w:val="nil"/>
              <w:bottom w:val="nil"/>
              <w:right w:val="nil"/>
            </w:tcBorders>
            <w:tcMar>
              <w:top w:w="-1" w:type="dxa"/>
              <w:left w:w="-1" w:type="dxa"/>
              <w:bottom w:w="-1" w:type="dxa"/>
              <w:right w:w="-1" w:type="dxa"/>
            </w:tcMar>
            <w:vAlign w:val="center"/>
          </w:tcPr>
          <w:p w14:paraId="0F4BD36E" w14:textId="77777777" w:rsidR="00035316" w:rsidRDefault="00831B25">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6AFAE56C" w14:textId="77777777" w:rsidR="00035316" w:rsidRDefault="00831B25">
            <w:pPr>
              <w:snapToGrid w:val="0"/>
              <w:jc w:val="center"/>
              <w:rPr>
                <w:rFonts w:ascii="宋体"/>
                <w:sz w:val="24"/>
              </w:rPr>
            </w:pPr>
            <w:r>
              <w:rPr>
                <w:rFonts w:ascii="宋体" w:hAnsi="宋体"/>
                <w:sz w:val="24"/>
              </w:rPr>
              <w:t>MIME 结构校验</w:t>
            </w:r>
          </w:p>
        </w:tc>
      </w:tr>
      <w:tr w:rsidR="00035316" w14:paraId="4A37A6C2"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59AA5518" w14:textId="77777777" w:rsidR="00035316" w:rsidRDefault="00831B25">
            <w:pPr>
              <w:snapToGrid w:val="0"/>
              <w:jc w:val="center"/>
              <w:rPr>
                <w:rFonts w:ascii="宋体"/>
                <w:sz w:val="24"/>
              </w:rPr>
            </w:pPr>
            <w:r>
              <w:rPr>
                <w:rFonts w:ascii="宋体" w:hAnsi="宋体"/>
                <w:sz w:val="24"/>
              </w:rPr>
              <w:t>嵌套 multipart</w:t>
            </w:r>
          </w:p>
        </w:tc>
        <w:tc>
          <w:tcPr>
            <w:tcW w:w="3181" w:type="dxa"/>
            <w:tcBorders>
              <w:top w:val="nil"/>
              <w:left w:val="nil"/>
              <w:bottom w:val="nil"/>
              <w:right w:val="nil"/>
            </w:tcBorders>
            <w:tcMar>
              <w:top w:w="-1" w:type="dxa"/>
              <w:left w:w="-1" w:type="dxa"/>
              <w:bottom w:w="-1" w:type="dxa"/>
              <w:right w:w="-1" w:type="dxa"/>
            </w:tcMar>
            <w:vAlign w:val="center"/>
          </w:tcPr>
          <w:p w14:paraId="768F5414" w14:textId="77777777" w:rsidR="00035316" w:rsidRDefault="00831B25">
            <w:pPr>
              <w:snapToGrid w:val="0"/>
              <w:jc w:val="center"/>
              <w:rPr>
                <w:rFonts w:ascii="宋体"/>
                <w:sz w:val="24"/>
              </w:rPr>
            </w:pPr>
            <w:r>
              <w:rPr>
                <w:rFonts w:ascii="宋体" w:hAnsi="宋体"/>
                <w:sz w:val="24"/>
              </w:rPr>
              <w:t>把 share part 伪装成 multipart/mixed</w:t>
            </w:r>
          </w:p>
        </w:tc>
        <w:tc>
          <w:tcPr>
            <w:tcW w:w="0" w:type="auto"/>
            <w:tcBorders>
              <w:top w:val="nil"/>
              <w:left w:val="nil"/>
              <w:bottom w:val="nil"/>
              <w:right w:val="nil"/>
            </w:tcBorders>
            <w:tcMar>
              <w:top w:w="-1" w:type="dxa"/>
              <w:left w:w="-1" w:type="dxa"/>
              <w:bottom w:w="-1" w:type="dxa"/>
              <w:right w:w="-1" w:type="dxa"/>
            </w:tcMar>
            <w:vAlign w:val="center"/>
          </w:tcPr>
          <w:p w14:paraId="739985B7" w14:textId="77777777" w:rsidR="00035316" w:rsidRDefault="00831B25">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63ABA075" w14:textId="77777777" w:rsidR="00035316" w:rsidRDefault="00831B25">
            <w:pPr>
              <w:snapToGrid w:val="0"/>
              <w:jc w:val="center"/>
              <w:rPr>
                <w:rFonts w:ascii="宋体"/>
                <w:sz w:val="24"/>
              </w:rPr>
            </w:pPr>
            <w:r>
              <w:rPr>
                <w:rFonts w:ascii="宋体" w:hAnsi="宋体"/>
                <w:sz w:val="24"/>
              </w:rPr>
              <w:t>MIME 结构校验</w:t>
            </w:r>
          </w:p>
        </w:tc>
      </w:tr>
      <w:tr w:rsidR="00035316" w14:paraId="386B4514"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54053CCA" w14:textId="77777777" w:rsidR="00035316" w:rsidRDefault="00831B25">
            <w:pPr>
              <w:snapToGrid w:val="0"/>
              <w:jc w:val="center"/>
              <w:rPr>
                <w:rFonts w:ascii="宋体"/>
                <w:sz w:val="24"/>
              </w:rPr>
            </w:pPr>
            <w:r>
              <w:rPr>
                <w:rFonts w:ascii="宋体" w:hAnsi="宋体"/>
                <w:sz w:val="24"/>
              </w:rPr>
              <w:t>超长 JSON</w:t>
            </w:r>
          </w:p>
        </w:tc>
        <w:tc>
          <w:tcPr>
            <w:tcW w:w="3181" w:type="dxa"/>
            <w:tcBorders>
              <w:top w:val="nil"/>
              <w:left w:val="nil"/>
              <w:bottom w:val="nil"/>
              <w:right w:val="nil"/>
            </w:tcBorders>
            <w:tcMar>
              <w:top w:w="-1" w:type="dxa"/>
              <w:left w:w="-1" w:type="dxa"/>
              <w:bottom w:w="-1" w:type="dxa"/>
              <w:right w:w="-1" w:type="dxa"/>
            </w:tcMar>
            <w:vAlign w:val="center"/>
          </w:tcPr>
          <w:p w14:paraId="67F9E2D4" w14:textId="77777777" w:rsidR="00035316" w:rsidRDefault="00831B25">
            <w:pPr>
              <w:snapToGrid w:val="0"/>
              <w:jc w:val="center"/>
              <w:rPr>
                <w:rFonts w:ascii="宋体"/>
                <w:sz w:val="24"/>
              </w:rPr>
            </w:pPr>
            <w:r>
              <w:rPr>
                <w:rFonts w:ascii="宋体" w:hAnsi="宋体"/>
                <w:sz w:val="24"/>
              </w:rPr>
              <w:t>client_quality_summary 超过 JSON 字节门</w:t>
            </w:r>
          </w:p>
        </w:tc>
        <w:tc>
          <w:tcPr>
            <w:tcW w:w="0" w:type="auto"/>
            <w:tcBorders>
              <w:top w:val="nil"/>
              <w:left w:val="nil"/>
              <w:bottom w:val="nil"/>
              <w:right w:val="nil"/>
            </w:tcBorders>
            <w:tcMar>
              <w:top w:w="-1" w:type="dxa"/>
              <w:left w:w="-1" w:type="dxa"/>
              <w:bottom w:w="-1" w:type="dxa"/>
              <w:right w:w="-1" w:type="dxa"/>
            </w:tcMar>
            <w:vAlign w:val="center"/>
          </w:tcPr>
          <w:p w14:paraId="787FC9DC" w14:textId="77777777" w:rsidR="00035316" w:rsidRDefault="00831B25">
            <w:pPr>
              <w:snapToGrid w:val="0"/>
              <w:jc w:val="center"/>
              <w:rPr>
                <w:rFonts w:ascii="宋体"/>
                <w:sz w:val="24"/>
              </w:rPr>
            </w:pPr>
            <w:r>
              <w:rPr>
                <w:rFonts w:ascii="宋体" w:hAnsi="宋体"/>
                <w:sz w:val="24"/>
              </w:rPr>
              <w:t>JSON 字节长度门</w:t>
            </w:r>
          </w:p>
        </w:tc>
        <w:tc>
          <w:tcPr>
            <w:tcW w:w="1464" w:type="dxa"/>
            <w:tcBorders>
              <w:top w:val="nil"/>
              <w:left w:val="nil"/>
              <w:bottom w:val="nil"/>
              <w:right w:val="nil"/>
            </w:tcBorders>
            <w:tcMar>
              <w:top w:w="-1" w:type="dxa"/>
              <w:left w:w="-1" w:type="dxa"/>
              <w:bottom w:w="-1" w:type="dxa"/>
              <w:right w:w="-1" w:type="dxa"/>
            </w:tcMar>
            <w:vAlign w:val="center"/>
          </w:tcPr>
          <w:p w14:paraId="596FFDDF" w14:textId="77777777" w:rsidR="00035316" w:rsidRDefault="00831B25">
            <w:pPr>
              <w:snapToGrid w:val="0"/>
              <w:jc w:val="center"/>
              <w:rPr>
                <w:rFonts w:ascii="宋体"/>
                <w:sz w:val="24"/>
              </w:rPr>
            </w:pPr>
            <w:r>
              <w:rPr>
                <w:rFonts w:ascii="宋体" w:hAnsi="宋体"/>
                <w:sz w:val="24"/>
              </w:rPr>
              <w:t>严格 JSON 解码钩子</w:t>
            </w:r>
          </w:p>
        </w:tc>
      </w:tr>
      <w:tr w:rsidR="00035316" w14:paraId="7E4284D1"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0645EDC8" w14:textId="77777777" w:rsidR="00035316" w:rsidRDefault="00831B25">
            <w:pPr>
              <w:snapToGrid w:val="0"/>
              <w:jc w:val="center"/>
              <w:rPr>
                <w:rFonts w:ascii="宋体"/>
                <w:sz w:val="24"/>
              </w:rPr>
            </w:pPr>
            <w:r>
              <w:rPr>
                <w:rFonts w:ascii="宋体" w:hAnsi="宋体"/>
                <w:sz w:val="24"/>
              </w:rPr>
              <w:t>字段集漂移</w:t>
            </w:r>
          </w:p>
        </w:tc>
        <w:tc>
          <w:tcPr>
            <w:tcW w:w="3181" w:type="dxa"/>
            <w:tcBorders>
              <w:top w:val="nil"/>
              <w:left w:val="nil"/>
              <w:bottom w:val="nil"/>
              <w:right w:val="nil"/>
            </w:tcBorders>
            <w:tcMar>
              <w:top w:w="-1" w:type="dxa"/>
              <w:left w:w="-1" w:type="dxa"/>
              <w:bottom w:w="-1" w:type="dxa"/>
              <w:right w:w="-1" w:type="dxa"/>
            </w:tcMar>
            <w:vAlign w:val="center"/>
          </w:tcPr>
          <w:p w14:paraId="43BFB925" w14:textId="77777777" w:rsidR="00035316" w:rsidRDefault="00831B25">
            <w:pPr>
              <w:snapToGrid w:val="0"/>
              <w:jc w:val="center"/>
              <w:rPr>
                <w:rFonts w:ascii="宋体"/>
                <w:sz w:val="24"/>
              </w:rPr>
            </w:pPr>
            <w:r>
              <w:rPr>
                <w:rFonts w:ascii="宋体" w:hAnsi="宋体"/>
                <w:sz w:val="24"/>
              </w:rPr>
              <w:t>追加未声明字段，验证精确字段集约束</w:t>
            </w:r>
          </w:p>
        </w:tc>
        <w:tc>
          <w:tcPr>
            <w:tcW w:w="0" w:type="auto"/>
            <w:tcBorders>
              <w:top w:val="nil"/>
              <w:left w:val="nil"/>
              <w:bottom w:val="nil"/>
              <w:right w:val="nil"/>
            </w:tcBorders>
            <w:tcMar>
              <w:top w:w="-1" w:type="dxa"/>
              <w:left w:w="-1" w:type="dxa"/>
              <w:bottom w:w="-1" w:type="dxa"/>
              <w:right w:w="-1" w:type="dxa"/>
            </w:tcMar>
            <w:vAlign w:val="center"/>
          </w:tcPr>
          <w:p w14:paraId="2D2E8FB8" w14:textId="77777777" w:rsidR="00035316" w:rsidRDefault="00831B25">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6E4C400F" w14:textId="77777777" w:rsidR="00035316" w:rsidRDefault="00831B25">
            <w:pPr>
              <w:snapToGrid w:val="0"/>
              <w:jc w:val="center"/>
              <w:rPr>
                <w:rFonts w:ascii="宋体"/>
                <w:sz w:val="24"/>
              </w:rPr>
            </w:pPr>
            <w:r>
              <w:rPr>
                <w:rFonts w:ascii="宋体" w:hAnsi="宋体"/>
                <w:sz w:val="24"/>
              </w:rPr>
              <w:t>精确字段集门</w:t>
            </w:r>
          </w:p>
        </w:tc>
      </w:tr>
      <w:tr w:rsidR="00035316" w14:paraId="48091F5B"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58EE526A" w14:textId="77777777" w:rsidR="00035316" w:rsidRDefault="00831B25">
            <w:pPr>
              <w:snapToGrid w:val="0"/>
              <w:jc w:val="center"/>
              <w:rPr>
                <w:rFonts w:ascii="宋体"/>
                <w:sz w:val="24"/>
              </w:rPr>
            </w:pPr>
            <w:r>
              <w:rPr>
                <w:rFonts w:ascii="宋体" w:hAnsi="宋体"/>
                <w:sz w:val="24"/>
              </w:rPr>
              <w:t>Boundary 参数混淆</w:t>
            </w:r>
          </w:p>
        </w:tc>
        <w:tc>
          <w:tcPr>
            <w:tcW w:w="3181" w:type="dxa"/>
            <w:tcBorders>
              <w:top w:val="nil"/>
              <w:left w:val="nil"/>
              <w:bottom w:val="nil"/>
              <w:right w:val="nil"/>
            </w:tcBorders>
            <w:tcMar>
              <w:top w:w="-1" w:type="dxa"/>
              <w:left w:w="-1" w:type="dxa"/>
              <w:bottom w:w="-1" w:type="dxa"/>
              <w:right w:w="-1" w:type="dxa"/>
            </w:tcMar>
            <w:vAlign w:val="center"/>
          </w:tcPr>
          <w:p w14:paraId="49DC9C86" w14:textId="77777777" w:rsidR="00035316" w:rsidRDefault="00831B25">
            <w:pPr>
              <w:snapToGrid w:val="0"/>
              <w:jc w:val="center"/>
              <w:rPr>
                <w:rFonts w:ascii="宋体"/>
                <w:sz w:val="24"/>
              </w:rPr>
            </w:pPr>
            <w:r>
              <w:rPr>
                <w:rFonts w:ascii="宋体" w:hAnsi="宋体"/>
                <w:sz w:val="24"/>
              </w:rPr>
              <w:t>boundary 带空白与引号变体</w:t>
            </w:r>
          </w:p>
        </w:tc>
        <w:tc>
          <w:tcPr>
            <w:tcW w:w="0" w:type="auto"/>
            <w:tcBorders>
              <w:top w:val="nil"/>
              <w:left w:val="nil"/>
              <w:bottom w:val="nil"/>
              <w:right w:val="nil"/>
            </w:tcBorders>
            <w:tcMar>
              <w:top w:w="-1" w:type="dxa"/>
              <w:left w:w="-1" w:type="dxa"/>
              <w:bottom w:w="-1" w:type="dxa"/>
              <w:right w:w="-1" w:type="dxa"/>
            </w:tcMar>
            <w:vAlign w:val="center"/>
          </w:tcPr>
          <w:p w14:paraId="2F6DAFBA" w14:textId="77777777" w:rsidR="00035316" w:rsidRDefault="00831B25">
            <w:pPr>
              <w:snapToGrid w:val="0"/>
              <w:jc w:val="center"/>
              <w:rPr>
                <w:rFonts w:ascii="宋体"/>
                <w:sz w:val="24"/>
              </w:rPr>
            </w:pPr>
            <w:r>
              <w:rPr>
                <w:rFonts w:ascii="宋体" w:hAnsi="宋体"/>
                <w:sz w:val="24"/>
              </w:rPr>
              <w:t>Content-Type boundary 解析</w:t>
            </w:r>
          </w:p>
        </w:tc>
        <w:tc>
          <w:tcPr>
            <w:tcW w:w="1464" w:type="dxa"/>
            <w:tcBorders>
              <w:top w:val="nil"/>
              <w:left w:val="nil"/>
              <w:bottom w:val="nil"/>
              <w:right w:val="nil"/>
            </w:tcBorders>
            <w:tcMar>
              <w:top w:w="-1" w:type="dxa"/>
              <w:left w:w="-1" w:type="dxa"/>
              <w:bottom w:w="-1" w:type="dxa"/>
              <w:right w:w="-1" w:type="dxa"/>
            </w:tcMar>
            <w:vAlign w:val="center"/>
          </w:tcPr>
          <w:p w14:paraId="1DFB2D64" w14:textId="77777777" w:rsidR="00035316" w:rsidRDefault="00831B25">
            <w:pPr>
              <w:snapToGrid w:val="0"/>
              <w:jc w:val="center"/>
              <w:rPr>
                <w:rFonts w:ascii="宋体"/>
                <w:sz w:val="24"/>
              </w:rPr>
            </w:pPr>
            <w:r>
              <w:rPr>
                <w:rFonts w:ascii="宋体" w:hAnsi="宋体"/>
                <w:sz w:val="24"/>
              </w:rPr>
              <w:t>raw multipart 预检</w:t>
            </w:r>
          </w:p>
        </w:tc>
      </w:tr>
      <w:tr w:rsidR="00035316" w14:paraId="1A710E8F"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2104D195" w14:textId="77777777" w:rsidR="00035316" w:rsidRDefault="00831B25">
            <w:pPr>
              <w:snapToGrid w:val="0"/>
              <w:jc w:val="center"/>
              <w:rPr>
                <w:rFonts w:ascii="宋体"/>
                <w:sz w:val="24"/>
              </w:rPr>
            </w:pPr>
            <w:r>
              <w:rPr>
                <w:rFonts w:ascii="宋体" w:hAnsi="宋体"/>
                <w:sz w:val="24"/>
              </w:rPr>
              <w:t>畸形 Part Header</w:t>
            </w:r>
          </w:p>
        </w:tc>
        <w:tc>
          <w:tcPr>
            <w:tcW w:w="3181" w:type="dxa"/>
            <w:tcBorders>
              <w:top w:val="nil"/>
              <w:left w:val="nil"/>
              <w:bottom w:val="nil"/>
              <w:right w:val="nil"/>
            </w:tcBorders>
            <w:tcMar>
              <w:top w:w="-1" w:type="dxa"/>
              <w:left w:w="-1" w:type="dxa"/>
              <w:bottom w:w="-1" w:type="dxa"/>
              <w:right w:w="-1" w:type="dxa"/>
            </w:tcMar>
            <w:vAlign w:val="center"/>
          </w:tcPr>
          <w:p w14:paraId="50E90DB4" w14:textId="77777777" w:rsidR="00035316" w:rsidRDefault="00831B25">
            <w:pPr>
              <w:snapToGrid w:val="0"/>
              <w:jc w:val="center"/>
              <w:rPr>
                <w:rFonts w:ascii="宋体"/>
                <w:sz w:val="24"/>
              </w:rPr>
            </w:pPr>
            <w:r>
              <w:rPr>
                <w:rFonts w:ascii="宋体" w:hAnsi="宋体"/>
                <w:sz w:val="24"/>
              </w:rPr>
              <w:t>缺失合法头格式，验证 header parser</w:t>
            </w:r>
          </w:p>
        </w:tc>
        <w:tc>
          <w:tcPr>
            <w:tcW w:w="0" w:type="auto"/>
            <w:tcBorders>
              <w:top w:val="nil"/>
              <w:left w:val="nil"/>
              <w:bottom w:val="nil"/>
              <w:right w:val="nil"/>
            </w:tcBorders>
            <w:tcMar>
              <w:top w:w="-1" w:type="dxa"/>
              <w:left w:w="-1" w:type="dxa"/>
              <w:bottom w:w="-1" w:type="dxa"/>
              <w:right w:w="-1" w:type="dxa"/>
            </w:tcMar>
            <w:vAlign w:val="center"/>
          </w:tcPr>
          <w:p w14:paraId="17BFA4A9" w14:textId="77777777" w:rsidR="00035316" w:rsidRDefault="00831B25">
            <w:pPr>
              <w:snapToGrid w:val="0"/>
              <w:jc w:val="center"/>
              <w:rPr>
                <w:rFonts w:ascii="宋体"/>
                <w:sz w:val="24"/>
              </w:rPr>
            </w:pPr>
            <w:r>
              <w:rPr>
                <w:rFonts w:ascii="宋体" w:hAnsi="宋体"/>
                <w:sz w:val="24"/>
              </w:rPr>
              <w:t>multipart header 解析</w:t>
            </w:r>
          </w:p>
        </w:tc>
        <w:tc>
          <w:tcPr>
            <w:tcW w:w="1464" w:type="dxa"/>
            <w:tcBorders>
              <w:top w:val="nil"/>
              <w:left w:val="nil"/>
              <w:bottom w:val="nil"/>
              <w:right w:val="nil"/>
            </w:tcBorders>
            <w:tcMar>
              <w:top w:w="-1" w:type="dxa"/>
              <w:left w:w="-1" w:type="dxa"/>
              <w:bottom w:w="-1" w:type="dxa"/>
              <w:right w:w="-1" w:type="dxa"/>
            </w:tcMar>
            <w:vAlign w:val="center"/>
          </w:tcPr>
          <w:p w14:paraId="2E1C9AF2" w14:textId="77777777" w:rsidR="00035316" w:rsidRDefault="00831B25">
            <w:pPr>
              <w:snapToGrid w:val="0"/>
              <w:jc w:val="center"/>
              <w:rPr>
                <w:rFonts w:ascii="宋体"/>
                <w:sz w:val="24"/>
              </w:rPr>
            </w:pPr>
            <w:r>
              <w:rPr>
                <w:rFonts w:ascii="宋体" w:hAnsi="宋体"/>
                <w:sz w:val="24"/>
              </w:rPr>
              <w:t>MIME 结构校验</w:t>
            </w:r>
          </w:p>
        </w:tc>
      </w:tr>
      <w:tr w:rsidR="00035316" w14:paraId="7DA98211"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7E4832DA" w14:textId="77777777" w:rsidR="00035316" w:rsidRDefault="00831B25">
            <w:pPr>
              <w:snapToGrid w:val="0"/>
              <w:jc w:val="center"/>
              <w:rPr>
                <w:rFonts w:ascii="宋体"/>
                <w:sz w:val="24"/>
              </w:rPr>
            </w:pPr>
            <w:r>
              <w:rPr>
                <w:rFonts w:ascii="宋体" w:hAnsi="宋体"/>
                <w:sz w:val="24"/>
              </w:rPr>
              <w:t>Header 空字节注入</w:t>
            </w:r>
          </w:p>
        </w:tc>
        <w:tc>
          <w:tcPr>
            <w:tcW w:w="3181" w:type="dxa"/>
            <w:tcBorders>
              <w:top w:val="nil"/>
              <w:left w:val="nil"/>
              <w:bottom w:val="nil"/>
              <w:right w:val="nil"/>
            </w:tcBorders>
            <w:tcMar>
              <w:top w:w="-1" w:type="dxa"/>
              <w:left w:w="-1" w:type="dxa"/>
              <w:bottom w:w="-1" w:type="dxa"/>
              <w:right w:w="-1" w:type="dxa"/>
            </w:tcMar>
            <w:vAlign w:val="center"/>
          </w:tcPr>
          <w:p w14:paraId="32D3CA29" w14:textId="77777777" w:rsidR="00035316" w:rsidRDefault="00831B25">
            <w:pPr>
              <w:snapToGrid w:val="0"/>
              <w:jc w:val="center"/>
              <w:rPr>
                <w:rFonts w:ascii="宋体"/>
                <w:sz w:val="24"/>
              </w:rPr>
            </w:pPr>
            <w:r>
              <w:rPr>
                <w:rFonts w:ascii="宋体" w:hAnsi="宋体"/>
                <w:sz w:val="24"/>
              </w:rPr>
              <w:t>在 part header 中注入 NUL / 控制字符</w:t>
            </w:r>
          </w:p>
        </w:tc>
        <w:tc>
          <w:tcPr>
            <w:tcW w:w="0" w:type="auto"/>
            <w:tcBorders>
              <w:top w:val="nil"/>
              <w:left w:val="nil"/>
              <w:bottom w:val="nil"/>
              <w:right w:val="nil"/>
            </w:tcBorders>
            <w:tcMar>
              <w:top w:w="-1" w:type="dxa"/>
              <w:left w:w="-1" w:type="dxa"/>
              <w:bottom w:w="-1" w:type="dxa"/>
              <w:right w:w="-1" w:type="dxa"/>
            </w:tcMar>
            <w:vAlign w:val="center"/>
          </w:tcPr>
          <w:p w14:paraId="01FF4F34" w14:textId="77777777" w:rsidR="00035316" w:rsidRDefault="00831B25">
            <w:pPr>
              <w:snapToGrid w:val="0"/>
              <w:jc w:val="center"/>
              <w:rPr>
                <w:rFonts w:ascii="宋体"/>
                <w:sz w:val="24"/>
              </w:rPr>
            </w:pPr>
            <w:r>
              <w:rPr>
                <w:rFonts w:ascii="宋体" w:hAnsi="宋体"/>
                <w:sz w:val="24"/>
              </w:rPr>
              <w:t>multipart header 解析</w:t>
            </w:r>
          </w:p>
        </w:tc>
        <w:tc>
          <w:tcPr>
            <w:tcW w:w="1464" w:type="dxa"/>
            <w:tcBorders>
              <w:top w:val="nil"/>
              <w:left w:val="nil"/>
              <w:bottom w:val="nil"/>
              <w:right w:val="nil"/>
            </w:tcBorders>
            <w:tcMar>
              <w:top w:w="-1" w:type="dxa"/>
              <w:left w:w="-1" w:type="dxa"/>
              <w:bottom w:w="-1" w:type="dxa"/>
              <w:right w:w="-1" w:type="dxa"/>
            </w:tcMar>
            <w:vAlign w:val="center"/>
          </w:tcPr>
          <w:p w14:paraId="3A8E3C3B" w14:textId="77777777" w:rsidR="00035316" w:rsidRDefault="00831B25">
            <w:pPr>
              <w:snapToGrid w:val="0"/>
              <w:jc w:val="center"/>
              <w:rPr>
                <w:rFonts w:ascii="宋体"/>
                <w:sz w:val="24"/>
              </w:rPr>
            </w:pPr>
            <w:r>
              <w:rPr>
                <w:rFonts w:ascii="宋体" w:hAnsi="宋体"/>
                <w:sz w:val="24"/>
              </w:rPr>
              <w:t>MIME 结构校验</w:t>
            </w:r>
          </w:p>
        </w:tc>
      </w:tr>
      <w:tr w:rsidR="00035316" w14:paraId="14DE1133"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6AEFC6D3" w14:textId="77777777" w:rsidR="00035316" w:rsidRDefault="00831B25">
            <w:pPr>
              <w:snapToGrid w:val="0"/>
              <w:jc w:val="center"/>
              <w:rPr>
                <w:rFonts w:ascii="宋体"/>
                <w:sz w:val="24"/>
              </w:rPr>
            </w:pPr>
            <w:r>
              <w:rPr>
                <w:rFonts w:ascii="宋体" w:hAnsi="宋体"/>
                <w:sz w:val="24"/>
              </w:rPr>
              <w:t>非空 Epilogue</w:t>
            </w:r>
          </w:p>
        </w:tc>
        <w:tc>
          <w:tcPr>
            <w:tcW w:w="3181" w:type="dxa"/>
            <w:tcBorders>
              <w:top w:val="nil"/>
              <w:left w:val="nil"/>
              <w:bottom w:val="nil"/>
              <w:right w:val="nil"/>
            </w:tcBorders>
            <w:tcMar>
              <w:top w:w="-1" w:type="dxa"/>
              <w:left w:w="-1" w:type="dxa"/>
              <w:bottom w:w="-1" w:type="dxa"/>
              <w:right w:w="-1" w:type="dxa"/>
            </w:tcMar>
            <w:vAlign w:val="center"/>
          </w:tcPr>
          <w:p w14:paraId="0BAB8836" w14:textId="77777777" w:rsidR="00035316" w:rsidRDefault="00831B25">
            <w:pPr>
              <w:snapToGrid w:val="0"/>
              <w:jc w:val="center"/>
              <w:rPr>
                <w:rFonts w:ascii="宋体"/>
                <w:sz w:val="24"/>
              </w:rPr>
            </w:pPr>
            <w:r>
              <w:rPr>
                <w:rFonts w:ascii="宋体" w:hAnsi="宋体"/>
                <w:sz w:val="24"/>
              </w:rPr>
              <w:t>closing boundary 后继续追加垃圾字节</w:t>
            </w:r>
          </w:p>
        </w:tc>
        <w:tc>
          <w:tcPr>
            <w:tcW w:w="0" w:type="auto"/>
            <w:tcBorders>
              <w:top w:val="nil"/>
              <w:left w:val="nil"/>
              <w:bottom w:val="nil"/>
              <w:right w:val="nil"/>
            </w:tcBorders>
            <w:tcMar>
              <w:top w:w="-1" w:type="dxa"/>
              <w:left w:w="-1" w:type="dxa"/>
              <w:bottom w:w="-1" w:type="dxa"/>
              <w:right w:w="-1" w:type="dxa"/>
            </w:tcMar>
            <w:vAlign w:val="center"/>
          </w:tcPr>
          <w:p w14:paraId="4E954753" w14:textId="77777777" w:rsidR="00035316" w:rsidRDefault="00831B25">
            <w:pPr>
              <w:snapToGrid w:val="0"/>
              <w:jc w:val="center"/>
              <w:rPr>
                <w:rFonts w:ascii="宋体"/>
                <w:sz w:val="24"/>
              </w:rPr>
            </w:pPr>
            <w:r>
              <w:rPr>
                <w:rFonts w:ascii="宋体" w:hAnsi="宋体"/>
                <w:sz w:val="24"/>
              </w:rPr>
              <w:t>raw multipart 预检</w:t>
            </w:r>
          </w:p>
        </w:tc>
        <w:tc>
          <w:tcPr>
            <w:tcW w:w="1464" w:type="dxa"/>
            <w:tcBorders>
              <w:top w:val="nil"/>
              <w:left w:val="nil"/>
              <w:bottom w:val="nil"/>
              <w:right w:val="nil"/>
            </w:tcBorders>
            <w:tcMar>
              <w:top w:w="-1" w:type="dxa"/>
              <w:left w:w="-1" w:type="dxa"/>
              <w:bottom w:w="-1" w:type="dxa"/>
              <w:right w:w="-1" w:type="dxa"/>
            </w:tcMar>
            <w:vAlign w:val="center"/>
          </w:tcPr>
          <w:p w14:paraId="4FDE0E79" w14:textId="77777777" w:rsidR="00035316" w:rsidRDefault="00831B25">
            <w:pPr>
              <w:snapToGrid w:val="0"/>
              <w:jc w:val="center"/>
              <w:rPr>
                <w:rFonts w:ascii="宋体"/>
                <w:sz w:val="24"/>
              </w:rPr>
            </w:pPr>
            <w:r>
              <w:rPr>
                <w:rFonts w:ascii="宋体" w:hAnsi="宋体"/>
                <w:sz w:val="24"/>
              </w:rPr>
              <w:t>MIME 结构校验</w:t>
            </w:r>
          </w:p>
        </w:tc>
      </w:tr>
      <w:tr w:rsidR="00035316" w14:paraId="657A279C"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264691D1" w14:textId="77777777" w:rsidR="00035316" w:rsidRDefault="00831B25">
            <w:pPr>
              <w:snapToGrid w:val="0"/>
              <w:jc w:val="center"/>
              <w:rPr>
                <w:rFonts w:ascii="宋体"/>
                <w:sz w:val="24"/>
              </w:rPr>
            </w:pPr>
            <w:r>
              <w:rPr>
                <w:rFonts w:ascii="宋体" w:hAnsi="宋体"/>
                <w:sz w:val="24"/>
              </w:rPr>
              <w:t>异常 JSON 字符集</w:t>
            </w:r>
          </w:p>
        </w:tc>
        <w:tc>
          <w:tcPr>
            <w:tcW w:w="3181" w:type="dxa"/>
            <w:tcBorders>
              <w:top w:val="nil"/>
              <w:left w:val="nil"/>
              <w:bottom w:val="nil"/>
              <w:right w:val="nil"/>
            </w:tcBorders>
            <w:tcMar>
              <w:top w:w="-1" w:type="dxa"/>
              <w:left w:w="-1" w:type="dxa"/>
              <w:bottom w:w="-1" w:type="dxa"/>
              <w:right w:w="-1" w:type="dxa"/>
            </w:tcMar>
            <w:vAlign w:val="center"/>
          </w:tcPr>
          <w:p w14:paraId="7C54D2EB" w14:textId="77777777" w:rsidR="00035316" w:rsidRDefault="00831B25">
            <w:pPr>
              <w:snapToGrid w:val="0"/>
              <w:jc w:val="center"/>
              <w:rPr>
                <w:rFonts w:ascii="宋体"/>
                <w:sz w:val="24"/>
              </w:rPr>
            </w:pPr>
            <w:r>
              <w:rPr>
                <w:rFonts w:ascii="宋体" w:hAnsi="宋体"/>
                <w:sz w:val="24"/>
              </w:rPr>
              <w:t>UTF-16LE 编码结构化元数据，验证严格 UTF-8 约束</w:t>
            </w:r>
          </w:p>
        </w:tc>
        <w:tc>
          <w:tcPr>
            <w:tcW w:w="0" w:type="auto"/>
            <w:tcBorders>
              <w:top w:val="nil"/>
              <w:left w:val="nil"/>
              <w:bottom w:val="nil"/>
              <w:right w:val="nil"/>
            </w:tcBorders>
            <w:tcMar>
              <w:top w:w="-1" w:type="dxa"/>
              <w:left w:w="-1" w:type="dxa"/>
              <w:bottom w:w="-1" w:type="dxa"/>
              <w:right w:w="-1" w:type="dxa"/>
            </w:tcMar>
            <w:vAlign w:val="center"/>
          </w:tcPr>
          <w:p w14:paraId="5D2C72F6" w14:textId="77777777" w:rsidR="00035316" w:rsidRDefault="00831B25">
            <w:pPr>
              <w:snapToGrid w:val="0"/>
              <w:jc w:val="center"/>
              <w:rPr>
                <w:rFonts w:ascii="宋体"/>
                <w:sz w:val="24"/>
              </w:rPr>
            </w:pPr>
            <w:r>
              <w:rPr>
                <w:rFonts w:ascii="宋体" w:hAnsi="宋体"/>
                <w:sz w:val="24"/>
              </w:rPr>
              <w:t>strict UTF-8 JSON 解码</w:t>
            </w:r>
          </w:p>
        </w:tc>
        <w:tc>
          <w:tcPr>
            <w:tcW w:w="1464" w:type="dxa"/>
            <w:tcBorders>
              <w:top w:val="nil"/>
              <w:left w:val="nil"/>
              <w:bottom w:val="nil"/>
              <w:right w:val="nil"/>
            </w:tcBorders>
            <w:tcMar>
              <w:top w:w="-1" w:type="dxa"/>
              <w:left w:w="-1" w:type="dxa"/>
              <w:bottom w:w="-1" w:type="dxa"/>
              <w:right w:w="-1" w:type="dxa"/>
            </w:tcMar>
            <w:vAlign w:val="center"/>
          </w:tcPr>
          <w:p w14:paraId="0D432F4C" w14:textId="77777777" w:rsidR="00035316" w:rsidRDefault="00831B25">
            <w:pPr>
              <w:snapToGrid w:val="0"/>
              <w:jc w:val="center"/>
              <w:rPr>
                <w:rFonts w:ascii="宋体"/>
                <w:sz w:val="24"/>
              </w:rPr>
            </w:pPr>
            <w:r>
              <w:rPr>
                <w:rFonts w:ascii="宋体" w:hAnsi="宋体"/>
                <w:sz w:val="24"/>
              </w:rPr>
              <w:t>JSON 数值钩子</w:t>
            </w:r>
          </w:p>
        </w:tc>
      </w:tr>
      <w:tr w:rsidR="00035316" w14:paraId="62227375"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1A4E83EF" w14:textId="77777777" w:rsidR="00035316" w:rsidRDefault="00831B25">
            <w:pPr>
              <w:snapToGrid w:val="0"/>
              <w:jc w:val="center"/>
              <w:rPr>
                <w:rFonts w:ascii="宋体"/>
                <w:sz w:val="24"/>
              </w:rPr>
            </w:pPr>
            <w:r>
              <w:rPr>
                <w:rFonts w:ascii="宋体" w:hAnsi="宋体"/>
                <w:sz w:val="24"/>
              </w:rPr>
              <w:t>截断请求体</w:t>
            </w:r>
          </w:p>
        </w:tc>
        <w:tc>
          <w:tcPr>
            <w:tcW w:w="3181" w:type="dxa"/>
            <w:tcBorders>
              <w:top w:val="nil"/>
              <w:left w:val="nil"/>
              <w:bottom w:val="nil"/>
              <w:right w:val="nil"/>
            </w:tcBorders>
            <w:tcMar>
              <w:top w:w="-1" w:type="dxa"/>
              <w:left w:w="-1" w:type="dxa"/>
              <w:bottom w:w="-1" w:type="dxa"/>
              <w:right w:w="-1" w:type="dxa"/>
            </w:tcMar>
            <w:vAlign w:val="center"/>
          </w:tcPr>
          <w:p w14:paraId="51282FC1" w14:textId="77777777" w:rsidR="00035316" w:rsidRDefault="00831B25">
            <w:pPr>
              <w:snapToGrid w:val="0"/>
              <w:jc w:val="center"/>
              <w:rPr>
                <w:rFonts w:ascii="宋体"/>
                <w:sz w:val="24"/>
              </w:rPr>
            </w:pPr>
            <w:r>
              <w:rPr>
                <w:rFonts w:ascii="宋体" w:hAnsi="宋体"/>
                <w:sz w:val="24"/>
              </w:rPr>
              <w:t>提前断流，验证 streaming body reader</w:t>
            </w:r>
          </w:p>
        </w:tc>
        <w:tc>
          <w:tcPr>
            <w:tcW w:w="0" w:type="auto"/>
            <w:tcBorders>
              <w:top w:val="nil"/>
              <w:left w:val="nil"/>
              <w:bottom w:val="nil"/>
              <w:right w:val="nil"/>
            </w:tcBorders>
            <w:tcMar>
              <w:top w:w="-1" w:type="dxa"/>
              <w:left w:w="-1" w:type="dxa"/>
              <w:bottom w:w="-1" w:type="dxa"/>
              <w:right w:w="-1" w:type="dxa"/>
            </w:tcMar>
            <w:vAlign w:val="center"/>
          </w:tcPr>
          <w:p w14:paraId="0DBCE758" w14:textId="77777777" w:rsidR="00035316" w:rsidRDefault="00831B25">
            <w:pPr>
              <w:snapToGrid w:val="0"/>
              <w:jc w:val="center"/>
              <w:rPr>
                <w:rFonts w:ascii="宋体"/>
                <w:sz w:val="24"/>
              </w:rPr>
            </w:pPr>
            <w:r>
              <w:rPr>
                <w:rFonts w:ascii="宋体" w:hAnsi="宋体"/>
                <w:sz w:val="24"/>
              </w:rPr>
              <w:t>流式 body 读取器</w:t>
            </w:r>
          </w:p>
        </w:tc>
        <w:tc>
          <w:tcPr>
            <w:tcW w:w="1464" w:type="dxa"/>
            <w:tcBorders>
              <w:top w:val="nil"/>
              <w:left w:val="nil"/>
              <w:bottom w:val="nil"/>
              <w:right w:val="nil"/>
            </w:tcBorders>
            <w:tcMar>
              <w:top w:w="-1" w:type="dxa"/>
              <w:left w:w="-1" w:type="dxa"/>
              <w:bottom w:w="-1" w:type="dxa"/>
              <w:right w:w="-1" w:type="dxa"/>
            </w:tcMar>
            <w:vAlign w:val="center"/>
          </w:tcPr>
          <w:p w14:paraId="2303C17C" w14:textId="77777777" w:rsidR="00035316" w:rsidRDefault="00831B25">
            <w:pPr>
              <w:snapToGrid w:val="0"/>
              <w:jc w:val="center"/>
              <w:rPr>
                <w:rFonts w:ascii="宋体"/>
                <w:sz w:val="24"/>
              </w:rPr>
            </w:pPr>
            <w:r>
              <w:rPr>
                <w:rFonts w:ascii="宋体" w:hAnsi="宋体"/>
                <w:sz w:val="24"/>
              </w:rPr>
              <w:t>不适用</w:t>
            </w:r>
          </w:p>
        </w:tc>
      </w:tr>
      <w:tr w:rsidR="00035316" w14:paraId="1B22F6BC"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5EB43F4C" w14:textId="77777777" w:rsidR="00035316" w:rsidRDefault="00831B25">
            <w:pPr>
              <w:snapToGrid w:val="0"/>
              <w:jc w:val="center"/>
              <w:rPr>
                <w:rFonts w:ascii="宋体"/>
                <w:sz w:val="24"/>
              </w:rPr>
            </w:pPr>
            <w:r>
              <w:rPr>
                <w:rFonts w:ascii="宋体" w:hAnsi="宋体"/>
                <w:sz w:val="24"/>
              </w:rPr>
              <w:t>重复 Nonce 并发重放</w:t>
            </w:r>
          </w:p>
        </w:tc>
        <w:tc>
          <w:tcPr>
            <w:tcW w:w="3181" w:type="dxa"/>
            <w:tcBorders>
              <w:top w:val="nil"/>
              <w:left w:val="nil"/>
              <w:bottom w:val="nil"/>
              <w:right w:val="nil"/>
            </w:tcBorders>
            <w:tcMar>
              <w:top w:w="-1" w:type="dxa"/>
              <w:left w:w="-1" w:type="dxa"/>
              <w:bottom w:w="-1" w:type="dxa"/>
              <w:right w:w="-1" w:type="dxa"/>
            </w:tcMar>
            <w:vAlign w:val="center"/>
          </w:tcPr>
          <w:p w14:paraId="43ED20C0" w14:textId="77777777" w:rsidR="00035316" w:rsidRDefault="00831B25">
            <w:pPr>
              <w:snapToGrid w:val="0"/>
              <w:jc w:val="center"/>
              <w:rPr>
                <w:rFonts w:ascii="宋体"/>
                <w:sz w:val="24"/>
              </w:rPr>
            </w:pPr>
            <w:r>
              <w:rPr>
                <w:rFonts w:ascii="宋体" w:hAnsi="宋体"/>
                <w:sz w:val="24"/>
              </w:rPr>
              <w:t>同 nonce 并发多发，验证幂等与重放防护</w:t>
            </w:r>
          </w:p>
        </w:tc>
        <w:tc>
          <w:tcPr>
            <w:tcW w:w="0" w:type="auto"/>
            <w:tcBorders>
              <w:top w:val="nil"/>
              <w:left w:val="nil"/>
              <w:bottom w:val="nil"/>
              <w:right w:val="nil"/>
            </w:tcBorders>
            <w:tcMar>
              <w:top w:w="-1" w:type="dxa"/>
              <w:left w:w="-1" w:type="dxa"/>
              <w:bottom w:w="-1" w:type="dxa"/>
              <w:right w:w="-1" w:type="dxa"/>
            </w:tcMar>
            <w:vAlign w:val="center"/>
          </w:tcPr>
          <w:p w14:paraId="7B0E2CEE" w14:textId="77777777" w:rsidR="00035316" w:rsidRDefault="00831B25">
            <w:pPr>
              <w:snapToGrid w:val="0"/>
              <w:jc w:val="center"/>
              <w:rPr>
                <w:rFonts w:ascii="宋体"/>
                <w:sz w:val="24"/>
              </w:rPr>
            </w:pPr>
            <w:r>
              <w:rPr>
                <w:rFonts w:ascii="宋体" w:hAnsi="宋体"/>
                <w:sz w:val="24"/>
              </w:rPr>
              <w:t>Nonce 重放缓存门</w:t>
            </w:r>
          </w:p>
        </w:tc>
        <w:tc>
          <w:tcPr>
            <w:tcW w:w="1464" w:type="dxa"/>
            <w:tcBorders>
              <w:top w:val="nil"/>
              <w:left w:val="nil"/>
              <w:bottom w:val="nil"/>
              <w:right w:val="nil"/>
            </w:tcBorders>
            <w:tcMar>
              <w:top w:w="-1" w:type="dxa"/>
              <w:left w:w="-1" w:type="dxa"/>
              <w:bottom w:w="-1" w:type="dxa"/>
              <w:right w:w="-1" w:type="dxa"/>
            </w:tcMar>
            <w:vAlign w:val="center"/>
          </w:tcPr>
          <w:p w14:paraId="69DE95BA" w14:textId="77777777" w:rsidR="00035316" w:rsidRDefault="00831B25">
            <w:pPr>
              <w:snapToGrid w:val="0"/>
              <w:jc w:val="center"/>
              <w:rPr>
                <w:rFonts w:ascii="宋体"/>
                <w:sz w:val="24"/>
              </w:rPr>
            </w:pPr>
            <w:r>
              <w:rPr>
                <w:rFonts w:ascii="宋体" w:hAnsi="宋体"/>
                <w:sz w:val="24"/>
              </w:rPr>
              <w:t>payload 指纹去重门</w:t>
            </w:r>
          </w:p>
        </w:tc>
      </w:tr>
      <w:tr w:rsidR="00035316" w14:paraId="18620ED9"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27604EEF" w14:textId="77777777" w:rsidR="00035316" w:rsidRDefault="00831B25">
            <w:pPr>
              <w:snapToGrid w:val="0"/>
              <w:jc w:val="center"/>
              <w:rPr>
                <w:rFonts w:ascii="宋体"/>
                <w:sz w:val="24"/>
              </w:rPr>
            </w:pPr>
            <w:r>
              <w:rPr>
                <w:rFonts w:ascii="宋体" w:hAnsi="宋体"/>
                <w:sz w:val="24"/>
              </w:rPr>
              <w:t>同载荷换 Nonce</w:t>
            </w:r>
          </w:p>
        </w:tc>
        <w:tc>
          <w:tcPr>
            <w:tcW w:w="3181" w:type="dxa"/>
            <w:tcBorders>
              <w:top w:val="nil"/>
              <w:left w:val="nil"/>
              <w:bottom w:val="nil"/>
              <w:right w:val="nil"/>
            </w:tcBorders>
            <w:tcMar>
              <w:top w:w="-1" w:type="dxa"/>
              <w:left w:w="-1" w:type="dxa"/>
              <w:bottom w:w="-1" w:type="dxa"/>
              <w:right w:w="-1" w:type="dxa"/>
            </w:tcMar>
            <w:vAlign w:val="center"/>
          </w:tcPr>
          <w:p w14:paraId="34C0E8FD" w14:textId="77777777" w:rsidR="00035316" w:rsidRDefault="00831B25">
            <w:pPr>
              <w:snapToGrid w:val="0"/>
              <w:jc w:val="center"/>
              <w:rPr>
                <w:rFonts w:ascii="宋体"/>
                <w:sz w:val="24"/>
              </w:rPr>
            </w:pPr>
            <w:r>
              <w:rPr>
                <w:rFonts w:ascii="宋体" w:hAnsi="宋体"/>
                <w:sz w:val="24"/>
              </w:rPr>
              <w:t>相同 share 指纹 + 新 nonce，验证 payload 去重</w:t>
            </w:r>
          </w:p>
        </w:tc>
        <w:tc>
          <w:tcPr>
            <w:tcW w:w="0" w:type="auto"/>
            <w:tcBorders>
              <w:top w:val="nil"/>
              <w:left w:val="nil"/>
              <w:bottom w:val="nil"/>
              <w:right w:val="nil"/>
            </w:tcBorders>
            <w:tcMar>
              <w:top w:w="-1" w:type="dxa"/>
              <w:left w:w="-1" w:type="dxa"/>
              <w:bottom w:w="-1" w:type="dxa"/>
              <w:right w:w="-1" w:type="dxa"/>
            </w:tcMar>
            <w:vAlign w:val="center"/>
          </w:tcPr>
          <w:p w14:paraId="67B6F44B" w14:textId="77777777" w:rsidR="00035316" w:rsidRDefault="00831B25">
            <w:pPr>
              <w:snapToGrid w:val="0"/>
              <w:jc w:val="center"/>
              <w:rPr>
                <w:rFonts w:ascii="宋体"/>
                <w:sz w:val="24"/>
              </w:rPr>
            </w:pPr>
            <w:r>
              <w:rPr>
                <w:rFonts w:ascii="宋体" w:hAnsi="宋体"/>
                <w:sz w:val="24"/>
              </w:rPr>
              <w:t>载荷重放缓存门</w:t>
            </w:r>
          </w:p>
        </w:tc>
        <w:tc>
          <w:tcPr>
            <w:tcW w:w="1464" w:type="dxa"/>
            <w:tcBorders>
              <w:top w:val="nil"/>
              <w:left w:val="nil"/>
              <w:bottom w:val="nil"/>
              <w:right w:val="nil"/>
            </w:tcBorders>
            <w:tcMar>
              <w:top w:w="-1" w:type="dxa"/>
              <w:left w:w="-1" w:type="dxa"/>
              <w:bottom w:w="-1" w:type="dxa"/>
              <w:right w:w="-1" w:type="dxa"/>
            </w:tcMar>
            <w:vAlign w:val="center"/>
          </w:tcPr>
          <w:p w14:paraId="70C6DEE6" w14:textId="77777777" w:rsidR="00035316" w:rsidRDefault="00831B25">
            <w:pPr>
              <w:snapToGrid w:val="0"/>
              <w:jc w:val="center"/>
              <w:rPr>
                <w:rFonts w:ascii="宋体"/>
                <w:sz w:val="24"/>
              </w:rPr>
            </w:pPr>
            <w:r>
              <w:rPr>
                <w:rFonts w:ascii="宋体" w:hAnsi="宋体"/>
                <w:sz w:val="24"/>
              </w:rPr>
              <w:t>IP inflight 配额门</w:t>
            </w:r>
          </w:p>
        </w:tc>
      </w:tr>
      <w:tr w:rsidR="00035316" w14:paraId="3269F73A" w14:textId="77777777">
        <w:trPr>
          <w:jc w:val="center"/>
        </w:trPr>
        <w:tc>
          <w:tcPr>
            <w:tcW w:w="2069" w:type="dxa"/>
            <w:tcBorders>
              <w:top w:val="nil"/>
              <w:left w:val="nil"/>
              <w:bottom w:val="nil"/>
              <w:right w:val="nil"/>
            </w:tcBorders>
            <w:tcMar>
              <w:top w:w="-1" w:type="dxa"/>
              <w:left w:w="-1" w:type="dxa"/>
              <w:bottom w:w="-1" w:type="dxa"/>
              <w:right w:w="-1" w:type="dxa"/>
            </w:tcMar>
            <w:vAlign w:val="center"/>
          </w:tcPr>
          <w:p w14:paraId="04E066E3" w14:textId="77777777" w:rsidR="00035316" w:rsidRDefault="00831B25">
            <w:pPr>
              <w:snapToGrid w:val="0"/>
              <w:jc w:val="center"/>
              <w:rPr>
                <w:rFonts w:ascii="宋体"/>
                <w:sz w:val="24"/>
              </w:rPr>
            </w:pPr>
            <w:r>
              <w:rPr>
                <w:rFonts w:ascii="宋体" w:hAnsi="宋体"/>
                <w:sz w:val="24"/>
              </w:rPr>
              <w:t>同 IP 并发占满</w:t>
            </w:r>
          </w:p>
        </w:tc>
        <w:tc>
          <w:tcPr>
            <w:tcW w:w="3181" w:type="dxa"/>
            <w:tcBorders>
              <w:top w:val="nil"/>
              <w:left w:val="nil"/>
              <w:bottom w:val="nil"/>
              <w:right w:val="nil"/>
            </w:tcBorders>
            <w:tcMar>
              <w:top w:w="-1" w:type="dxa"/>
              <w:left w:w="-1" w:type="dxa"/>
              <w:bottom w:w="-1" w:type="dxa"/>
              <w:right w:w="-1" w:type="dxa"/>
            </w:tcMar>
            <w:vAlign w:val="center"/>
          </w:tcPr>
          <w:p w14:paraId="2FD7D3F4" w14:textId="77777777" w:rsidR="00035316" w:rsidRDefault="00831B25">
            <w:pPr>
              <w:snapToGrid w:val="0"/>
              <w:jc w:val="center"/>
              <w:rPr>
                <w:rFonts w:ascii="宋体"/>
                <w:sz w:val="24"/>
              </w:rPr>
            </w:pPr>
            <w:r>
              <w:rPr>
                <w:rFonts w:ascii="宋体" w:hAnsi="宋体"/>
                <w:sz w:val="24"/>
              </w:rPr>
              <w:t>单一来源地址并发冲击已通过前置校验的执行配额</w:t>
            </w:r>
          </w:p>
        </w:tc>
        <w:tc>
          <w:tcPr>
            <w:tcW w:w="0" w:type="auto"/>
            <w:tcBorders>
              <w:top w:val="nil"/>
              <w:left w:val="nil"/>
              <w:bottom w:val="nil"/>
              <w:right w:val="nil"/>
            </w:tcBorders>
            <w:tcMar>
              <w:top w:w="-1" w:type="dxa"/>
              <w:left w:w="-1" w:type="dxa"/>
              <w:bottom w:w="-1" w:type="dxa"/>
              <w:right w:w="-1" w:type="dxa"/>
            </w:tcMar>
            <w:vAlign w:val="center"/>
          </w:tcPr>
          <w:p w14:paraId="05EB080B" w14:textId="77777777" w:rsidR="00035316" w:rsidRDefault="00831B25">
            <w:pPr>
              <w:snapToGrid w:val="0"/>
              <w:jc w:val="center"/>
              <w:rPr>
                <w:rFonts w:ascii="宋体"/>
                <w:sz w:val="24"/>
              </w:rPr>
            </w:pPr>
            <w:r>
              <w:rPr>
                <w:rFonts w:ascii="宋体" w:hAnsi="宋体"/>
                <w:sz w:val="24"/>
              </w:rPr>
              <w:t>单 IP inflight 守卫</w:t>
            </w:r>
          </w:p>
        </w:tc>
        <w:tc>
          <w:tcPr>
            <w:tcW w:w="1464" w:type="dxa"/>
            <w:tcBorders>
              <w:top w:val="nil"/>
              <w:left w:val="nil"/>
              <w:bottom w:val="nil"/>
              <w:right w:val="nil"/>
            </w:tcBorders>
            <w:tcMar>
              <w:top w:w="-1" w:type="dxa"/>
              <w:left w:w="-1" w:type="dxa"/>
              <w:bottom w:w="-1" w:type="dxa"/>
              <w:right w:w="-1" w:type="dxa"/>
            </w:tcMar>
            <w:vAlign w:val="center"/>
          </w:tcPr>
          <w:p w14:paraId="24A03DA7" w14:textId="77777777" w:rsidR="00035316" w:rsidRDefault="00831B25">
            <w:pPr>
              <w:snapToGrid w:val="0"/>
              <w:jc w:val="center"/>
              <w:rPr>
                <w:rFonts w:ascii="宋体"/>
                <w:sz w:val="24"/>
              </w:rPr>
            </w:pPr>
            <w:r>
              <w:rPr>
                <w:rFonts w:ascii="宋体" w:hAnsi="宋体"/>
                <w:sz w:val="24"/>
              </w:rPr>
              <w:t>全局 inflight 守卫</w:t>
            </w:r>
          </w:p>
        </w:tc>
      </w:tr>
      <w:tr w:rsidR="00035316" w14:paraId="5F667542" w14:textId="77777777">
        <w:trPr>
          <w:jc w:val="center"/>
        </w:trPr>
        <w:tc>
          <w:tcPr>
            <w:tcW w:w="2069" w:type="dxa"/>
            <w:tcBorders>
              <w:top w:val="nil"/>
              <w:left w:val="nil"/>
              <w:bottom w:val="single" w:sz="12" w:space="0" w:color="auto"/>
              <w:right w:val="nil"/>
            </w:tcBorders>
            <w:tcMar>
              <w:top w:w="-1" w:type="dxa"/>
              <w:left w:w="-1" w:type="dxa"/>
              <w:bottom w:w="-1" w:type="dxa"/>
              <w:right w:w="-1" w:type="dxa"/>
            </w:tcMar>
            <w:vAlign w:val="center"/>
          </w:tcPr>
          <w:p w14:paraId="263E3175" w14:textId="77777777" w:rsidR="00035316" w:rsidRDefault="00831B25">
            <w:pPr>
              <w:snapToGrid w:val="0"/>
              <w:jc w:val="center"/>
              <w:rPr>
                <w:rFonts w:ascii="宋体"/>
                <w:sz w:val="24"/>
              </w:rPr>
            </w:pPr>
            <w:r>
              <w:rPr>
                <w:rFonts w:ascii="宋体" w:hAnsi="宋体"/>
                <w:sz w:val="24"/>
              </w:rPr>
              <w:t>短窗限频</w:t>
            </w:r>
          </w:p>
        </w:tc>
        <w:tc>
          <w:tcPr>
            <w:tcW w:w="3181" w:type="dxa"/>
            <w:tcBorders>
              <w:top w:val="nil"/>
              <w:left w:val="nil"/>
              <w:bottom w:val="single" w:sz="12" w:space="0" w:color="auto"/>
              <w:right w:val="nil"/>
            </w:tcBorders>
            <w:tcMar>
              <w:top w:w="-1" w:type="dxa"/>
              <w:left w:w="-1" w:type="dxa"/>
              <w:bottom w:w="-1" w:type="dxa"/>
              <w:right w:w="-1" w:type="dxa"/>
            </w:tcMar>
            <w:vAlign w:val="center"/>
          </w:tcPr>
          <w:p w14:paraId="3AFC109F" w14:textId="77777777" w:rsidR="00035316" w:rsidRDefault="00831B25">
            <w:pPr>
              <w:snapToGrid w:val="0"/>
              <w:jc w:val="center"/>
              <w:rPr>
                <w:rFonts w:ascii="宋体"/>
                <w:sz w:val="24"/>
              </w:rPr>
            </w:pPr>
            <w:r>
              <w:rPr>
                <w:rFonts w:ascii="宋体" w:hAnsi="宋体"/>
                <w:sz w:val="24"/>
              </w:rPr>
              <w:t>同 IP 短时间空载请求探测限流门</w:t>
            </w:r>
          </w:p>
        </w:tc>
        <w:tc>
          <w:tcPr>
            <w:tcW w:w="2106" w:type="dxa"/>
            <w:tcBorders>
              <w:top w:val="nil"/>
              <w:left w:val="nil"/>
              <w:bottom w:val="single" w:sz="12" w:space="0" w:color="auto"/>
              <w:right w:val="nil"/>
            </w:tcBorders>
            <w:tcMar>
              <w:top w:w="-1" w:type="dxa"/>
              <w:left w:w="-1" w:type="dxa"/>
              <w:bottom w:w="-1" w:type="dxa"/>
              <w:right w:w="-1" w:type="dxa"/>
            </w:tcMar>
            <w:vAlign w:val="center"/>
          </w:tcPr>
          <w:p w14:paraId="731689A9" w14:textId="77777777" w:rsidR="00035316" w:rsidRDefault="00831B25">
            <w:pPr>
              <w:snapToGrid w:val="0"/>
              <w:jc w:val="center"/>
              <w:rPr>
                <w:rFonts w:ascii="宋体"/>
                <w:sz w:val="24"/>
              </w:rPr>
            </w:pPr>
            <w:r>
              <w:rPr>
                <w:rFonts w:ascii="宋体" w:hAnsi="宋体"/>
                <w:sz w:val="24"/>
              </w:rPr>
              <w:t>IP 滑动窗口限频</w:t>
            </w:r>
          </w:p>
        </w:tc>
        <w:tc>
          <w:tcPr>
            <w:tcW w:w="1464" w:type="dxa"/>
            <w:tcBorders>
              <w:top w:val="nil"/>
              <w:left w:val="nil"/>
              <w:bottom w:val="single" w:sz="12" w:space="0" w:color="auto"/>
              <w:right w:val="nil"/>
            </w:tcBorders>
            <w:tcMar>
              <w:top w:w="-1" w:type="dxa"/>
              <w:left w:w="-1" w:type="dxa"/>
              <w:bottom w:w="-1" w:type="dxa"/>
              <w:right w:w="-1" w:type="dxa"/>
            </w:tcMar>
            <w:vAlign w:val="center"/>
          </w:tcPr>
          <w:p w14:paraId="42AC19CC" w14:textId="77777777" w:rsidR="00035316" w:rsidRDefault="00831B25">
            <w:pPr>
              <w:snapToGrid w:val="0"/>
              <w:jc w:val="center"/>
              <w:rPr>
                <w:rFonts w:ascii="宋体"/>
                <w:sz w:val="24"/>
              </w:rPr>
            </w:pPr>
            <w:r>
              <w:rPr>
                <w:rFonts w:ascii="宋体" w:hAnsi="宋体"/>
                <w:sz w:val="24"/>
              </w:rPr>
              <w:t>不适用</w:t>
            </w:r>
          </w:p>
        </w:tc>
      </w:tr>
    </w:tbl>
    <w:p w14:paraId="78AD501F" w14:textId="77777777" w:rsidR="00035316" w:rsidRDefault="00831B25">
      <w:pPr>
        <w:spacing w:line="360" w:lineRule="auto"/>
        <w:jc w:val="center"/>
      </w:pPr>
      <w:r>
        <w:rPr>
          <w:rFonts w:ascii="宋体" w:hAnsi="宋体"/>
          <w:sz w:val="22"/>
        </w:rPr>
        <w:t>表</w:t>
      </w:r>
      <w:r>
        <w:rPr>
          <w:rFonts w:ascii="宋体" w:hAnsi="宋体" w:hint="eastAsia"/>
          <w:sz w:val="22"/>
        </w:rPr>
        <w:t xml:space="preserve">13 </w:t>
      </w:r>
      <w:r>
        <w:rPr>
          <w:rFonts w:ascii="宋体" w:hAnsi="宋体" w:cs="宋体"/>
          <w:sz w:val="24"/>
        </w:rPr>
        <w:t>异常场景返回处置与系统状态明细（下）</w:t>
      </w:r>
    </w:p>
    <w:tbl>
      <w:tblPr>
        <w:tblW w:w="5174" w:type="pct"/>
        <w:jc w:val="center"/>
        <w:tblLayout w:type="fixed"/>
        <w:tblLook w:val="04A0" w:firstRow="1" w:lastRow="0" w:firstColumn="1" w:lastColumn="0" w:noHBand="0" w:noVBand="1"/>
      </w:tblPr>
      <w:tblGrid>
        <w:gridCol w:w="1509"/>
        <w:gridCol w:w="3403"/>
        <w:gridCol w:w="2165"/>
        <w:gridCol w:w="2050"/>
      </w:tblGrid>
      <w:tr w:rsidR="00035316" w14:paraId="6A814815" w14:textId="77777777">
        <w:trPr>
          <w:tblHeader/>
          <w:jc w:val="center"/>
        </w:trPr>
        <w:tc>
          <w:tcPr>
            <w:tcW w:w="827" w:type="pct"/>
            <w:tcBorders>
              <w:top w:val="single" w:sz="12" w:space="0" w:color="auto"/>
              <w:left w:val="nil"/>
              <w:bottom w:val="nil"/>
              <w:right w:val="nil"/>
            </w:tcBorders>
            <w:tcMar>
              <w:top w:w="-1" w:type="dxa"/>
              <w:left w:w="-1" w:type="dxa"/>
              <w:bottom w:w="-1" w:type="dxa"/>
              <w:right w:w="-1" w:type="dxa"/>
            </w:tcMar>
            <w:vAlign w:val="center"/>
          </w:tcPr>
          <w:p w14:paraId="2BE7ABBA" w14:textId="77777777" w:rsidR="00035316" w:rsidRDefault="00831B25">
            <w:pPr>
              <w:snapToGrid w:val="0"/>
              <w:jc w:val="center"/>
              <w:rPr>
                <w:rFonts w:ascii="宋体"/>
                <w:b/>
                <w:sz w:val="24"/>
              </w:rPr>
            </w:pPr>
            <w:r>
              <w:rPr>
                <w:rFonts w:ascii="宋体" w:hAnsi="宋体"/>
                <w:b/>
                <w:sz w:val="24"/>
              </w:rPr>
              <w:t>异常场景</w:t>
            </w:r>
          </w:p>
        </w:tc>
        <w:tc>
          <w:tcPr>
            <w:tcW w:w="1863" w:type="pct"/>
            <w:tcBorders>
              <w:top w:val="single" w:sz="12" w:space="0" w:color="auto"/>
              <w:left w:val="nil"/>
              <w:bottom w:val="nil"/>
              <w:right w:val="nil"/>
            </w:tcBorders>
            <w:tcMar>
              <w:top w:w="-1" w:type="dxa"/>
              <w:left w:w="-1" w:type="dxa"/>
              <w:bottom w:w="-1" w:type="dxa"/>
              <w:right w:w="-1" w:type="dxa"/>
            </w:tcMar>
            <w:vAlign w:val="center"/>
          </w:tcPr>
          <w:p w14:paraId="71B3B8C9" w14:textId="77777777" w:rsidR="00035316" w:rsidRDefault="00831B25">
            <w:pPr>
              <w:snapToGrid w:val="0"/>
              <w:jc w:val="center"/>
              <w:rPr>
                <w:rFonts w:ascii="宋体"/>
                <w:b/>
                <w:sz w:val="24"/>
              </w:rPr>
            </w:pPr>
            <w:r>
              <w:rPr>
                <w:rFonts w:ascii="宋体" w:hAnsi="宋体"/>
                <w:b/>
                <w:sz w:val="24"/>
              </w:rPr>
              <w:t>返回/处置</w:t>
            </w:r>
          </w:p>
        </w:tc>
        <w:tc>
          <w:tcPr>
            <w:tcW w:w="1185" w:type="pct"/>
            <w:tcBorders>
              <w:top w:val="single" w:sz="12" w:space="0" w:color="auto"/>
              <w:left w:val="nil"/>
              <w:bottom w:val="nil"/>
              <w:right w:val="nil"/>
            </w:tcBorders>
            <w:tcMar>
              <w:top w:w="-1" w:type="dxa"/>
              <w:left w:w="-1" w:type="dxa"/>
              <w:bottom w:w="-1" w:type="dxa"/>
              <w:right w:w="-1" w:type="dxa"/>
            </w:tcMar>
            <w:vAlign w:val="center"/>
          </w:tcPr>
          <w:p w14:paraId="16C4FC65" w14:textId="77777777" w:rsidR="00035316" w:rsidRDefault="00831B25">
            <w:pPr>
              <w:snapToGrid w:val="0"/>
              <w:jc w:val="center"/>
              <w:rPr>
                <w:rFonts w:ascii="宋体"/>
                <w:b/>
                <w:sz w:val="24"/>
              </w:rPr>
            </w:pPr>
            <w:r>
              <w:rPr>
                <w:rFonts w:ascii="宋体" w:hAnsi="宋体"/>
                <w:b/>
                <w:sz w:val="24"/>
              </w:rPr>
              <w:t>系统状态</w:t>
            </w:r>
          </w:p>
        </w:tc>
        <w:tc>
          <w:tcPr>
            <w:tcW w:w="1122" w:type="pct"/>
            <w:tcBorders>
              <w:top w:val="single" w:sz="12" w:space="0" w:color="auto"/>
              <w:left w:val="nil"/>
              <w:bottom w:val="nil"/>
              <w:right w:val="nil"/>
            </w:tcBorders>
            <w:tcMar>
              <w:top w:w="-1" w:type="dxa"/>
              <w:left w:w="-1" w:type="dxa"/>
              <w:bottom w:w="-1" w:type="dxa"/>
              <w:right w:w="-1" w:type="dxa"/>
            </w:tcMar>
            <w:vAlign w:val="center"/>
          </w:tcPr>
          <w:p w14:paraId="1E136E75" w14:textId="77777777" w:rsidR="00035316" w:rsidRDefault="00831B25">
            <w:pPr>
              <w:snapToGrid w:val="0"/>
              <w:jc w:val="center"/>
              <w:rPr>
                <w:rFonts w:ascii="宋体"/>
                <w:b/>
                <w:sz w:val="24"/>
              </w:rPr>
            </w:pPr>
            <w:r>
              <w:rPr>
                <w:rFonts w:ascii="宋体" w:hAnsi="宋体"/>
                <w:b/>
                <w:sz w:val="24"/>
              </w:rPr>
              <w:t>证据来源</w:t>
            </w:r>
          </w:p>
        </w:tc>
      </w:tr>
      <w:tr w:rsidR="00035316" w14:paraId="791CA7C6" w14:textId="77777777">
        <w:trPr>
          <w:jc w:val="center"/>
        </w:trPr>
        <w:tc>
          <w:tcPr>
            <w:tcW w:w="827" w:type="pct"/>
            <w:tcBorders>
              <w:top w:val="single" w:sz="4" w:space="0" w:color="auto"/>
              <w:left w:val="nil"/>
              <w:bottom w:val="nil"/>
              <w:right w:val="nil"/>
            </w:tcBorders>
            <w:tcMar>
              <w:top w:w="-1" w:type="dxa"/>
              <w:left w:w="-1" w:type="dxa"/>
              <w:bottom w:w="-1" w:type="dxa"/>
              <w:right w:w="-1" w:type="dxa"/>
            </w:tcMar>
            <w:vAlign w:val="center"/>
          </w:tcPr>
          <w:p w14:paraId="7CB735B3" w14:textId="77777777" w:rsidR="00035316" w:rsidRDefault="00831B25">
            <w:pPr>
              <w:snapToGrid w:val="0"/>
              <w:jc w:val="center"/>
              <w:rPr>
                <w:rFonts w:ascii="宋体"/>
                <w:sz w:val="24"/>
              </w:rPr>
            </w:pPr>
            <w:r>
              <w:rPr>
                <w:rFonts w:ascii="宋体" w:hAnsi="宋体"/>
                <w:sz w:val="24"/>
              </w:rPr>
              <w:t>Chunked 编码绕过</w:t>
            </w:r>
          </w:p>
        </w:tc>
        <w:tc>
          <w:tcPr>
            <w:tcW w:w="1863" w:type="pct"/>
            <w:tcBorders>
              <w:top w:val="single" w:sz="4" w:space="0" w:color="auto"/>
              <w:left w:val="nil"/>
              <w:bottom w:val="nil"/>
              <w:right w:val="nil"/>
            </w:tcBorders>
            <w:tcMar>
              <w:top w:w="-1" w:type="dxa"/>
              <w:left w:w="-1" w:type="dxa"/>
              <w:bottom w:w="-1" w:type="dxa"/>
              <w:right w:w="-1" w:type="dxa"/>
            </w:tcMar>
            <w:vAlign w:val="center"/>
          </w:tcPr>
          <w:p w14:paraId="1B941FB2" w14:textId="77777777" w:rsidR="00035316" w:rsidRDefault="00831B25">
            <w:pPr>
              <w:snapToGrid w:val="0"/>
              <w:jc w:val="center"/>
              <w:rPr>
                <w:rFonts w:ascii="宋体"/>
                <w:sz w:val="24"/>
              </w:rPr>
            </w:pPr>
            <w:r>
              <w:rPr>
                <w:rFonts w:ascii="宋体" w:hAnsi="宋体"/>
                <w:sz w:val="24"/>
              </w:rPr>
              <w:t>HTTP 400 / transfer_encoding_not_supported</w:t>
            </w:r>
          </w:p>
        </w:tc>
        <w:tc>
          <w:tcPr>
            <w:tcW w:w="1185" w:type="pct"/>
            <w:tcBorders>
              <w:top w:val="single" w:sz="4" w:space="0" w:color="auto"/>
              <w:left w:val="nil"/>
              <w:bottom w:val="nil"/>
              <w:right w:val="nil"/>
            </w:tcBorders>
            <w:tcMar>
              <w:top w:w="-1" w:type="dxa"/>
              <w:left w:w="-1" w:type="dxa"/>
              <w:bottom w:w="-1" w:type="dxa"/>
              <w:right w:w="-1" w:type="dxa"/>
            </w:tcMar>
            <w:vAlign w:val="center"/>
          </w:tcPr>
          <w:p w14:paraId="1C90B952"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ΔRSS=+0</m:t>
              </m:r>
            </m:oMath>
            <w:r>
              <w:rPr>
                <w:rFonts w:ascii="宋体" w:hAnsi="宋体"/>
                <w:sz w:val="24"/>
              </w:rPr>
              <w:t>KiB；</w:t>
            </w:r>
            <m:oMath>
              <m:r>
                <w:rPr>
                  <w:rFonts w:ascii="Cambria Math" w:hAnsi="Cambria Math"/>
                  <w:sz w:val="24"/>
                </w:rPr>
                <m:t>ΔThr=+0</m:t>
              </m:r>
            </m:oMath>
          </w:p>
        </w:tc>
        <w:tc>
          <w:tcPr>
            <w:tcW w:w="1122" w:type="pct"/>
            <w:tcBorders>
              <w:top w:val="single" w:sz="4" w:space="0" w:color="auto"/>
              <w:left w:val="nil"/>
              <w:bottom w:val="nil"/>
              <w:right w:val="nil"/>
            </w:tcBorders>
            <w:tcMar>
              <w:top w:w="-1" w:type="dxa"/>
              <w:left w:w="-1" w:type="dxa"/>
              <w:bottom w:w="-1" w:type="dxa"/>
              <w:right w:w="-1" w:type="dxa"/>
            </w:tcMar>
            <w:vAlign w:val="center"/>
          </w:tcPr>
          <w:p w14:paraId="77224777" w14:textId="77777777" w:rsidR="00035316" w:rsidRDefault="00831B25">
            <w:pPr>
              <w:snapToGrid w:val="0"/>
              <w:jc w:val="center"/>
              <w:rPr>
                <w:rFonts w:ascii="宋体"/>
                <w:sz w:val="24"/>
              </w:rPr>
            </w:pPr>
            <w:r>
              <w:rPr>
                <w:rFonts w:ascii="宋体" w:hAnsi="宋体"/>
                <w:sz w:val="24"/>
              </w:rPr>
              <w:t>协议异常输入验证记录 / A1</w:t>
            </w:r>
          </w:p>
        </w:tc>
      </w:tr>
      <w:tr w:rsidR="00035316" w14:paraId="7E32C42A"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5B5D4765" w14:textId="77777777" w:rsidR="00035316" w:rsidRDefault="00831B25">
            <w:pPr>
              <w:snapToGrid w:val="0"/>
              <w:jc w:val="center"/>
              <w:rPr>
                <w:rFonts w:ascii="宋体"/>
                <w:sz w:val="24"/>
              </w:rPr>
            </w:pPr>
            <w:r>
              <w:rPr>
                <w:rFonts w:ascii="宋体" w:hAnsi="宋体"/>
                <w:sz w:val="24"/>
              </w:rPr>
              <w:t>超大 Content-Length</w:t>
            </w:r>
          </w:p>
        </w:tc>
        <w:tc>
          <w:tcPr>
            <w:tcW w:w="1863" w:type="pct"/>
            <w:tcBorders>
              <w:top w:val="nil"/>
              <w:left w:val="nil"/>
              <w:bottom w:val="nil"/>
              <w:right w:val="nil"/>
            </w:tcBorders>
            <w:tcMar>
              <w:top w:w="-1" w:type="dxa"/>
              <w:left w:w="-1" w:type="dxa"/>
              <w:bottom w:w="-1" w:type="dxa"/>
              <w:right w:w="-1" w:type="dxa"/>
            </w:tcMar>
            <w:vAlign w:val="center"/>
          </w:tcPr>
          <w:p w14:paraId="2488E042" w14:textId="77777777" w:rsidR="00035316" w:rsidRDefault="00831B25">
            <w:pPr>
              <w:snapToGrid w:val="0"/>
              <w:jc w:val="center"/>
              <w:rPr>
                <w:rFonts w:ascii="宋体"/>
                <w:sz w:val="24"/>
              </w:rPr>
            </w:pPr>
            <w:r>
              <w:rPr>
                <w:rFonts w:ascii="宋体" w:hAnsi="宋体"/>
                <w:sz w:val="24"/>
              </w:rPr>
              <w:t>HTTP 413 / payload_too_large</w:t>
            </w:r>
          </w:p>
        </w:tc>
        <w:tc>
          <w:tcPr>
            <w:tcW w:w="1185" w:type="pct"/>
            <w:tcBorders>
              <w:top w:val="nil"/>
              <w:left w:val="nil"/>
              <w:bottom w:val="nil"/>
              <w:right w:val="nil"/>
            </w:tcBorders>
            <w:tcMar>
              <w:top w:w="-1" w:type="dxa"/>
              <w:left w:w="-1" w:type="dxa"/>
              <w:bottom w:w="-1" w:type="dxa"/>
              <w:right w:w="-1" w:type="dxa"/>
            </w:tcMar>
            <w:vAlign w:val="center"/>
          </w:tcPr>
          <w:p w14:paraId="32101367"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ΔRSS=+0</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2DC51E93" w14:textId="77777777" w:rsidR="00035316" w:rsidRDefault="00831B25">
            <w:pPr>
              <w:snapToGrid w:val="0"/>
              <w:jc w:val="center"/>
              <w:rPr>
                <w:rFonts w:ascii="宋体"/>
                <w:sz w:val="24"/>
              </w:rPr>
            </w:pPr>
            <w:r>
              <w:rPr>
                <w:rFonts w:ascii="宋体" w:hAnsi="宋体"/>
                <w:sz w:val="24"/>
              </w:rPr>
              <w:t>协议异常输入验证记录 / A2</w:t>
            </w:r>
          </w:p>
        </w:tc>
      </w:tr>
      <w:tr w:rsidR="00035316" w14:paraId="0005F456"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7C9C8C7F" w14:textId="77777777" w:rsidR="00035316" w:rsidRDefault="00831B25">
            <w:pPr>
              <w:snapToGrid w:val="0"/>
              <w:jc w:val="center"/>
              <w:rPr>
                <w:rFonts w:ascii="宋体"/>
                <w:sz w:val="24"/>
              </w:rPr>
            </w:pPr>
            <w:r>
              <w:rPr>
                <w:rFonts w:ascii="宋体" w:hAnsi="宋体"/>
                <w:sz w:val="24"/>
              </w:rPr>
              <w:t>重复字段名</w:t>
            </w:r>
          </w:p>
        </w:tc>
        <w:tc>
          <w:tcPr>
            <w:tcW w:w="1863" w:type="pct"/>
            <w:tcBorders>
              <w:top w:val="nil"/>
              <w:left w:val="nil"/>
              <w:bottom w:val="nil"/>
              <w:right w:val="nil"/>
            </w:tcBorders>
            <w:tcMar>
              <w:top w:w="-1" w:type="dxa"/>
              <w:left w:w="-1" w:type="dxa"/>
              <w:bottom w:w="-1" w:type="dxa"/>
              <w:right w:w="-1" w:type="dxa"/>
            </w:tcMar>
            <w:vAlign w:val="center"/>
          </w:tcPr>
          <w:p w14:paraId="1CC6CD1D" w14:textId="77777777" w:rsidR="00035316" w:rsidRDefault="00831B2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11B79772"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ΔRSS=+152</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4B39B5F2" w14:textId="77777777" w:rsidR="00035316" w:rsidRDefault="00831B25">
            <w:pPr>
              <w:snapToGrid w:val="0"/>
              <w:jc w:val="center"/>
              <w:rPr>
                <w:rFonts w:ascii="宋体"/>
                <w:sz w:val="24"/>
              </w:rPr>
            </w:pPr>
            <w:r>
              <w:rPr>
                <w:rFonts w:ascii="宋体" w:hAnsi="宋体"/>
                <w:sz w:val="24"/>
              </w:rPr>
              <w:t>协议异常输入验证记录 / A3</w:t>
            </w:r>
          </w:p>
        </w:tc>
      </w:tr>
      <w:tr w:rsidR="00035316" w14:paraId="3E7CB482"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7F7B3E89" w14:textId="77777777" w:rsidR="00035316" w:rsidRDefault="00831B25">
            <w:pPr>
              <w:snapToGrid w:val="0"/>
              <w:jc w:val="center"/>
              <w:rPr>
                <w:rFonts w:ascii="宋体"/>
                <w:sz w:val="24"/>
              </w:rPr>
            </w:pPr>
            <w:r>
              <w:rPr>
                <w:rFonts w:ascii="宋体" w:hAnsi="宋体"/>
                <w:sz w:val="24"/>
              </w:rPr>
              <w:t>Boundary 扇出</w:t>
            </w:r>
          </w:p>
        </w:tc>
        <w:tc>
          <w:tcPr>
            <w:tcW w:w="1863" w:type="pct"/>
            <w:tcBorders>
              <w:top w:val="nil"/>
              <w:left w:val="nil"/>
              <w:bottom w:val="nil"/>
              <w:right w:val="nil"/>
            </w:tcBorders>
            <w:tcMar>
              <w:top w:w="-1" w:type="dxa"/>
              <w:left w:w="-1" w:type="dxa"/>
              <w:bottom w:w="-1" w:type="dxa"/>
              <w:right w:w="-1" w:type="dxa"/>
            </w:tcMar>
            <w:vAlign w:val="center"/>
          </w:tcPr>
          <w:p w14:paraId="361B0FEC" w14:textId="77777777" w:rsidR="00035316" w:rsidRDefault="00831B2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473EA5A1"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ΔRSS=+0</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4964E39C" w14:textId="77777777" w:rsidR="00035316" w:rsidRDefault="00831B25">
            <w:pPr>
              <w:snapToGrid w:val="0"/>
              <w:jc w:val="center"/>
              <w:rPr>
                <w:rFonts w:ascii="宋体"/>
                <w:sz w:val="24"/>
              </w:rPr>
            </w:pPr>
            <w:r>
              <w:rPr>
                <w:rFonts w:ascii="宋体" w:hAnsi="宋体"/>
                <w:sz w:val="24"/>
              </w:rPr>
              <w:t>协议异常输入验证记录 / A4</w:t>
            </w:r>
          </w:p>
        </w:tc>
      </w:tr>
      <w:tr w:rsidR="00035316" w14:paraId="032CF39E"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5125BB17" w14:textId="77777777" w:rsidR="00035316" w:rsidRDefault="00831B25">
            <w:pPr>
              <w:snapToGrid w:val="0"/>
              <w:jc w:val="center"/>
              <w:rPr>
                <w:rFonts w:ascii="宋体"/>
                <w:sz w:val="24"/>
              </w:rPr>
            </w:pPr>
            <w:r>
              <w:rPr>
                <w:rFonts w:ascii="宋体" w:hAnsi="宋体"/>
                <w:sz w:val="24"/>
              </w:rPr>
              <w:t>嵌套 multipart</w:t>
            </w:r>
          </w:p>
        </w:tc>
        <w:tc>
          <w:tcPr>
            <w:tcW w:w="1863" w:type="pct"/>
            <w:tcBorders>
              <w:top w:val="nil"/>
              <w:left w:val="nil"/>
              <w:bottom w:val="nil"/>
              <w:right w:val="nil"/>
            </w:tcBorders>
            <w:tcMar>
              <w:top w:w="-1" w:type="dxa"/>
              <w:left w:w="-1" w:type="dxa"/>
              <w:bottom w:w="-1" w:type="dxa"/>
              <w:right w:w="-1" w:type="dxa"/>
            </w:tcMar>
            <w:vAlign w:val="center"/>
          </w:tcPr>
          <w:p w14:paraId="2F872F5B" w14:textId="77777777" w:rsidR="00035316" w:rsidRDefault="00831B2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70309344"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ΔRSS=+1024</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128E9669" w14:textId="77777777" w:rsidR="00035316" w:rsidRDefault="00831B25">
            <w:pPr>
              <w:snapToGrid w:val="0"/>
              <w:jc w:val="center"/>
              <w:rPr>
                <w:rFonts w:ascii="宋体"/>
                <w:sz w:val="24"/>
              </w:rPr>
            </w:pPr>
            <w:r>
              <w:rPr>
                <w:rFonts w:ascii="宋体" w:hAnsi="宋体"/>
                <w:sz w:val="24"/>
              </w:rPr>
              <w:t>协议异常输入验证记录 / A5</w:t>
            </w:r>
          </w:p>
        </w:tc>
      </w:tr>
      <w:tr w:rsidR="00035316" w14:paraId="0BEC9A28"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6E8AB416" w14:textId="77777777" w:rsidR="00035316" w:rsidRDefault="00831B25">
            <w:pPr>
              <w:snapToGrid w:val="0"/>
              <w:jc w:val="center"/>
              <w:rPr>
                <w:rFonts w:ascii="宋体"/>
                <w:sz w:val="24"/>
              </w:rPr>
            </w:pPr>
            <w:r>
              <w:rPr>
                <w:rFonts w:ascii="宋体" w:hAnsi="宋体"/>
                <w:sz w:val="24"/>
              </w:rPr>
              <w:t>超长 JSON</w:t>
            </w:r>
          </w:p>
        </w:tc>
        <w:tc>
          <w:tcPr>
            <w:tcW w:w="1863" w:type="pct"/>
            <w:tcBorders>
              <w:top w:val="nil"/>
              <w:left w:val="nil"/>
              <w:bottom w:val="nil"/>
              <w:right w:val="nil"/>
            </w:tcBorders>
            <w:tcMar>
              <w:top w:w="-1" w:type="dxa"/>
              <w:left w:w="-1" w:type="dxa"/>
              <w:bottom w:w="-1" w:type="dxa"/>
              <w:right w:w="-1" w:type="dxa"/>
            </w:tcMar>
            <w:vAlign w:val="center"/>
          </w:tcPr>
          <w:p w14:paraId="5A2B98F8" w14:textId="77777777" w:rsidR="00035316" w:rsidRDefault="00831B25">
            <w:pPr>
              <w:snapToGrid w:val="0"/>
              <w:jc w:val="center"/>
              <w:rPr>
                <w:rFonts w:ascii="宋体"/>
                <w:sz w:val="24"/>
              </w:rPr>
            </w:pPr>
            <w:r>
              <w:rPr>
                <w:rFonts w:ascii="宋体" w:hAnsi="宋体"/>
                <w:sz w:val="24"/>
              </w:rPr>
              <w:t>HTTP 400 / invalid_control_plane_payload</w:t>
            </w:r>
          </w:p>
        </w:tc>
        <w:tc>
          <w:tcPr>
            <w:tcW w:w="1185" w:type="pct"/>
            <w:tcBorders>
              <w:top w:val="nil"/>
              <w:left w:val="nil"/>
              <w:bottom w:val="nil"/>
              <w:right w:val="nil"/>
            </w:tcBorders>
            <w:tcMar>
              <w:top w:w="-1" w:type="dxa"/>
              <w:left w:w="-1" w:type="dxa"/>
              <w:bottom w:w="-1" w:type="dxa"/>
              <w:right w:w="-1" w:type="dxa"/>
            </w:tcMar>
            <w:vAlign w:val="center"/>
          </w:tcPr>
          <w:p w14:paraId="55983EEE"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ΔRSS=+5120</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4CB30C53" w14:textId="77777777" w:rsidR="00035316" w:rsidRDefault="00831B25">
            <w:pPr>
              <w:snapToGrid w:val="0"/>
              <w:jc w:val="center"/>
              <w:rPr>
                <w:rFonts w:ascii="宋体"/>
                <w:sz w:val="24"/>
              </w:rPr>
            </w:pPr>
            <w:r>
              <w:rPr>
                <w:rFonts w:ascii="宋体" w:hAnsi="宋体"/>
                <w:sz w:val="24"/>
              </w:rPr>
              <w:t>协议异常输入验证记录 / A6</w:t>
            </w:r>
          </w:p>
        </w:tc>
      </w:tr>
      <w:tr w:rsidR="00035316" w14:paraId="52DEDDEF"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0EE2A762" w14:textId="77777777" w:rsidR="00035316" w:rsidRDefault="00831B25">
            <w:pPr>
              <w:snapToGrid w:val="0"/>
              <w:jc w:val="center"/>
              <w:rPr>
                <w:rFonts w:ascii="宋体"/>
                <w:sz w:val="24"/>
              </w:rPr>
            </w:pPr>
            <w:r>
              <w:rPr>
                <w:rFonts w:ascii="宋体" w:hAnsi="宋体"/>
                <w:sz w:val="24"/>
              </w:rPr>
              <w:t>字段集漂移</w:t>
            </w:r>
          </w:p>
        </w:tc>
        <w:tc>
          <w:tcPr>
            <w:tcW w:w="1863" w:type="pct"/>
            <w:tcBorders>
              <w:top w:val="nil"/>
              <w:left w:val="nil"/>
              <w:bottom w:val="nil"/>
              <w:right w:val="nil"/>
            </w:tcBorders>
            <w:tcMar>
              <w:top w:w="-1" w:type="dxa"/>
              <w:left w:w="-1" w:type="dxa"/>
              <w:bottom w:w="-1" w:type="dxa"/>
              <w:right w:w="-1" w:type="dxa"/>
            </w:tcMar>
            <w:vAlign w:val="center"/>
          </w:tcPr>
          <w:p w14:paraId="283C0C95" w14:textId="77777777" w:rsidR="00035316" w:rsidRDefault="00831B2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22BB6987"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ΔRSS=+192</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0ACC18C4" w14:textId="77777777" w:rsidR="00035316" w:rsidRDefault="00831B25">
            <w:pPr>
              <w:snapToGrid w:val="0"/>
              <w:jc w:val="center"/>
              <w:rPr>
                <w:rFonts w:ascii="宋体"/>
                <w:sz w:val="24"/>
              </w:rPr>
            </w:pPr>
            <w:r>
              <w:rPr>
                <w:rFonts w:ascii="宋体" w:hAnsi="宋体"/>
                <w:sz w:val="24"/>
              </w:rPr>
              <w:t>协议异常输入验证记录 / A7</w:t>
            </w:r>
          </w:p>
        </w:tc>
      </w:tr>
      <w:tr w:rsidR="00035316" w14:paraId="51628B0C"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4AF505A5" w14:textId="77777777" w:rsidR="00035316" w:rsidRDefault="00831B25">
            <w:pPr>
              <w:snapToGrid w:val="0"/>
              <w:jc w:val="center"/>
              <w:rPr>
                <w:rFonts w:ascii="宋体"/>
                <w:sz w:val="24"/>
              </w:rPr>
            </w:pPr>
            <w:r>
              <w:rPr>
                <w:rFonts w:ascii="宋体" w:hAnsi="宋体"/>
                <w:sz w:val="24"/>
              </w:rPr>
              <w:t>Boundary 参数混淆</w:t>
            </w:r>
          </w:p>
        </w:tc>
        <w:tc>
          <w:tcPr>
            <w:tcW w:w="1863" w:type="pct"/>
            <w:tcBorders>
              <w:top w:val="nil"/>
              <w:left w:val="nil"/>
              <w:bottom w:val="nil"/>
              <w:right w:val="nil"/>
            </w:tcBorders>
            <w:tcMar>
              <w:top w:w="-1" w:type="dxa"/>
              <w:left w:w="-1" w:type="dxa"/>
              <w:bottom w:w="-1" w:type="dxa"/>
              <w:right w:w="-1" w:type="dxa"/>
            </w:tcMar>
            <w:vAlign w:val="center"/>
          </w:tcPr>
          <w:p w14:paraId="34E67364" w14:textId="77777777" w:rsidR="00035316" w:rsidRDefault="00831B2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07E5A51D"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ΔRSS=+0</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0FFBFE96" w14:textId="77777777" w:rsidR="00035316" w:rsidRDefault="00831B25">
            <w:pPr>
              <w:snapToGrid w:val="0"/>
              <w:jc w:val="center"/>
              <w:rPr>
                <w:rFonts w:ascii="宋体"/>
                <w:sz w:val="24"/>
              </w:rPr>
            </w:pPr>
            <w:r>
              <w:rPr>
                <w:rFonts w:ascii="宋体" w:hAnsi="宋体"/>
                <w:sz w:val="24"/>
              </w:rPr>
              <w:t>协议异常输入验证记录 / A8</w:t>
            </w:r>
          </w:p>
        </w:tc>
      </w:tr>
      <w:tr w:rsidR="00035316" w14:paraId="6843F0C8"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4C7D1AEF" w14:textId="77777777" w:rsidR="00035316" w:rsidRDefault="00831B25">
            <w:pPr>
              <w:snapToGrid w:val="0"/>
              <w:jc w:val="center"/>
              <w:rPr>
                <w:rFonts w:ascii="宋体"/>
                <w:sz w:val="24"/>
              </w:rPr>
            </w:pPr>
            <w:r>
              <w:rPr>
                <w:rFonts w:ascii="宋体" w:hAnsi="宋体"/>
                <w:sz w:val="24"/>
              </w:rPr>
              <w:t>畸形 Part Header</w:t>
            </w:r>
          </w:p>
        </w:tc>
        <w:tc>
          <w:tcPr>
            <w:tcW w:w="1863" w:type="pct"/>
            <w:tcBorders>
              <w:top w:val="nil"/>
              <w:left w:val="nil"/>
              <w:bottom w:val="nil"/>
              <w:right w:val="nil"/>
            </w:tcBorders>
            <w:tcMar>
              <w:top w:w="-1" w:type="dxa"/>
              <w:left w:w="-1" w:type="dxa"/>
              <w:bottom w:w="-1" w:type="dxa"/>
              <w:right w:w="-1" w:type="dxa"/>
            </w:tcMar>
            <w:vAlign w:val="center"/>
          </w:tcPr>
          <w:p w14:paraId="767F18EA" w14:textId="77777777" w:rsidR="00035316" w:rsidRDefault="00831B2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04EBBDE6"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ΔRSS=+0</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62E0E1D1" w14:textId="77777777" w:rsidR="00035316" w:rsidRDefault="00831B25">
            <w:pPr>
              <w:snapToGrid w:val="0"/>
              <w:jc w:val="center"/>
              <w:rPr>
                <w:rFonts w:ascii="宋体"/>
                <w:sz w:val="24"/>
              </w:rPr>
            </w:pPr>
            <w:r>
              <w:rPr>
                <w:rFonts w:ascii="宋体" w:hAnsi="宋体"/>
                <w:sz w:val="24"/>
              </w:rPr>
              <w:t>协议异常输入验证记录 / A9</w:t>
            </w:r>
          </w:p>
        </w:tc>
      </w:tr>
      <w:tr w:rsidR="00035316" w14:paraId="7F233950"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11790B0A" w14:textId="77777777" w:rsidR="00035316" w:rsidRDefault="00831B25">
            <w:pPr>
              <w:snapToGrid w:val="0"/>
              <w:jc w:val="center"/>
              <w:rPr>
                <w:rFonts w:ascii="宋体"/>
                <w:sz w:val="24"/>
              </w:rPr>
            </w:pPr>
            <w:r>
              <w:rPr>
                <w:rFonts w:ascii="宋体" w:hAnsi="宋体"/>
                <w:sz w:val="24"/>
              </w:rPr>
              <w:t>Header 空字节注入</w:t>
            </w:r>
          </w:p>
        </w:tc>
        <w:tc>
          <w:tcPr>
            <w:tcW w:w="1863" w:type="pct"/>
            <w:tcBorders>
              <w:top w:val="nil"/>
              <w:left w:val="nil"/>
              <w:bottom w:val="nil"/>
              <w:right w:val="nil"/>
            </w:tcBorders>
            <w:tcMar>
              <w:top w:w="-1" w:type="dxa"/>
              <w:left w:w="-1" w:type="dxa"/>
              <w:bottom w:w="-1" w:type="dxa"/>
              <w:right w:w="-1" w:type="dxa"/>
            </w:tcMar>
            <w:vAlign w:val="center"/>
          </w:tcPr>
          <w:p w14:paraId="6BA94510" w14:textId="77777777" w:rsidR="00035316" w:rsidRDefault="00831B2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57CB6D20"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ΔRSS=+0</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32263746" w14:textId="77777777" w:rsidR="00035316" w:rsidRDefault="00831B25">
            <w:pPr>
              <w:snapToGrid w:val="0"/>
              <w:jc w:val="center"/>
              <w:rPr>
                <w:rFonts w:ascii="宋体"/>
                <w:sz w:val="24"/>
              </w:rPr>
            </w:pPr>
            <w:r>
              <w:rPr>
                <w:rFonts w:ascii="宋体" w:hAnsi="宋体"/>
                <w:sz w:val="24"/>
              </w:rPr>
              <w:t>协议异常输入验证记录 / A10</w:t>
            </w:r>
          </w:p>
        </w:tc>
      </w:tr>
      <w:tr w:rsidR="00035316" w14:paraId="47A7133E"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055ABDCF" w14:textId="77777777" w:rsidR="00035316" w:rsidRDefault="00831B25">
            <w:pPr>
              <w:snapToGrid w:val="0"/>
              <w:jc w:val="center"/>
              <w:rPr>
                <w:rFonts w:ascii="宋体"/>
                <w:sz w:val="24"/>
              </w:rPr>
            </w:pPr>
            <w:r>
              <w:rPr>
                <w:rFonts w:ascii="宋体" w:hAnsi="宋体"/>
                <w:sz w:val="24"/>
              </w:rPr>
              <w:t>非空 Epilogue</w:t>
            </w:r>
          </w:p>
        </w:tc>
        <w:tc>
          <w:tcPr>
            <w:tcW w:w="1863" w:type="pct"/>
            <w:tcBorders>
              <w:top w:val="nil"/>
              <w:left w:val="nil"/>
              <w:bottom w:val="nil"/>
              <w:right w:val="nil"/>
            </w:tcBorders>
            <w:tcMar>
              <w:top w:w="-1" w:type="dxa"/>
              <w:left w:w="-1" w:type="dxa"/>
              <w:bottom w:w="-1" w:type="dxa"/>
              <w:right w:w="-1" w:type="dxa"/>
            </w:tcMar>
            <w:vAlign w:val="center"/>
          </w:tcPr>
          <w:p w14:paraId="0530588A" w14:textId="77777777" w:rsidR="00035316" w:rsidRDefault="00831B25">
            <w:pPr>
              <w:snapToGrid w:val="0"/>
              <w:jc w:val="center"/>
              <w:rPr>
                <w:rFonts w:ascii="宋体"/>
                <w:sz w:val="24"/>
              </w:rPr>
            </w:pPr>
            <w:r>
              <w:rPr>
                <w:rFonts w:ascii="宋体" w:hAnsi="宋体"/>
                <w:sz w:val="24"/>
              </w:rPr>
              <w:t>HTTP 400 / malformed_multipart_precheck_failed</w:t>
            </w:r>
          </w:p>
        </w:tc>
        <w:tc>
          <w:tcPr>
            <w:tcW w:w="1185" w:type="pct"/>
            <w:tcBorders>
              <w:top w:val="nil"/>
              <w:left w:val="nil"/>
              <w:bottom w:val="nil"/>
              <w:right w:val="nil"/>
            </w:tcBorders>
            <w:tcMar>
              <w:top w:w="-1" w:type="dxa"/>
              <w:left w:w="-1" w:type="dxa"/>
              <w:bottom w:w="-1" w:type="dxa"/>
              <w:right w:w="-1" w:type="dxa"/>
            </w:tcMar>
            <w:vAlign w:val="center"/>
          </w:tcPr>
          <w:p w14:paraId="2AC14B4D"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ΔRSS=+0</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5472800B" w14:textId="77777777" w:rsidR="00035316" w:rsidRDefault="00831B25">
            <w:pPr>
              <w:snapToGrid w:val="0"/>
              <w:jc w:val="center"/>
              <w:rPr>
                <w:rFonts w:ascii="宋体"/>
                <w:sz w:val="24"/>
              </w:rPr>
            </w:pPr>
            <w:r>
              <w:rPr>
                <w:rFonts w:ascii="宋体" w:hAnsi="宋体"/>
                <w:sz w:val="24"/>
              </w:rPr>
              <w:t>协议异常输入验证记录 / A11</w:t>
            </w:r>
          </w:p>
        </w:tc>
      </w:tr>
      <w:tr w:rsidR="00035316" w14:paraId="4FC1BDF8"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6F9A04EB" w14:textId="77777777" w:rsidR="00035316" w:rsidRDefault="00831B25">
            <w:pPr>
              <w:snapToGrid w:val="0"/>
              <w:jc w:val="center"/>
              <w:rPr>
                <w:rFonts w:ascii="宋体"/>
                <w:sz w:val="24"/>
              </w:rPr>
            </w:pPr>
            <w:r>
              <w:rPr>
                <w:rFonts w:ascii="宋体" w:hAnsi="宋体"/>
                <w:sz w:val="24"/>
              </w:rPr>
              <w:t>异常 JSON 字符集</w:t>
            </w:r>
          </w:p>
        </w:tc>
        <w:tc>
          <w:tcPr>
            <w:tcW w:w="1863" w:type="pct"/>
            <w:tcBorders>
              <w:top w:val="nil"/>
              <w:left w:val="nil"/>
              <w:bottom w:val="nil"/>
              <w:right w:val="nil"/>
            </w:tcBorders>
            <w:tcMar>
              <w:top w:w="-1" w:type="dxa"/>
              <w:left w:w="-1" w:type="dxa"/>
              <w:bottom w:w="-1" w:type="dxa"/>
              <w:right w:w="-1" w:type="dxa"/>
            </w:tcMar>
            <w:vAlign w:val="center"/>
          </w:tcPr>
          <w:p w14:paraId="02BB8B95" w14:textId="77777777" w:rsidR="00035316" w:rsidRDefault="00831B25">
            <w:pPr>
              <w:snapToGrid w:val="0"/>
              <w:jc w:val="center"/>
              <w:rPr>
                <w:rFonts w:ascii="宋体"/>
                <w:sz w:val="24"/>
              </w:rPr>
            </w:pPr>
            <w:r>
              <w:rPr>
                <w:rFonts w:ascii="宋体" w:hAnsi="宋体"/>
                <w:sz w:val="24"/>
              </w:rPr>
              <w:t>HTTP 400 / invalid_control_plane_payload</w:t>
            </w:r>
          </w:p>
        </w:tc>
        <w:tc>
          <w:tcPr>
            <w:tcW w:w="1185" w:type="pct"/>
            <w:tcBorders>
              <w:top w:val="nil"/>
              <w:left w:val="nil"/>
              <w:bottom w:val="nil"/>
              <w:right w:val="nil"/>
            </w:tcBorders>
            <w:tcMar>
              <w:top w:w="-1" w:type="dxa"/>
              <w:left w:w="-1" w:type="dxa"/>
              <w:bottom w:w="-1" w:type="dxa"/>
              <w:right w:w="-1" w:type="dxa"/>
            </w:tcMar>
            <w:vAlign w:val="center"/>
          </w:tcPr>
          <w:p w14:paraId="6FE68F4B"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ΔRSS=+6604</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7B142AFA" w14:textId="77777777" w:rsidR="00035316" w:rsidRDefault="00831B25">
            <w:pPr>
              <w:snapToGrid w:val="0"/>
              <w:jc w:val="center"/>
              <w:rPr>
                <w:rFonts w:ascii="宋体"/>
                <w:sz w:val="24"/>
              </w:rPr>
            </w:pPr>
            <w:r>
              <w:rPr>
                <w:rFonts w:ascii="宋体" w:hAnsi="宋体"/>
                <w:sz w:val="24"/>
              </w:rPr>
              <w:t>协议异常输入验证记录 / A12</w:t>
            </w:r>
          </w:p>
        </w:tc>
      </w:tr>
      <w:tr w:rsidR="00035316" w14:paraId="70A6BEC0"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56A1A464" w14:textId="77777777" w:rsidR="00035316" w:rsidRDefault="00831B25">
            <w:pPr>
              <w:snapToGrid w:val="0"/>
              <w:jc w:val="center"/>
              <w:rPr>
                <w:rFonts w:ascii="宋体"/>
                <w:sz w:val="24"/>
              </w:rPr>
            </w:pPr>
            <w:r>
              <w:rPr>
                <w:rFonts w:ascii="宋体" w:hAnsi="宋体"/>
                <w:sz w:val="24"/>
              </w:rPr>
              <w:t>截断请求体</w:t>
            </w:r>
          </w:p>
        </w:tc>
        <w:tc>
          <w:tcPr>
            <w:tcW w:w="1863" w:type="pct"/>
            <w:tcBorders>
              <w:top w:val="nil"/>
              <w:left w:val="nil"/>
              <w:bottom w:val="nil"/>
              <w:right w:val="nil"/>
            </w:tcBorders>
            <w:tcMar>
              <w:top w:w="-1" w:type="dxa"/>
              <w:left w:w="-1" w:type="dxa"/>
              <w:bottom w:w="-1" w:type="dxa"/>
              <w:right w:w="-1" w:type="dxa"/>
            </w:tcMar>
            <w:vAlign w:val="center"/>
          </w:tcPr>
          <w:p w14:paraId="122C6D3E" w14:textId="77777777" w:rsidR="00035316" w:rsidRDefault="00831B25">
            <w:pPr>
              <w:snapToGrid w:val="0"/>
              <w:jc w:val="center"/>
              <w:rPr>
                <w:rFonts w:ascii="宋体"/>
                <w:sz w:val="24"/>
              </w:rPr>
            </w:pPr>
            <w:r>
              <w:rPr>
                <w:rFonts w:ascii="宋体" w:hAnsi="宋体"/>
                <w:sz w:val="24"/>
              </w:rPr>
              <w:t>HTTP 400 / truncated_body</w:t>
            </w:r>
          </w:p>
        </w:tc>
        <w:tc>
          <w:tcPr>
            <w:tcW w:w="1185" w:type="pct"/>
            <w:tcBorders>
              <w:top w:val="nil"/>
              <w:left w:val="nil"/>
              <w:bottom w:val="nil"/>
              <w:right w:val="nil"/>
            </w:tcBorders>
            <w:tcMar>
              <w:top w:w="-1" w:type="dxa"/>
              <w:left w:w="-1" w:type="dxa"/>
              <w:bottom w:w="-1" w:type="dxa"/>
              <w:right w:w="-1" w:type="dxa"/>
            </w:tcMar>
            <w:vAlign w:val="center"/>
          </w:tcPr>
          <w:p w14:paraId="4D679FFD"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ΔRSS=+0</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1B719D28" w14:textId="77777777" w:rsidR="00035316" w:rsidRDefault="00831B25">
            <w:pPr>
              <w:snapToGrid w:val="0"/>
              <w:jc w:val="center"/>
              <w:rPr>
                <w:rFonts w:ascii="宋体"/>
                <w:sz w:val="24"/>
              </w:rPr>
            </w:pPr>
            <w:r>
              <w:rPr>
                <w:rFonts w:ascii="宋体" w:hAnsi="宋体"/>
                <w:sz w:val="24"/>
              </w:rPr>
              <w:t>协议异常输入验证记录 / A13</w:t>
            </w:r>
          </w:p>
        </w:tc>
      </w:tr>
      <w:tr w:rsidR="00035316" w14:paraId="5A675EEB"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47F0C6EF" w14:textId="77777777" w:rsidR="00035316" w:rsidRDefault="00831B25">
            <w:pPr>
              <w:snapToGrid w:val="0"/>
              <w:jc w:val="center"/>
              <w:rPr>
                <w:rFonts w:ascii="宋体"/>
                <w:sz w:val="24"/>
              </w:rPr>
            </w:pPr>
            <w:r>
              <w:rPr>
                <w:rFonts w:ascii="宋体" w:hAnsi="宋体"/>
                <w:sz w:val="24"/>
              </w:rPr>
              <w:t>重复 Nonce 并发重放</w:t>
            </w:r>
          </w:p>
        </w:tc>
        <w:tc>
          <w:tcPr>
            <w:tcW w:w="1863" w:type="pct"/>
            <w:tcBorders>
              <w:top w:val="nil"/>
              <w:left w:val="nil"/>
              <w:bottom w:val="nil"/>
              <w:right w:val="nil"/>
            </w:tcBorders>
            <w:tcMar>
              <w:top w:w="-1" w:type="dxa"/>
              <w:left w:w="-1" w:type="dxa"/>
              <w:bottom w:w="-1" w:type="dxa"/>
              <w:right w:w="-1" w:type="dxa"/>
            </w:tcMar>
            <w:vAlign w:val="center"/>
          </w:tcPr>
          <w:p w14:paraId="7B0C89F9" w14:textId="77777777" w:rsidR="00035316" w:rsidRDefault="00831B25">
            <w:pPr>
              <w:snapToGrid w:val="0"/>
              <w:jc w:val="center"/>
              <w:rPr>
                <w:rFonts w:ascii="宋体"/>
                <w:sz w:val="24"/>
              </w:rPr>
            </w:pPr>
            <w:r>
              <w:rPr>
                <w:rFonts w:ascii="宋体" w:hAnsi="宋体"/>
                <w:sz w:val="24"/>
              </w:rPr>
              <w:t>duplicate_nonce×3；200×1</w:t>
            </w:r>
          </w:p>
        </w:tc>
        <w:tc>
          <w:tcPr>
            <w:tcW w:w="1185" w:type="pct"/>
            <w:tcBorders>
              <w:top w:val="nil"/>
              <w:left w:val="nil"/>
              <w:bottom w:val="nil"/>
              <w:right w:val="nil"/>
            </w:tcBorders>
            <w:tcMar>
              <w:top w:w="-1" w:type="dxa"/>
              <w:left w:w="-1" w:type="dxa"/>
              <w:bottom w:w="-1" w:type="dxa"/>
              <w:right w:w="-1" w:type="dxa"/>
            </w:tcMar>
            <w:vAlign w:val="center"/>
          </w:tcPr>
          <w:p w14:paraId="2B161CC7"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ΔRSS=+30632</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0A5AD9EF" w14:textId="77777777" w:rsidR="00035316" w:rsidRDefault="00831B25">
            <w:pPr>
              <w:snapToGrid w:val="0"/>
              <w:jc w:val="center"/>
              <w:rPr>
                <w:rFonts w:ascii="宋体"/>
                <w:sz w:val="24"/>
              </w:rPr>
            </w:pPr>
            <w:r>
              <w:rPr>
                <w:rFonts w:ascii="宋体" w:hAnsi="宋体"/>
                <w:sz w:val="24"/>
              </w:rPr>
              <w:t>控制面守卫验证记录 / G1</w:t>
            </w:r>
          </w:p>
        </w:tc>
      </w:tr>
      <w:tr w:rsidR="00035316" w14:paraId="69E9C745"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4AB146F2" w14:textId="77777777" w:rsidR="00035316" w:rsidRDefault="00831B25">
            <w:pPr>
              <w:snapToGrid w:val="0"/>
              <w:jc w:val="center"/>
              <w:rPr>
                <w:rFonts w:ascii="宋体"/>
                <w:sz w:val="24"/>
              </w:rPr>
            </w:pPr>
            <w:r>
              <w:rPr>
                <w:rFonts w:ascii="宋体" w:hAnsi="宋体"/>
                <w:sz w:val="24"/>
              </w:rPr>
              <w:t>同载荷换 Nonce</w:t>
            </w:r>
          </w:p>
        </w:tc>
        <w:tc>
          <w:tcPr>
            <w:tcW w:w="1863" w:type="pct"/>
            <w:tcBorders>
              <w:top w:val="nil"/>
              <w:left w:val="nil"/>
              <w:bottom w:val="nil"/>
              <w:right w:val="nil"/>
            </w:tcBorders>
            <w:tcMar>
              <w:top w:w="-1" w:type="dxa"/>
              <w:left w:w="-1" w:type="dxa"/>
              <w:bottom w:w="-1" w:type="dxa"/>
              <w:right w:w="-1" w:type="dxa"/>
            </w:tcMar>
            <w:vAlign w:val="center"/>
          </w:tcPr>
          <w:p w14:paraId="0DFB8922" w14:textId="77777777" w:rsidR="00035316" w:rsidRDefault="00831B25">
            <w:pPr>
              <w:snapToGrid w:val="0"/>
              <w:jc w:val="center"/>
              <w:rPr>
                <w:rFonts w:ascii="宋体"/>
                <w:sz w:val="24"/>
              </w:rPr>
            </w:pPr>
            <w:r>
              <w:rPr>
                <w:rFonts w:ascii="宋体" w:hAnsi="宋体"/>
                <w:sz w:val="24"/>
              </w:rPr>
              <w:t>首发 200；复发 duplicate_payload</w:t>
            </w:r>
          </w:p>
        </w:tc>
        <w:tc>
          <w:tcPr>
            <w:tcW w:w="1185" w:type="pct"/>
            <w:tcBorders>
              <w:top w:val="nil"/>
              <w:left w:val="nil"/>
              <w:bottom w:val="nil"/>
              <w:right w:val="nil"/>
            </w:tcBorders>
            <w:tcMar>
              <w:top w:w="-1" w:type="dxa"/>
              <w:left w:w="-1" w:type="dxa"/>
              <w:bottom w:w="-1" w:type="dxa"/>
              <w:right w:w="-1" w:type="dxa"/>
            </w:tcMar>
            <w:vAlign w:val="center"/>
          </w:tcPr>
          <w:p w14:paraId="05C8A151"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ΔRSS=+16032</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7CE14A3B" w14:textId="77777777" w:rsidR="00035316" w:rsidRDefault="00831B25">
            <w:pPr>
              <w:snapToGrid w:val="0"/>
              <w:jc w:val="center"/>
              <w:rPr>
                <w:rFonts w:ascii="宋体"/>
                <w:sz w:val="24"/>
              </w:rPr>
            </w:pPr>
            <w:r>
              <w:rPr>
                <w:rFonts w:ascii="宋体" w:hAnsi="宋体"/>
                <w:sz w:val="24"/>
              </w:rPr>
              <w:t>控制面守卫验证记录 / G2</w:t>
            </w:r>
          </w:p>
        </w:tc>
      </w:tr>
      <w:tr w:rsidR="00035316" w14:paraId="1E2EED67" w14:textId="77777777">
        <w:trPr>
          <w:jc w:val="center"/>
        </w:trPr>
        <w:tc>
          <w:tcPr>
            <w:tcW w:w="827" w:type="pct"/>
            <w:tcBorders>
              <w:top w:val="nil"/>
              <w:left w:val="nil"/>
              <w:bottom w:val="nil"/>
              <w:right w:val="nil"/>
            </w:tcBorders>
            <w:tcMar>
              <w:top w:w="-1" w:type="dxa"/>
              <w:left w:w="-1" w:type="dxa"/>
              <w:bottom w:w="-1" w:type="dxa"/>
              <w:right w:w="-1" w:type="dxa"/>
            </w:tcMar>
            <w:vAlign w:val="center"/>
          </w:tcPr>
          <w:p w14:paraId="488E9C6D" w14:textId="77777777" w:rsidR="00035316" w:rsidRDefault="00831B25">
            <w:pPr>
              <w:snapToGrid w:val="0"/>
              <w:jc w:val="center"/>
              <w:rPr>
                <w:rFonts w:ascii="宋体"/>
                <w:sz w:val="24"/>
              </w:rPr>
            </w:pPr>
            <w:r>
              <w:rPr>
                <w:rFonts w:ascii="宋体" w:hAnsi="宋体"/>
                <w:sz w:val="24"/>
              </w:rPr>
              <w:t>同 IP 并发占满</w:t>
            </w:r>
          </w:p>
        </w:tc>
        <w:tc>
          <w:tcPr>
            <w:tcW w:w="1863" w:type="pct"/>
            <w:tcBorders>
              <w:top w:val="nil"/>
              <w:left w:val="nil"/>
              <w:bottom w:val="nil"/>
              <w:right w:val="nil"/>
            </w:tcBorders>
            <w:tcMar>
              <w:top w:w="-1" w:type="dxa"/>
              <w:left w:w="-1" w:type="dxa"/>
              <w:bottom w:w="-1" w:type="dxa"/>
              <w:right w:w="-1" w:type="dxa"/>
            </w:tcMar>
            <w:vAlign w:val="center"/>
          </w:tcPr>
          <w:p w14:paraId="2213CCD4" w14:textId="77777777" w:rsidR="00035316" w:rsidRDefault="00831B25">
            <w:pPr>
              <w:snapToGrid w:val="0"/>
              <w:jc w:val="center"/>
              <w:rPr>
                <w:rFonts w:ascii="宋体"/>
                <w:sz w:val="24"/>
              </w:rPr>
            </w:pPr>
            <w:r>
              <w:rPr>
                <w:rFonts w:ascii="宋体" w:hAnsi="宋体"/>
                <w:sz w:val="24"/>
              </w:rPr>
              <w:t>200×2；busy_retry_later×2</w:t>
            </w:r>
          </w:p>
        </w:tc>
        <w:tc>
          <w:tcPr>
            <w:tcW w:w="1185" w:type="pct"/>
            <w:tcBorders>
              <w:top w:val="nil"/>
              <w:left w:val="nil"/>
              <w:bottom w:val="nil"/>
              <w:right w:val="nil"/>
            </w:tcBorders>
            <w:tcMar>
              <w:top w:w="-1" w:type="dxa"/>
              <w:left w:w="-1" w:type="dxa"/>
              <w:bottom w:w="-1" w:type="dxa"/>
              <w:right w:w="-1" w:type="dxa"/>
            </w:tcMar>
            <w:vAlign w:val="center"/>
          </w:tcPr>
          <w:p w14:paraId="6CA5A293"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ΔRSS=+47004</m:t>
              </m:r>
            </m:oMath>
            <w:r>
              <w:rPr>
                <w:rFonts w:ascii="宋体" w:hAnsi="宋体"/>
                <w:sz w:val="24"/>
              </w:rPr>
              <w:t>KiB；</w:t>
            </w:r>
            <m:oMath>
              <m:r>
                <w:rPr>
                  <w:rFonts w:ascii="Cambria Math" w:hAnsi="Cambria Math"/>
                  <w:sz w:val="24"/>
                </w:rPr>
                <m:t>ΔThr=+0</m:t>
              </m:r>
            </m:oMath>
          </w:p>
        </w:tc>
        <w:tc>
          <w:tcPr>
            <w:tcW w:w="1122" w:type="pct"/>
            <w:tcBorders>
              <w:top w:val="nil"/>
              <w:left w:val="nil"/>
              <w:bottom w:val="nil"/>
              <w:right w:val="nil"/>
            </w:tcBorders>
            <w:tcMar>
              <w:top w:w="-1" w:type="dxa"/>
              <w:left w:w="-1" w:type="dxa"/>
              <w:bottom w:w="-1" w:type="dxa"/>
              <w:right w:w="-1" w:type="dxa"/>
            </w:tcMar>
            <w:vAlign w:val="center"/>
          </w:tcPr>
          <w:p w14:paraId="295ADF22" w14:textId="77777777" w:rsidR="00035316" w:rsidRDefault="00831B25">
            <w:pPr>
              <w:snapToGrid w:val="0"/>
              <w:jc w:val="center"/>
              <w:rPr>
                <w:rFonts w:ascii="宋体"/>
                <w:sz w:val="24"/>
              </w:rPr>
            </w:pPr>
            <w:r>
              <w:rPr>
                <w:rFonts w:ascii="宋体" w:hAnsi="宋体"/>
                <w:sz w:val="24"/>
              </w:rPr>
              <w:t>控制面守卫验证记录 / G3</w:t>
            </w:r>
          </w:p>
        </w:tc>
      </w:tr>
      <w:tr w:rsidR="00035316" w14:paraId="79A7C118" w14:textId="77777777">
        <w:trPr>
          <w:jc w:val="center"/>
        </w:trPr>
        <w:tc>
          <w:tcPr>
            <w:tcW w:w="827" w:type="pct"/>
            <w:tcBorders>
              <w:top w:val="nil"/>
              <w:left w:val="nil"/>
              <w:bottom w:val="single" w:sz="12" w:space="0" w:color="auto"/>
              <w:right w:val="nil"/>
            </w:tcBorders>
            <w:tcMar>
              <w:top w:w="-1" w:type="dxa"/>
              <w:left w:w="-1" w:type="dxa"/>
              <w:bottom w:w="-1" w:type="dxa"/>
              <w:right w:w="-1" w:type="dxa"/>
            </w:tcMar>
            <w:vAlign w:val="center"/>
          </w:tcPr>
          <w:p w14:paraId="095637ED" w14:textId="77777777" w:rsidR="00035316" w:rsidRDefault="00831B25">
            <w:pPr>
              <w:snapToGrid w:val="0"/>
              <w:jc w:val="center"/>
              <w:rPr>
                <w:rFonts w:ascii="宋体"/>
                <w:sz w:val="24"/>
              </w:rPr>
            </w:pPr>
            <w:r>
              <w:rPr>
                <w:rFonts w:ascii="宋体" w:hAnsi="宋体"/>
                <w:sz w:val="24"/>
              </w:rPr>
              <w:t>短窗限频</w:t>
            </w:r>
          </w:p>
        </w:tc>
        <w:tc>
          <w:tcPr>
            <w:tcW w:w="1863" w:type="pct"/>
            <w:tcBorders>
              <w:top w:val="nil"/>
              <w:left w:val="nil"/>
              <w:bottom w:val="single" w:sz="12" w:space="0" w:color="auto"/>
              <w:right w:val="nil"/>
            </w:tcBorders>
            <w:tcMar>
              <w:top w:w="-1" w:type="dxa"/>
              <w:left w:w="-1" w:type="dxa"/>
              <w:bottom w:w="-1" w:type="dxa"/>
              <w:right w:w="-1" w:type="dxa"/>
            </w:tcMar>
            <w:vAlign w:val="center"/>
          </w:tcPr>
          <w:p w14:paraId="4BAC38B8" w14:textId="77777777" w:rsidR="00035316" w:rsidRDefault="00831B25">
            <w:pPr>
              <w:snapToGrid w:val="0"/>
              <w:jc w:val="center"/>
              <w:rPr>
                <w:rFonts w:ascii="宋体"/>
                <w:sz w:val="24"/>
              </w:rPr>
            </w:pPr>
            <w:r>
              <w:rPr>
                <w:rFonts w:ascii="宋体" w:hAnsi="宋体"/>
                <w:sz w:val="24"/>
              </w:rPr>
              <w:t>invalid_content_length×6；rate_limited_ip×2</w:t>
            </w:r>
          </w:p>
        </w:tc>
        <w:tc>
          <w:tcPr>
            <w:tcW w:w="1185" w:type="pct"/>
            <w:tcBorders>
              <w:top w:val="nil"/>
              <w:left w:val="nil"/>
              <w:bottom w:val="single" w:sz="12" w:space="0" w:color="auto"/>
              <w:right w:val="nil"/>
            </w:tcBorders>
            <w:tcMar>
              <w:top w:w="-1" w:type="dxa"/>
              <w:left w:w="-1" w:type="dxa"/>
              <w:bottom w:w="-1" w:type="dxa"/>
              <w:right w:w="-1" w:type="dxa"/>
            </w:tcMar>
            <w:vAlign w:val="center"/>
          </w:tcPr>
          <w:p w14:paraId="2908B879" w14:textId="77777777" w:rsidR="00035316" w:rsidRDefault="00831B25">
            <w:pPr>
              <w:snapToGrid w:val="0"/>
              <w:jc w:val="center"/>
              <w:rPr>
                <w:rFonts w:ascii="宋体"/>
                <w:sz w:val="24"/>
              </w:rPr>
            </w:pPr>
            <m:oMath>
              <m:r>
                <w:rPr>
                  <w:rFonts w:ascii="Cambria Math" w:hAnsi="Cambria Math"/>
                  <w:sz w:val="24"/>
                </w:rPr>
                <m:t>ΔFD=+0</m:t>
              </m:r>
            </m:oMath>
            <w:r>
              <w:rPr>
                <w:rFonts w:ascii="宋体" w:hAnsi="宋体"/>
                <w:sz w:val="24"/>
              </w:rPr>
              <w:t>；</w:t>
            </w:r>
            <m:oMath>
              <m:r>
                <w:rPr>
                  <w:rFonts w:ascii="Cambria Math" w:hAnsi="Cambria Math"/>
                  <w:sz w:val="24"/>
                </w:rPr>
                <m:t>ΔSock=+0</m:t>
              </m:r>
            </m:oMath>
            <w:r>
              <w:rPr>
                <w:rFonts w:ascii="宋体" w:hAnsi="宋体"/>
                <w:sz w:val="24"/>
              </w:rPr>
              <w:t>；</w:t>
            </w:r>
            <m:oMath>
              <m:r>
                <w:rPr>
                  <w:rFonts w:ascii="Cambria Math" w:hAnsi="Cambria Math"/>
                  <w:sz w:val="24"/>
                </w:rPr>
                <m:t>ΔRSS=+128</m:t>
              </m:r>
            </m:oMath>
            <w:r>
              <w:rPr>
                <w:rFonts w:ascii="宋体" w:hAnsi="宋体"/>
                <w:sz w:val="24"/>
              </w:rPr>
              <w:t>KiB；</w:t>
            </w:r>
            <m:oMath>
              <m:r>
                <w:rPr>
                  <w:rFonts w:ascii="Cambria Math" w:hAnsi="Cambria Math"/>
                  <w:sz w:val="24"/>
                </w:rPr>
                <m:t>ΔThr=+0</m:t>
              </m:r>
            </m:oMath>
          </w:p>
        </w:tc>
        <w:tc>
          <w:tcPr>
            <w:tcW w:w="1122" w:type="pct"/>
            <w:tcBorders>
              <w:top w:val="nil"/>
              <w:left w:val="nil"/>
              <w:bottom w:val="single" w:sz="12" w:space="0" w:color="auto"/>
              <w:right w:val="nil"/>
            </w:tcBorders>
            <w:tcMar>
              <w:top w:w="-1" w:type="dxa"/>
              <w:left w:w="-1" w:type="dxa"/>
              <w:bottom w:w="-1" w:type="dxa"/>
              <w:right w:w="-1" w:type="dxa"/>
            </w:tcMar>
            <w:vAlign w:val="center"/>
          </w:tcPr>
          <w:p w14:paraId="4E99B453" w14:textId="77777777" w:rsidR="00035316" w:rsidRDefault="00831B25">
            <w:pPr>
              <w:snapToGrid w:val="0"/>
              <w:jc w:val="center"/>
              <w:rPr>
                <w:rFonts w:ascii="宋体"/>
                <w:sz w:val="24"/>
              </w:rPr>
            </w:pPr>
            <w:r>
              <w:rPr>
                <w:rFonts w:ascii="宋体" w:hAnsi="宋体"/>
                <w:sz w:val="24"/>
              </w:rPr>
              <w:t>控制面守卫验证记录 / G4</w:t>
            </w:r>
          </w:p>
        </w:tc>
      </w:tr>
    </w:tbl>
    <w:p w14:paraId="33A7B9F8" w14:textId="77777777" w:rsidR="00035316" w:rsidRDefault="00831B25">
      <w:pPr>
        <w:spacing w:line="360" w:lineRule="auto"/>
        <w:jc w:val="center"/>
      </w:pPr>
      <w:r>
        <w:rPr>
          <w:rFonts w:ascii="宋体" w:hAnsi="宋体" w:cs="宋体"/>
          <w:sz w:val="24"/>
        </w:rPr>
        <w:t>注：系统状态指标 ΔFD、ΔSock、ΔRSS、ΔThr 均为异常处理完成后 10 秒的观测值与基线值的差值；所有证据文件均已留存于仓内 tools/evidence 目录。</w:t>
      </w:r>
    </w:p>
    <w:p w14:paraId="4496297F" w14:textId="77777777" w:rsidR="00035316" w:rsidRDefault="00831B25">
      <w:pPr>
        <w:spacing w:line="360" w:lineRule="auto"/>
        <w:jc w:val="center"/>
      </w:pPr>
      <w:r>
        <w:rPr>
          <w:noProof/>
        </w:rPr>
        <w:drawing>
          <wp:inline distT="0" distB="0" distL="114300" distR="114300" wp14:anchorId="0B18C237" wp14:editId="4FDF7A5E">
            <wp:extent cx="5205730" cy="3329940"/>
            <wp:effectExtent l="0" t="0" r="127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1"/>
                    <a:stretch>
                      <a:fillRect/>
                    </a:stretch>
                  </pic:blipFill>
                  <pic:spPr>
                    <a:xfrm>
                      <a:off x="0" y="0"/>
                      <a:ext cx="5205730" cy="3329940"/>
                    </a:xfrm>
                    <a:prstGeom prst="rect">
                      <a:avLst/>
                    </a:prstGeom>
                  </pic:spPr>
                </pic:pic>
              </a:graphicData>
            </a:graphic>
          </wp:inline>
        </w:drawing>
      </w:r>
    </w:p>
    <w:p w14:paraId="4FC2D523" w14:textId="77777777" w:rsidR="00035316" w:rsidRDefault="00831B25">
      <w:pPr>
        <w:spacing w:line="288" w:lineRule="auto"/>
        <w:jc w:val="center"/>
      </w:pPr>
      <w:r>
        <w:rPr>
          <w:rFonts w:ascii="宋体" w:hAnsi="宋体"/>
          <w:sz w:val="20"/>
        </w:rPr>
        <w:t>图4-</w:t>
      </w:r>
      <w:r>
        <w:rPr>
          <w:rFonts w:ascii="宋体" w:hAnsi="宋体" w:hint="eastAsia"/>
          <w:sz w:val="20"/>
        </w:rPr>
        <w:t>4</w:t>
      </w:r>
      <w:r>
        <w:rPr>
          <w:rFonts w:ascii="宋体" w:hAnsi="宋体"/>
          <w:sz w:val="20"/>
        </w:rPr>
        <w:t xml:space="preserve"> 协议层异常输入与控制面兜底验证矩阵：同时显示首个拦截层级与文件描述符、套接字及常驻内存回落摘要。</w:t>
      </w:r>
    </w:p>
    <w:p w14:paraId="00777E0E" w14:textId="77777777" w:rsidR="00035316" w:rsidRDefault="00831B25">
      <w:pPr>
        <w:spacing w:line="360" w:lineRule="auto"/>
        <w:ind w:firstLine="480"/>
      </w:pPr>
      <w:r>
        <w:rPr>
          <w:rFonts w:ascii="宋体" w:hAnsi="宋体"/>
          <w:sz w:val="24"/>
        </w:rPr>
        <w:t>资源状态采用可观测代理指标描述，而不作无法直接证明的绝对化承诺。本文将“系统仍可服务”限定为：请求结束后 inflight 占用计数回落，文件描述符数量与套接字文件描述符数量回到基线附近，未观察到连接句柄持续泄漏；常驻内存在部分已通过前置校验的压力用例中出现瞬时抬升，但重复异常注入测试后未观察到单调持续增长，因此仅将其表述为原型阶段的瞬时资源成本，而不宣称所有指标完全归零。</w:t>
      </w:r>
    </w:p>
    <w:p w14:paraId="032B8681" w14:textId="77777777" w:rsidR="00035316" w:rsidRDefault="00831B25">
      <w:pPr>
        <w:spacing w:line="360" w:lineRule="auto"/>
        <w:outlineLvl w:val="1"/>
        <w:rPr>
          <w:rFonts w:ascii="黑体" w:eastAsia="黑体" w:hAnsi="黑体" w:hint="eastAsia"/>
          <w:b/>
          <w:sz w:val="24"/>
        </w:rPr>
      </w:pPr>
      <w:bookmarkStart w:id="58" w:name="Transshield_TOC_section_4_7"/>
      <w:bookmarkStart w:id="59" w:name="_Toc230989562"/>
      <w:r>
        <w:rPr>
          <w:rFonts w:ascii="黑体" w:eastAsia="黑体" w:hAnsi="黑体"/>
          <w:b/>
          <w:sz w:val="24"/>
        </w:rPr>
        <w:t>4.7 结果分析</w:t>
      </w:r>
      <w:bookmarkEnd w:id="58"/>
      <w:bookmarkEnd w:id="59"/>
    </w:p>
    <w:p w14:paraId="37D3A4CF" w14:textId="77777777" w:rsidR="00035316" w:rsidRDefault="00831B25">
      <w:pPr>
        <w:outlineLvl w:val="2"/>
      </w:pPr>
      <w:bookmarkStart w:id="60" w:name="_Toc230989563"/>
      <w:r>
        <w:rPr>
          <w:rFonts w:ascii="黑体" w:eastAsia="黑体" w:hAnsi="黑体"/>
          <w:sz w:val="24"/>
        </w:rPr>
        <w:t>4.7.1 结果结论与工程意义</w:t>
      </w:r>
      <w:bookmarkEnd w:id="60"/>
    </w:p>
    <w:p w14:paraId="4D66630A" w14:textId="77777777" w:rsidR="00035316" w:rsidRDefault="00831B25">
      <w:pPr>
        <w:spacing w:line="360" w:lineRule="auto"/>
        <w:ind w:firstLine="480"/>
        <w:rPr>
          <w:rFonts w:ascii="宋体" w:hAnsi="宋体" w:hint="eastAsia"/>
          <w:sz w:val="24"/>
        </w:rPr>
      </w:pPr>
      <w:r>
        <w:rPr>
          <w:rFonts w:ascii="宋体" w:hAnsi="宋体"/>
          <w:sz w:val="24"/>
        </w:rPr>
        <w:t>综合上述结果可以得到三个结论。第一，本作品动态安全剪枝链路的主要收益并非体现在超越强明文参考，而是体现在双向隐私约束下保留了可部署的动态剪枝能力，并通过阈值校准把全量验证集精度恢复到 92.7481%。第二，算子级代理对比说明安全友好算子本身具有明显的通信与时间收益，但结构尺度差异仍然是当前端到端时延偏高的关键原因。第三，协议层异常输入与控制面探针在当前实现下能够被前置阻断，且未观察到文件描述符或套接字句柄的持续泄漏，这为系统的原型级可服务性提供了必要的证据支撑。</w:t>
      </w:r>
    </w:p>
    <w:p w14:paraId="6BF24CF3" w14:textId="77777777" w:rsidR="00035316" w:rsidRDefault="00831B25">
      <w:pPr>
        <w:spacing w:line="360" w:lineRule="auto"/>
        <w:ind w:firstLine="480"/>
        <w:rPr>
          <w:rFonts w:ascii="宋体" w:hAnsi="宋体" w:hint="eastAsia"/>
          <w:sz w:val="24"/>
        </w:rPr>
      </w:pPr>
      <w:r>
        <w:rPr>
          <w:rFonts w:ascii="宋体" w:hAnsi="宋体"/>
          <w:sz w:val="24"/>
        </w:rPr>
        <w:t>若将本作品放回现有私有 Transformer 推理研究中理解，可以发现本作品当前结果更接近“在医疗视觉任务中建立动态剪枝双向隐私闭环”的工程验证，而非单纯追求固定结构模型的最低时延。Iron[18]、BOLT[19]、NEXUS[20] 与 CipherPrune[21] 的公开结果表明，协议级优化、非交互执行或密态渐进剪枝都可能显著改善特定模型的绝对效率；而本作品当前结果说明，在浏览器端本地分片、服务端权威快检和两方安全执行同时成立的前提下，动态剪枝边界保留本身就是一个独立目标。因此，本作品的评价重点应同时包含“闭环是否成立”和“效率是否仍可继续优化”两个层次，而不是只以单一时延指标作判断。</w:t>
      </w:r>
    </w:p>
    <w:p w14:paraId="497EE9B5" w14:textId="77777777" w:rsidR="00035316" w:rsidRDefault="00831B25">
      <w:pPr>
        <w:outlineLvl w:val="2"/>
      </w:pPr>
      <w:bookmarkStart w:id="61" w:name="_Toc230989564"/>
      <w:r>
        <w:rPr>
          <w:rFonts w:ascii="黑体" w:eastAsia="黑体" w:hAnsi="黑体"/>
          <w:sz w:val="24"/>
        </w:rPr>
        <w:t>4.7.2 对比口径与评价边界</w:t>
      </w:r>
      <w:bookmarkEnd w:id="61"/>
    </w:p>
    <w:p w14:paraId="24D8A018" w14:textId="77777777" w:rsidR="00035316" w:rsidRDefault="00831B25">
      <w:pPr>
        <w:spacing w:line="360" w:lineRule="auto"/>
        <w:ind w:firstLine="480"/>
        <w:rPr>
          <w:rFonts w:ascii="宋体" w:hAnsi="宋体" w:hint="eastAsia"/>
          <w:sz w:val="24"/>
        </w:rPr>
      </w:pPr>
      <w:r>
        <w:rPr>
          <w:rFonts w:ascii="宋体" w:hAnsi="宋体"/>
        </w:rPr>
        <w:t>结果解释需要区分三类比较口径。第一类是同仓动态链路与静态安全基线的比较，用于判断动态剪枝安全化改写是否带来部署收益；第二类是同数据集强明文参考，用于说明当前安全化改写距离普通明文模型还有多大差距；第三类是外部私有推理系统或论文结果，用于定位技术路线，但不能直接与本作品端到端 Web 控制面、双向隐私和本地双节点 SPU 原型混作数值对比。按这一口径理解，当前实验结果的核心结论是：动态剪枝在安全执行域内具有可保留的判别价值，同时端到端效率仍有明显工程优化空间。</w:t>
      </w:r>
    </w:p>
    <w:p w14:paraId="25827C4E" w14:textId="77777777" w:rsidR="00035316" w:rsidRDefault="00831B25">
      <w:pPr>
        <w:spacing w:line="360" w:lineRule="auto"/>
        <w:outlineLvl w:val="1"/>
        <w:rPr>
          <w:rFonts w:ascii="黑体" w:eastAsia="黑体" w:hAnsi="黑体" w:hint="eastAsia"/>
          <w:b/>
          <w:sz w:val="24"/>
        </w:rPr>
      </w:pPr>
      <w:bookmarkStart w:id="62" w:name="Transshield_TOC_section_4_8"/>
      <w:bookmarkStart w:id="63" w:name="_Toc230989565"/>
      <w:r>
        <w:rPr>
          <w:rFonts w:ascii="黑体" w:eastAsia="黑体" w:hAnsi="黑体" w:hint="eastAsia"/>
          <w:b/>
          <w:sz w:val="24"/>
        </w:rPr>
        <w:t>4.8 消融实验与必要性验证</w:t>
      </w:r>
      <w:bookmarkEnd w:id="62"/>
      <w:bookmarkEnd w:id="63"/>
    </w:p>
    <w:p w14:paraId="19E79009" w14:textId="77777777" w:rsidR="00035316" w:rsidRDefault="00831B25">
      <w:pPr>
        <w:spacing w:line="360" w:lineRule="auto"/>
        <w:ind w:firstLine="480"/>
        <w:rPr>
          <w:rFonts w:ascii="宋体" w:hAnsi="宋体" w:hint="eastAsia"/>
          <w:sz w:val="24"/>
        </w:rPr>
      </w:pPr>
      <w:r>
        <w:rPr>
          <w:rFonts w:ascii="宋体" w:hAnsi="宋体" w:hint="eastAsia"/>
          <w:sz w:val="24"/>
        </w:rPr>
        <w:t>为验证各关键设计的必要性，本文进一步从模型路径与控制面两条主线开展消融分析。图4-5给出了医疗动态安全剪枝链路、去掉动态剪枝后的静态安全基线以及原始明文参考基线的同口径对照结果。可以看到，在524张全量验证集样本上，医疗动态安全剪枝链路的阈值精度达到92.7481%，高于去掉动态剪枝后的静态安全基线89.6947%，提升3.0534个百分点；AUC由0.9539提升至0.9639，增幅为0.0100。与此同时，医疗动态安全剪枝链路的argmax精度并未高于静态安全基线，说明动态剪枝安全化改写的主要价值不在于未校准条件下的直接分类，而在于部署口径下更稳定、更可校准的判别边界。</w:t>
      </w:r>
    </w:p>
    <w:p w14:paraId="638D589F" w14:textId="77777777" w:rsidR="00035316" w:rsidRDefault="00831B25">
      <w:pPr>
        <w:spacing w:line="360" w:lineRule="auto"/>
        <w:ind w:firstLine="480"/>
        <w:rPr>
          <w:rFonts w:ascii="宋体" w:hAnsi="宋体" w:hint="eastAsia"/>
          <w:sz w:val="24"/>
        </w:rPr>
      </w:pPr>
      <w:r>
        <w:rPr>
          <w:rFonts w:ascii="宋体" w:hAnsi="宋体" w:hint="eastAsia"/>
          <w:sz w:val="24"/>
        </w:rPr>
        <w:t>进一步地，与原始明文参考基线相比，医疗动态安全剪枝链路的阈值精度提升17.3664个百分点，表明本作品并非仅在外层增加安全计算壳，而是在动态剪枝边界、固定图安全语义和部署后阈值校准之间形成了协同增益。</w:t>
      </w:r>
    </w:p>
    <w:p w14:paraId="408DC42C" w14:textId="77777777" w:rsidR="00035316" w:rsidRDefault="00831B25">
      <w:pPr>
        <w:spacing w:line="360" w:lineRule="auto"/>
        <w:ind w:firstLine="480"/>
        <w:rPr>
          <w:rFonts w:ascii="宋体" w:hAnsi="宋体" w:hint="eastAsia"/>
          <w:sz w:val="24"/>
        </w:rPr>
      </w:pPr>
      <w:r>
        <w:rPr>
          <w:rFonts w:ascii="宋体" w:hAnsi="宋体" w:hint="eastAsia"/>
          <w:sz w:val="24"/>
        </w:rPr>
        <w:t>在控制面方面，现有协议层异常输入与控制面探针共覆盖17类黑盒用例，17/17均返回预期拦截或限制结果；同时审计日志表明，重复载荷会被重放守卫以duplicate_payload阻断，正常请求则被记录为quality_status=pass。上述结果说明，服务端权威快检、重放防护、并发门控和审计链并非展示性附件，而是保证异常输入止于SPU之前、非法重放止于控制面边界、运行状态可复核的必要组成部分。</w:t>
      </w:r>
    </w:p>
    <w:p w14:paraId="19ABA1DB" w14:textId="77777777" w:rsidR="00035316" w:rsidRDefault="00831B25">
      <w:pPr>
        <w:spacing w:line="360" w:lineRule="auto"/>
        <w:ind w:firstLine="480"/>
        <w:jc w:val="center"/>
        <w:rPr>
          <w:rFonts w:ascii="宋体" w:hAnsi="宋体" w:hint="eastAsia"/>
          <w:sz w:val="24"/>
        </w:rPr>
      </w:pPr>
      <w:r>
        <w:rPr>
          <w:rFonts w:ascii="宋体" w:hAnsi="宋体" w:hint="eastAsia"/>
          <w:sz w:val="24"/>
        </w:rPr>
        <w:t>图4-5 动态剪枝消融结果（524张验证集，同口径）</w:t>
      </w:r>
    </w:p>
    <w:p w14:paraId="686D082D" w14:textId="77777777" w:rsidR="00035316" w:rsidRDefault="00831B25">
      <w:pPr>
        <w:spacing w:line="360" w:lineRule="auto"/>
        <w:ind w:firstLineChars="200" w:firstLine="480"/>
        <w:rPr>
          <w:rFonts w:ascii="宋体" w:hAnsi="宋体" w:hint="eastAsia"/>
          <w:sz w:val="24"/>
        </w:rPr>
      </w:pPr>
      <w:r>
        <w:rPr>
          <w:rFonts w:ascii="宋体" w:hAnsi="宋体" w:hint="eastAsia"/>
          <w:noProof/>
          <w:sz w:val="24"/>
        </w:rPr>
        <w:drawing>
          <wp:inline distT="0" distB="0" distL="114300" distR="114300" wp14:anchorId="4B663F71" wp14:editId="2C9C9CFB">
            <wp:extent cx="5066665" cy="2581275"/>
            <wp:effectExtent l="0" t="0" r="635" b="9525"/>
            <wp:docPr id="7" name="图片 7" descr="206ca438fd77f4b525cd3e8da071fb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206ca438fd77f4b525cd3e8da071fbb8"/>
                    <pic:cNvPicPr>
                      <a:picLocks noChangeAspect="1"/>
                    </pic:cNvPicPr>
                  </pic:nvPicPr>
                  <pic:blipFill>
                    <a:blip r:embed="rId22"/>
                    <a:srcRect t="7375"/>
                    <a:stretch>
                      <a:fillRect/>
                    </a:stretch>
                  </pic:blipFill>
                  <pic:spPr>
                    <a:xfrm>
                      <a:off x="0" y="0"/>
                      <a:ext cx="5066665" cy="2581275"/>
                    </a:xfrm>
                    <a:prstGeom prst="rect">
                      <a:avLst/>
                    </a:prstGeom>
                  </pic:spPr>
                </pic:pic>
              </a:graphicData>
            </a:graphic>
          </wp:inline>
        </w:drawing>
      </w:r>
    </w:p>
    <w:p w14:paraId="39DF9A56" w14:textId="77777777" w:rsidR="00035316" w:rsidRDefault="00831B25">
      <w:pPr>
        <w:spacing w:line="360" w:lineRule="auto"/>
        <w:ind w:firstLineChars="200" w:firstLine="480"/>
        <w:rPr>
          <w:rFonts w:ascii="宋体" w:hAnsi="宋体" w:hint="eastAsia"/>
          <w:sz w:val="24"/>
        </w:rPr>
      </w:pPr>
      <w:r>
        <w:rPr>
          <w:rFonts w:ascii="宋体" w:hAnsi="宋体" w:hint="eastAsia"/>
          <w:sz w:val="24"/>
        </w:rPr>
        <w:t>其中，医疗动态安全剪枝链路相较静态安全基线的阈值精度提升3.0534个百分点，AUC提升0.0100；相较原始明文参考基线的阈值精度提升17.3664个百分点。</w:t>
      </w:r>
    </w:p>
    <w:p w14:paraId="5230B5F9" w14:textId="77777777" w:rsidR="00035316" w:rsidRDefault="00831B25">
      <w:pPr>
        <w:rPr>
          <w:rFonts w:ascii="宋体" w:hAnsi="宋体" w:hint="eastAsia"/>
          <w:sz w:val="24"/>
        </w:rPr>
      </w:pPr>
      <w:r>
        <w:rPr>
          <w:rFonts w:ascii="宋体" w:hAnsi="宋体" w:hint="eastAsia"/>
          <w:sz w:val="24"/>
        </w:rPr>
        <w:br w:type="page"/>
      </w:r>
    </w:p>
    <w:p w14:paraId="31C1FE67" w14:textId="77777777" w:rsidR="00035316" w:rsidRDefault="00831B25">
      <w:pPr>
        <w:pStyle w:val="1"/>
        <w:jc w:val="center"/>
      </w:pPr>
      <w:bookmarkStart w:id="64" w:name="Transshield_TOC_chapter_5"/>
      <w:bookmarkStart w:id="65" w:name="_Toc230989566"/>
      <w:r>
        <w:rPr>
          <w:rFonts w:ascii="黑体" w:eastAsia="黑体" w:hAnsi="黑体"/>
        </w:rPr>
        <w:t>第五章 创新性与局限性</w:t>
      </w:r>
      <w:bookmarkEnd w:id="64"/>
      <w:bookmarkEnd w:id="65"/>
    </w:p>
    <w:p w14:paraId="7A49934D" w14:textId="77777777" w:rsidR="00035316" w:rsidRDefault="00831B25">
      <w:pPr>
        <w:spacing w:line="360" w:lineRule="auto"/>
        <w:outlineLvl w:val="1"/>
        <w:rPr>
          <w:rFonts w:ascii="黑体" w:eastAsia="黑体" w:hAnsi="黑体" w:hint="eastAsia"/>
          <w:b/>
          <w:sz w:val="24"/>
        </w:rPr>
      </w:pPr>
      <w:bookmarkStart w:id="66" w:name="Transshield_TOC_section_5_1"/>
      <w:bookmarkStart w:id="67" w:name="_Toc230989567"/>
      <w:r>
        <w:rPr>
          <w:rFonts w:ascii="黑体" w:eastAsia="黑体" w:hAnsi="黑体" w:hint="eastAsia"/>
          <w:b/>
          <w:sz w:val="24"/>
        </w:rPr>
        <w:t>5.1 算法层创新</w:t>
      </w:r>
      <w:bookmarkEnd w:id="66"/>
      <w:bookmarkEnd w:id="67"/>
    </w:p>
    <w:p w14:paraId="73A4E1A9" w14:textId="77777777" w:rsidR="00035316" w:rsidRDefault="00831B25">
      <w:pPr>
        <w:spacing w:line="360" w:lineRule="auto"/>
        <w:ind w:firstLine="480"/>
      </w:pPr>
      <w:r>
        <w:rPr>
          <w:rFonts w:ascii="宋体" w:hAnsi="宋体"/>
          <w:sz w:val="24"/>
        </w:rPr>
        <w:t>现有问题在于：原始 DynamicViT 的词元删除、阈值比较与数据相关 Top-</w:t>
      </w:r>
      <m:oMath>
        <m:r>
          <w:rPr>
            <w:rFonts w:ascii="Cambria Math" w:hAnsi="Cambria Math"/>
          </w:rPr>
          <m:t>K</m:t>
        </m:r>
      </m:oMath>
      <w:r>
        <w:rPr>
          <w:rFonts w:ascii="宋体" w:hAnsi="宋体"/>
          <w:sz w:val="24"/>
        </w:rPr>
        <w:t>选择依赖明文控制流，直接迁入安全计算图会同时遭遇变长结构、路径泄露和并列分数不稳定三类困难，因此常见方案通常选择放弃动态剪枝，退回固定结构安全推理。</w:t>
      </w:r>
    </w:p>
    <w:p w14:paraId="177217CB" w14:textId="77777777" w:rsidR="00035316" w:rsidRDefault="00831B25">
      <w:pPr>
        <w:spacing w:line="360" w:lineRule="auto"/>
        <w:ind w:firstLine="480"/>
      </w:pPr>
      <w:r>
        <w:rPr>
          <w:rFonts w:ascii="宋体" w:hAnsi="宋体"/>
          <w:sz w:val="24"/>
        </w:rPr>
        <w:t>本作品的做法是把 pruning boundary 从“删除式表达”重写为“掩码化表达”，将词元保留决策改写为基于安全选择原语 F_mux 的掩码更新，将阈值判断改写为基于安全比较原语 F_less 的边界判定，并结合编码键双调排序（Encoded-Key Bitonic Sort）处理安全 Top-K 选择与并列分数决断问题。这样做的意义在于，不仅让动态剪枝能够进入固定图安全执行环境，而且保留了按样本变化的剪枝决策能力，而不是用一个固定结构模型替代原始方法。</w:t>
      </w:r>
      <m:oMath>
        <m:sSub>
          <m:sSubPr>
            <m:ctrlPr>
              <w:rPr>
                <w:rFonts w:ascii="Cambria Math" w:hAnsi="Cambria Math"/>
              </w:rPr>
            </m:ctrlPr>
          </m:sSubPr>
          <m:e>
            <m:r>
              <w:rPr>
                <w:rFonts w:ascii="Cambria Math" w:hAnsi="Cambria Math"/>
              </w:rPr>
              <m:t>F</m:t>
            </m:r>
          </m:e>
          <m:sub>
            <m:r>
              <m:rPr>
                <m:sty m:val="p"/>
              </m:rPr>
              <w:rPr>
                <w:rFonts w:ascii="Cambria Math" w:hAnsi="Cambria Math"/>
              </w:rPr>
              <m:t>mux</m:t>
            </m:r>
          </m:sub>
        </m:sSub>
        <m:sSub>
          <m:sSubPr>
            <m:ctrlPr>
              <w:rPr>
                <w:rFonts w:ascii="Cambria Math" w:hAnsi="Cambria Math"/>
              </w:rPr>
            </m:ctrlPr>
          </m:sSubPr>
          <m:e>
            <m:r>
              <w:rPr>
                <w:rFonts w:ascii="Cambria Math" w:hAnsi="Cambria Math"/>
              </w:rPr>
              <m:t>F</m:t>
            </m:r>
          </m:e>
          <m:sub>
            <m:r>
              <m:rPr>
                <m:sty m:val="p"/>
              </m:rPr>
              <w:rPr>
                <w:rFonts w:ascii="Cambria Math" w:hAnsi="Cambria Math"/>
              </w:rPr>
              <m:t>less</m:t>
            </m:r>
          </m:sub>
        </m:sSub>
        <m:r>
          <w:rPr>
            <w:rFonts w:ascii="Cambria Math" w:hAnsi="Cambria Math"/>
          </w:rPr>
          <m:t>KK</m:t>
        </m:r>
      </m:oMath>
    </w:p>
    <w:p w14:paraId="0F0782EB" w14:textId="77777777" w:rsidR="00407270" w:rsidRDefault="009543CE">
      <w:pPr>
        <w:spacing w:line="360" w:lineRule="auto"/>
        <w:ind w:firstLine="480"/>
        <w:rPr>
          <w:rFonts w:ascii="宋体" w:hAnsi="宋体" w:hint="eastAsia"/>
          <w:sz w:val="24"/>
        </w:rPr>
      </w:pPr>
      <w:r>
        <w:rPr>
          <w:rFonts w:ascii="宋体" w:hAnsi="宋体"/>
        </w:rPr>
        <w:t>与“先求阈值再逐项比较”的常见表达不同，本作品选择通过编码键双调排序直接恢复前 K 个索引，再据此构造 keep-mask。这样做的工程优势在于：一方面可减少二次全量密态比较带来的额外通信，另一方面能够在并列分数情形下保留稳定索引顺序，使动态路径结果在重复运行、审计复核与部署复现实验中保持一致。</w:t>
      </w:r>
    </w:p>
    <w:p w14:paraId="2E361F61" w14:textId="77777777" w:rsidR="00B52F25" w:rsidRDefault="00FF347E">
      <w:pPr>
        <w:spacing w:line="360" w:lineRule="auto"/>
        <w:ind w:firstLine="480"/>
        <w:rPr>
          <w:rFonts w:ascii="宋体" w:hAnsi="宋体" w:hint="eastAsia"/>
          <w:sz w:val="24"/>
        </w:rPr>
      </w:pPr>
      <w:r>
        <w:rPr>
          <w:rFonts w:ascii="宋体" w:hAnsi="宋体"/>
        </w:rPr>
        <w:t>从算法创新边界看，这里的关键并不是把排序网络本身当作新协议，而是把排序网络放在正确的位置上：它既承担并列分数稳定化，又承担保留边界恢复，从而把原本分散在“阈值求解—逐项比较—外部回排”三个阶段的逻辑压缩为一条更适合固定图执行的密态路径。这种写法的直接收益是通信链路更短、重复运行更稳定，也更容易与后续审计和复现实验对齐。</w:t>
      </w:r>
    </w:p>
    <w:p w14:paraId="6D5E93F1" w14:textId="77777777" w:rsidR="000A6A38" w:rsidRDefault="00355533">
      <w:pPr>
        <w:spacing w:line="360" w:lineRule="auto"/>
        <w:ind w:firstLine="480"/>
        <w:rPr>
          <w:rFonts w:ascii="宋体" w:hAnsi="宋体" w:hint="eastAsia"/>
          <w:sz w:val="24"/>
        </w:rPr>
      </w:pPr>
      <w:r>
        <w:rPr>
          <w:rFonts w:ascii="宋体" w:hAnsi="宋体"/>
        </w:rPr>
        <w:t>如果进一步与常见动态剪枝或固定结构私有推理路线比较，可以看出本作品算法层创新有两个同时成立的判别标准。其一，它没有把</w:t>
      </w:r>
      <w:r>
        <w:rPr>
          <w:rFonts w:ascii="宋体" w:hAnsi="宋体"/>
        </w:rPr>
        <w:t>“</w:t>
      </w:r>
      <w:r>
        <w:rPr>
          <w:rFonts w:ascii="宋体" w:hAnsi="宋体"/>
        </w:rPr>
        <w:t>动态</w:t>
      </w:r>
      <w:r>
        <w:rPr>
          <w:rFonts w:ascii="宋体" w:hAnsi="宋体"/>
        </w:rPr>
        <w:t>”</w:t>
      </w:r>
      <w:r>
        <w:rPr>
          <w:rFonts w:ascii="宋体" w:hAnsi="宋体"/>
        </w:rPr>
        <w:t>简化成外部预先决定的明文路径，而是在</w:t>
      </w:r>
      <w:r>
        <w:rPr>
          <w:rFonts w:ascii="宋体" w:hAnsi="宋体"/>
        </w:rPr>
        <w:t xml:space="preserve"> keep-mask</w:t>
      </w:r>
      <w:r>
        <w:rPr>
          <w:rFonts w:ascii="宋体" w:hAnsi="宋体"/>
        </w:rPr>
        <w:t>、比较和排序三处共同保留样本相关边界；其二，它也没有为了适配安全执行而完全丢弃原始</w:t>
      </w:r>
      <w:r>
        <w:rPr>
          <w:rFonts w:ascii="宋体" w:hAnsi="宋体"/>
        </w:rPr>
        <w:t xml:space="preserve"> DynamicViT </w:t>
      </w:r>
      <w:r>
        <w:rPr>
          <w:rFonts w:ascii="宋体" w:hAnsi="宋体"/>
        </w:rPr>
        <w:t>的逐</w:t>
      </w:r>
      <w:r>
        <w:rPr>
          <w:rFonts w:ascii="宋体" w:hAnsi="宋体"/>
        </w:rPr>
        <w:t xml:space="preserve"> stage </w:t>
      </w:r>
      <w:r>
        <w:rPr>
          <w:rFonts w:ascii="宋体" w:hAnsi="宋体"/>
        </w:rPr>
        <w:t>语义，而是尽量保持训练侧</w:t>
      </w:r>
      <w:r>
        <w:rPr>
          <w:rFonts w:ascii="宋体" w:hAnsi="宋体"/>
        </w:rPr>
        <w:t xml:space="preserve"> token_ratio</w:t>
      </w:r>
      <w:r>
        <w:rPr>
          <w:rFonts w:ascii="宋体" w:hAnsi="宋体"/>
        </w:rPr>
        <w:t>、</w:t>
      </w:r>
      <w:r>
        <w:rPr>
          <w:rFonts w:ascii="宋体" w:hAnsi="宋体"/>
        </w:rPr>
        <w:t xml:space="preserve">pruning_loc </w:t>
      </w:r>
      <w:r>
        <w:rPr>
          <w:rFonts w:ascii="宋体" w:hAnsi="宋体"/>
        </w:rPr>
        <w:t>和</w:t>
      </w:r>
      <w:r>
        <w:rPr>
          <w:rFonts w:ascii="宋体" w:hAnsi="宋体"/>
        </w:rPr>
        <w:t xml:space="preserve"> PredictorLG </w:t>
      </w:r>
      <w:r>
        <w:rPr>
          <w:rFonts w:ascii="宋体" w:hAnsi="宋体"/>
        </w:rPr>
        <w:t>判别逻辑在部署侧仍然可追踪。正因如此，这一层创新既不是单纯的模型压缩，也不是单纯的协议替换，而是两者之间的结构化改写。</w:t>
      </w:r>
    </w:p>
    <w:p w14:paraId="605E7E3C" w14:textId="77777777" w:rsidR="000A6A38" w:rsidRDefault="00355533">
      <w:pPr>
        <w:spacing w:line="360" w:lineRule="auto"/>
        <w:ind w:firstLine="480"/>
        <w:rPr>
          <w:rFonts w:ascii="宋体" w:hAnsi="宋体" w:hint="eastAsia"/>
          <w:sz w:val="24"/>
        </w:rPr>
      </w:pPr>
      <w:r>
        <w:rPr>
          <w:rFonts w:ascii="宋体" w:hAnsi="宋体"/>
        </w:rPr>
        <w:t>从可验证性角度看，算法层创新之所以能够成立，还因为它不是停留在</w:t>
      </w:r>
      <w:r>
        <w:rPr>
          <w:rFonts w:ascii="宋体" w:hAnsi="宋体"/>
        </w:rPr>
        <w:t>“</w:t>
      </w:r>
      <w:r>
        <w:rPr>
          <w:rFonts w:ascii="宋体" w:hAnsi="宋体"/>
        </w:rPr>
        <w:t>理论上可改写</w:t>
      </w:r>
      <w:r>
        <w:rPr>
          <w:rFonts w:ascii="宋体" w:hAnsi="宋体"/>
        </w:rPr>
        <w:t>”</w:t>
      </w:r>
      <w:r>
        <w:rPr>
          <w:rFonts w:ascii="宋体" w:hAnsi="宋体"/>
        </w:rPr>
        <w:t>的状态，而已经在仓内形成了从训练、参数抽取、静态前向、</w:t>
      </w:r>
      <w:r>
        <w:rPr>
          <w:rFonts w:ascii="宋体" w:hAnsi="宋体"/>
        </w:rPr>
        <w:t xml:space="preserve">SPU secure pruning </w:t>
      </w:r>
      <w:r>
        <w:rPr>
          <w:rFonts w:ascii="宋体" w:hAnsi="宋体"/>
        </w:rPr>
        <w:t>到消融结果的连续证据链。训练主线保留</w:t>
      </w:r>
      <w:r>
        <w:rPr>
          <w:rFonts w:ascii="宋体" w:hAnsi="宋体"/>
        </w:rPr>
        <w:t xml:space="preserve"> DynamicViT </w:t>
      </w:r>
      <w:r>
        <w:rPr>
          <w:rFonts w:ascii="宋体" w:hAnsi="宋体"/>
        </w:rPr>
        <w:t>语义，</w:t>
      </w:r>
      <w:r>
        <w:rPr>
          <w:rFonts w:ascii="宋体" w:hAnsi="宋体"/>
        </w:rPr>
        <w:t xml:space="preserve">`static_vit_params.py` </w:t>
      </w:r>
      <w:r>
        <w:rPr>
          <w:rFonts w:ascii="宋体" w:hAnsi="宋体"/>
        </w:rPr>
        <w:t>固化</w:t>
      </w:r>
      <w:r>
        <w:rPr>
          <w:rFonts w:ascii="宋体" w:hAnsi="宋体"/>
        </w:rPr>
        <w:t xml:space="preserve"> PredictorLG </w:t>
      </w:r>
      <w:r>
        <w:rPr>
          <w:rFonts w:ascii="宋体" w:hAnsi="宋体"/>
        </w:rPr>
        <w:t>参数和</w:t>
      </w:r>
      <w:r>
        <w:rPr>
          <w:rFonts w:ascii="宋体" w:hAnsi="宋体"/>
        </w:rPr>
        <w:t xml:space="preserve"> token_keep_counts</w:t>
      </w:r>
      <w:r>
        <w:rPr>
          <w:rFonts w:ascii="宋体" w:hAnsi="宋体"/>
        </w:rPr>
        <w:t>，</w:t>
      </w:r>
      <w:r>
        <w:rPr>
          <w:rFonts w:ascii="宋体" w:hAnsi="宋体"/>
        </w:rPr>
        <w:t xml:space="preserve">`spu_static_vit.py` </w:t>
      </w:r>
      <w:r>
        <w:rPr>
          <w:rFonts w:ascii="宋体" w:hAnsi="宋体"/>
        </w:rPr>
        <w:t>执行安全前向与</w:t>
      </w:r>
      <w:r>
        <w:rPr>
          <w:rFonts w:ascii="宋体" w:hAnsi="宋体"/>
        </w:rPr>
        <w:t xml:space="preserve"> keep-mask </w:t>
      </w:r>
      <w:r>
        <w:rPr>
          <w:rFonts w:ascii="宋体" w:hAnsi="宋体"/>
        </w:rPr>
        <w:t>构造，而第</w:t>
      </w:r>
      <w:r>
        <w:rPr>
          <w:rFonts w:ascii="宋体" w:hAnsi="宋体"/>
        </w:rPr>
        <w:t xml:space="preserve"> 4 </w:t>
      </w:r>
      <w:r>
        <w:rPr>
          <w:rFonts w:ascii="宋体" w:hAnsi="宋体"/>
        </w:rPr>
        <w:t>章消融又进一步证明，去掉动态剪枝后阈值精度和</w:t>
      </w:r>
      <w:r>
        <w:rPr>
          <w:rFonts w:ascii="宋体" w:hAnsi="宋体"/>
        </w:rPr>
        <w:t xml:space="preserve"> AUC </w:t>
      </w:r>
      <w:r>
        <w:rPr>
          <w:rFonts w:ascii="宋体" w:hAnsi="宋体"/>
        </w:rPr>
        <w:t>都会下降。因此，这一算法层贡献不仅有机制解释，还有运行实现和结果证据同时支撑。</w:t>
      </w:r>
    </w:p>
    <w:p w14:paraId="241D9D0A" w14:textId="77777777" w:rsidR="00035316" w:rsidRDefault="00831B25">
      <w:pPr>
        <w:spacing w:line="360" w:lineRule="auto"/>
        <w:ind w:firstLine="480"/>
      </w:pPr>
      <w:r>
        <w:rPr>
          <w:rFonts w:ascii="宋体" w:hAnsi="宋体"/>
          <w:sz w:val="24"/>
        </w:rPr>
        <w:t>这一层的技术难点在于：既要避免数据相关分支泄露，又要在固定图语义下近似保留原始动态模型的判别边界；同时，排序与并列分数处理必须在安全执行环境内稳定完成，否则最终决策链会因 tie 或索引不稳定而失去可验证性。</w:t>
      </w:r>
    </w:p>
    <w:p w14:paraId="1F1E48EC" w14:textId="77777777" w:rsidR="00035316" w:rsidRDefault="00831B25">
      <w:pPr>
        <w:spacing w:line="360" w:lineRule="auto"/>
        <w:ind w:firstLine="480"/>
      </w:pPr>
      <w:r>
        <w:rPr>
          <w:rFonts w:ascii="宋体" w:hAnsi="宋体"/>
          <w:sz w:val="24"/>
        </w:rPr>
        <w:t>实验证据表明，该改写并未使动态路径退化为不可部署状态：动态安全剪枝链路相较固定结构静态对照线的阈值精度提升 0.7634 个百分点，相较未经安全化边界重写的原始 DynamicViT 提升 17.3664 个百分点。该层内容由第 2.4 节密态改写表、第 4.2 节基线对比、第 4.3 节医疗结果与第 4.7 节结果分析共同支撑。第四章的消融结果进一步说明，该创新并非“只是在安全执行域中复现一条既有推理链”，而是实质性保留了动态剪枝在部署口径下的有效判别边界：去掉动态剪枝后，阈值精度由92.7481%下降至89.6947%，AUC由0.9639下降至0.9539，表明动态剪枝安全化改写对最终可部署性能具有直接贡献。</w:t>
      </w:r>
    </w:p>
    <w:p w14:paraId="67E059BA" w14:textId="77777777" w:rsidR="00035316" w:rsidRDefault="00831B25">
      <w:pPr>
        <w:spacing w:line="360" w:lineRule="auto"/>
        <w:outlineLvl w:val="1"/>
        <w:rPr>
          <w:rFonts w:ascii="黑体" w:eastAsia="黑体" w:hAnsi="黑体" w:hint="eastAsia"/>
          <w:b/>
          <w:sz w:val="24"/>
        </w:rPr>
      </w:pPr>
      <w:bookmarkStart w:id="68" w:name="Transshield_TOC_section_5_2"/>
      <w:bookmarkStart w:id="69" w:name="_Toc230989568"/>
      <w:r>
        <w:rPr>
          <w:rFonts w:ascii="黑体" w:eastAsia="黑体" w:hAnsi="黑体" w:hint="eastAsia"/>
          <w:b/>
          <w:sz w:val="24"/>
        </w:rPr>
        <w:t>5.2 系统层创新</w:t>
      </w:r>
      <w:bookmarkEnd w:id="68"/>
      <w:bookmarkEnd w:id="69"/>
    </w:p>
    <w:p w14:paraId="24DF262A" w14:textId="77777777" w:rsidR="00035316" w:rsidRDefault="00831B25">
      <w:pPr>
        <w:spacing w:line="360" w:lineRule="auto"/>
        <w:ind w:firstLine="480"/>
      </w:pPr>
      <w:r>
        <w:rPr>
          <w:rFonts w:ascii="宋体" w:hAnsi="宋体"/>
          <w:sz w:val="24"/>
        </w:rPr>
        <w:t>现有问题在于，不少安全推理系统虽然使用了密态执行框架，但会在外部明文环境中预先决定剪枝路径，再把结果送入密态推理后端。这类做法虽然降低了工程难度，却使动态状态、路径信息甚至部分模型行为暴露在安全执行域之外，本质上仍属于半隐私运行。</w:t>
      </w:r>
    </w:p>
    <w:p w14:paraId="1FC7DAD3" w14:textId="77777777" w:rsidR="00035316" w:rsidRDefault="00831B25">
      <w:pPr>
        <w:spacing w:line="360" w:lineRule="auto"/>
        <w:ind w:firstLine="480"/>
      </w:pPr>
      <w:r>
        <w:rPr>
          <w:rFonts w:ascii="宋体" w:hAnsi="宋体"/>
          <w:sz w:val="24"/>
        </w:rPr>
        <w:t>本作品的做法是将动态剪枝预测器 PredictorLG、阈值判断与并列分数决断保留在安全执行域内，并以 SPU 与 OpenBumbleBee 组成两方安全计算链路，对输入数据、模型参数和中间动态决策状态同时进行保护。这样，系统不再依赖“外部先算路径、内部只回放”的简化策略，而是在双向隐私前提下完成完整的动态决策链执行。</w:t>
      </w:r>
    </w:p>
    <w:p w14:paraId="512281A8" w14:textId="77777777" w:rsidR="00802BF6" w:rsidRDefault="00D442AD">
      <w:pPr>
        <w:spacing w:line="360" w:lineRule="auto"/>
        <w:ind w:firstLine="480"/>
        <w:rPr>
          <w:rFonts w:ascii="宋体" w:hAnsi="宋体" w:hint="eastAsia"/>
          <w:sz w:val="24"/>
        </w:rPr>
      </w:pPr>
      <w:r>
        <w:rPr>
          <w:rFonts w:ascii="宋体" w:hAnsi="宋体"/>
        </w:rPr>
        <w:t>进一步地，这一系统层创新并不只体现在单机 colocated 原型里，还体现在角色分离意识已经前移到接口和配置层。当前仓库保留了医院侧、AI 侧和协调侧三类最小网关角色，以及 split manifest、单方 share 接收、远程 2PC 配置生成和单方节点启动入口，使“谁生成 share、谁持有模型、谁负责任务编排”在工程实现中不再是抽象设想，而已经具有明确的参数、脚本和 API 边界。也正因为如此，本作品的系统层价值不只在于完成一次安全推理运行，还在于把后续跨机构迁移时最容易混淆的角色责任提前结构化。</w:t>
      </w:r>
    </w:p>
    <w:p w14:paraId="33D4DBEE" w14:textId="77777777" w:rsidR="009C5E3E" w:rsidRDefault="00C47836">
      <w:r>
        <w:rPr>
          <w:rFonts w:ascii="宋体" w:hAnsi="宋体"/>
        </w:rPr>
        <w:t>更具体地说，当前仓库并未把医院方与模型提供方的职责只写在文档说明里，而是写进了 manifest、节点启动器和网关接口的组织方式中：医院侧可接收原始 PNG/JPEG 并生成 P1/P2 share，AI 侧只接收 P2 share 与模型 manifest，协调层则只暴露公开任务状态和 runner 编排信息。这种“先在工程接口上拆分责任，再讨论真实生产迁移”的做法，使系统层创新不再停留在架构图上，而在仓库操作入口中已经可以被实际检查到。</w:t>
      </w:r>
    </w:p>
    <w:p w14:paraId="08060165" w14:textId="77777777" w:rsidR="00407270" w:rsidRDefault="009543CE">
      <w:pPr>
        <w:spacing w:line="360" w:lineRule="auto"/>
        <w:ind w:firstLine="480"/>
        <w:rPr>
          <w:rFonts w:ascii="宋体" w:hAnsi="宋体" w:hint="eastAsia"/>
          <w:sz w:val="24"/>
        </w:rPr>
      </w:pPr>
      <w:r>
        <w:rPr>
          <w:rFonts w:ascii="宋体" w:hAnsi="宋体"/>
        </w:rPr>
        <w:t>这一系统层设计的实质意义在于，动态路径不再只是模型内部的一个“加速技巧”，而是被视为与输入、参数同等需要保护的执行状态。只有把预测器、比较器与保留决策统一保留在安全执行域内，系统才能真正声称自己同时保护了输入、模型和动态决策边界；否则，即便最终分类头在密态中运行，剪枝路径本身仍可能泄露样本难度、局部显著区域或模型偏好。</w:t>
      </w:r>
    </w:p>
    <w:p w14:paraId="6970418D" w14:textId="77777777" w:rsidR="00035316" w:rsidRDefault="00831B25">
      <w:pPr>
        <w:spacing w:line="360" w:lineRule="auto"/>
        <w:ind w:firstLine="480"/>
      </w:pPr>
      <w:r>
        <w:rPr>
          <w:rFonts w:ascii="宋体" w:hAnsi="宋体"/>
          <w:sz w:val="24"/>
        </w:rPr>
        <w:t>这一层的技术难点在于：既要在两方半诚实模型下维持输入与参数的双向隐私边界，又要让动态路径的关键控制流保留在密态环境内执行；如果处理不当，系统很容易退化为只保护输入或只保护模型的单向隐私方案。</w:t>
      </w:r>
    </w:p>
    <w:p w14:paraId="128FB177" w14:textId="77777777" w:rsidR="00035316" w:rsidRDefault="00831B25">
      <w:pPr>
        <w:spacing w:line="360" w:lineRule="auto"/>
        <w:ind w:firstLine="480"/>
      </w:pPr>
      <w:r>
        <w:rPr>
          <w:rFonts w:ascii="宋体" w:hAnsi="宋体"/>
          <w:sz w:val="24"/>
        </w:rPr>
        <w:t>实验证据方面，当前端到端原型在 32 条医疗部署验证样本上的双向总通信量为 84.47 GiB，且服务端不接收明文像素值、模型参数不以明文暴露，对外仅返回最终分类结果；金融边界压力样本 8/8 与明文参考逐样本一致。该层内容由第 2.1 节总体架构、第 2.2 节威胁模型与安全边界、第 3.1 节两方安全推理链路、第 4.3 节医疗结果与第 4.5 节金融边界验证共同支撑。</w:t>
      </w:r>
    </w:p>
    <w:p w14:paraId="2D97E3A5" w14:textId="77777777" w:rsidR="00035316" w:rsidRDefault="00831B25">
      <w:pPr>
        <w:spacing w:line="360" w:lineRule="auto"/>
        <w:outlineLvl w:val="1"/>
        <w:rPr>
          <w:rFonts w:ascii="黑体" w:eastAsia="黑体" w:hAnsi="黑体" w:hint="eastAsia"/>
          <w:b/>
          <w:sz w:val="24"/>
        </w:rPr>
      </w:pPr>
      <w:bookmarkStart w:id="70" w:name="Transshield_TOC_section_5_3"/>
      <w:bookmarkStart w:id="71" w:name="_Toc230989569"/>
      <w:r>
        <w:rPr>
          <w:rFonts w:ascii="黑体" w:eastAsia="黑体" w:hAnsi="黑体" w:hint="eastAsia"/>
          <w:b/>
          <w:sz w:val="24"/>
        </w:rPr>
        <w:t>5.3 工程层特色与可验证交付能力</w:t>
      </w:r>
      <w:bookmarkEnd w:id="70"/>
      <w:bookmarkEnd w:id="71"/>
    </w:p>
    <w:p w14:paraId="3704FA5F" w14:textId="77777777" w:rsidR="00035316" w:rsidRDefault="00831B25">
      <w:pPr>
        <w:spacing w:line="360" w:lineRule="auto"/>
        <w:ind w:firstLine="480"/>
      </w:pPr>
      <w:r>
        <w:rPr>
          <w:rFonts w:ascii="宋体" w:hAnsi="宋体"/>
          <w:sz w:val="24"/>
        </w:rPr>
        <w:t>现有问题在于，很多 Web 演示只展示模型输出结果，默认将输入视为天然可信，缺少协议层异常输入阻断、审计链、资源状态回落记录和可复现实验入口。对于信息安全类作品而言，这类展示很难支撑“系统已形成工程闭环”的判断。</w:t>
      </w:r>
    </w:p>
    <w:p w14:paraId="5505E8A6" w14:textId="77777777" w:rsidR="00035316" w:rsidRDefault="00831B25">
      <w:pPr>
        <w:spacing w:line="360" w:lineRule="auto"/>
        <w:ind w:firstLine="480"/>
      </w:pPr>
      <w:r>
        <w:rPr>
          <w:rFonts w:ascii="宋体" w:hAnsi="宋体"/>
          <w:sz w:val="24"/>
        </w:rPr>
        <w:t>本作品的做法是把浏览器工作线程、本地数据质量评估、审计哈希链、服务端权威快检、协议层异常输入模糊测试、重放与并发守卫一起纳入交付范围。这里的重点不是把工程实现拔高为核心算法创新，而是使系统不仅能给出分类结果，还能证明输入经过了哪些检查、异常请求在何处被阻断，以及资源状态是否回到稳态。</w:t>
      </w:r>
    </w:p>
    <w:p w14:paraId="5EBB15D9" w14:textId="77777777" w:rsidR="00802BF6" w:rsidRDefault="00D442AD">
      <w:pPr>
        <w:spacing w:line="360" w:lineRule="auto"/>
        <w:ind w:firstLine="480"/>
        <w:rPr>
          <w:rFonts w:ascii="宋体" w:hAnsi="宋体" w:hint="eastAsia"/>
          <w:sz w:val="24"/>
        </w:rPr>
      </w:pPr>
      <w:r>
        <w:rPr>
          <w:rFonts w:ascii="宋体" w:hAnsi="宋体"/>
        </w:rPr>
        <w:t>从工具链完备性看，当前仓库不仅保留了展示站与控制面实现，还保留了与正式口径对应的最小启动、结果核对与边界验收工具：`start_showcase_spu_demo.py` 负责重建当前展示链路，`showcase_protocol_fuzz.py` 与 `showcase_guard_stress.py` 负责新展示接口的运行时验收，`split_gateway_smoke.py` 负责本地演练医院/AI/协调三角色闭环，而 `docs/evidence/README.md` 与 `results/README.md` 则把正式数字和证据来源对齐到仓内固定文件。这样形成的不是“只能演示一次的页面”，而是一套可重复启动、可重复验收、可重复核对结果的工程交付面。</w:t>
      </w:r>
    </w:p>
    <w:p w14:paraId="4A42151A" w14:textId="77777777" w:rsidR="00407270" w:rsidRDefault="009543CE">
      <w:pPr>
        <w:spacing w:line="360" w:lineRule="auto"/>
        <w:ind w:firstLine="480"/>
        <w:rPr>
          <w:rFonts w:ascii="宋体" w:hAnsi="宋体" w:hint="eastAsia"/>
          <w:sz w:val="24"/>
        </w:rPr>
      </w:pPr>
      <w:r>
        <w:rPr>
          <w:rFonts w:ascii="宋体" w:hAnsi="宋体"/>
        </w:rPr>
        <w:t>因此，本作品把前端控制面和服务端快检纳入工程层特色讨论，并不是把“展示功能”误写为“算法突破”，而是强调安全推理作品的交付边界必须同时包含输入可信性、异常请求阻断与证据留存机制。对于竞赛评审而言，这一层设计的价值在于：系统能力不再依赖口头说明，而能够通过脚本、日志、哈希链和复现路径被外部直接核验。</w:t>
      </w:r>
    </w:p>
    <w:p w14:paraId="6430562B" w14:textId="77777777" w:rsidR="009C5E3E" w:rsidRDefault="00C47836">
      <w:r>
        <w:rPr>
          <w:rFonts w:ascii="宋体" w:hAnsi="宋体"/>
        </w:rPr>
        <w:t>从评审可核验性角度看，这一工程层特色还有一个直接优势：展示站、证据链和正式结果文件之间不存在互相脱节的“演示专用数字”。根 README、`results/README.md`、`docs/evidence/README.md` 和报告正文共同引用的是同一批冻结 JSON；展示图件则由正式报告主文档抽取生成，而不是另外手工维护一套说明稿。因此，评审如果顺着仓库入口核查，能够把页面、图件、证据索引和正式数字连成一条连续链路，这正是工程交付可验证性的关键。</w:t>
      </w:r>
    </w:p>
    <w:p w14:paraId="2D6693A7" w14:textId="77777777" w:rsidR="00B52F25" w:rsidRDefault="00FF347E">
      <w:pPr>
        <w:spacing w:line="360" w:lineRule="auto"/>
        <w:ind w:firstLine="480"/>
        <w:rPr>
          <w:rFonts w:ascii="宋体" w:hAnsi="宋体" w:hint="eastAsia"/>
          <w:sz w:val="24"/>
        </w:rPr>
      </w:pPr>
      <w:r>
        <w:rPr>
          <w:rFonts w:ascii="宋体" w:hAnsi="宋体"/>
        </w:rPr>
        <w:t>具体而言，根 README、`results/README.md`、`docs/evidence/README.md` 与报告正文共同把医疗阈值精度、AUC、通信量和鲁棒性结果固定到同一批最终 JSON；`showcase_extract_report_assets.py` 又把报告图件与章节摘要抽取到展示站所需目录中，避免页面再维护另一套口径。因此，本作品的工程层可验证性并不依赖人工解释，而是依赖“同一数字在报告、仓库索引、展示入口三处可以互相回指”这一组织方式本身。</w:t>
      </w:r>
    </w:p>
    <w:p w14:paraId="533B33F3" w14:textId="77777777" w:rsidR="00035316" w:rsidRDefault="00831B25">
      <w:pPr>
        <w:spacing w:line="360" w:lineRule="auto"/>
        <w:ind w:firstLine="480"/>
      </w:pPr>
      <w:r>
        <w:rPr>
          <w:rFonts w:ascii="宋体" w:hAnsi="宋体"/>
          <w:sz w:val="24"/>
        </w:rPr>
        <w:t>这一层的技术难点在于：前端要在不阻塞主线程的前提下完成高开销预处理与审计摘要生成，服务端要在进入 SPU 前完成原始报文、JSON 元数据、share 字节流和张量层的多级快检，同时还要把异常输入、重放与并发探针的结果转化为可复核的证据文件。</w:t>
      </w:r>
    </w:p>
    <w:p w14:paraId="2144D9A8" w14:textId="77777777" w:rsidR="00035316" w:rsidRDefault="00831B25">
      <w:pPr>
        <w:spacing w:line="360" w:lineRule="auto"/>
        <w:ind w:firstLine="480"/>
      </w:pPr>
      <w:r>
        <w:rPr>
          <w:rFonts w:ascii="宋体" w:hAnsi="宋体"/>
          <w:sz w:val="24"/>
        </w:rPr>
        <w:t>实验证据方面，本作品已覆盖 17 类协议层与控制面黑盒用例，17/17 按预期返回，且采样窗口内未观察到文件描述符或套接字文件描述符净增长；同时仓内提供 10–20 分钟最低可复现路径，用于复核完整计算链路。该层内容由第 3.3 节前端控制面、第 3.4 节服务端权威快检与审计、第 4.6 节鲁棒性矩阵、第 6.1 节复现路径和 `README_REPRODUCE.md` 共同支撑。</w:t>
      </w:r>
    </w:p>
    <w:p w14:paraId="695EB67B" w14:textId="77777777" w:rsidR="00035316" w:rsidRDefault="00831B25">
      <w:pPr>
        <w:spacing w:line="360" w:lineRule="auto"/>
        <w:outlineLvl w:val="1"/>
        <w:rPr>
          <w:rFonts w:ascii="黑体" w:eastAsia="黑体" w:hAnsi="黑体" w:hint="eastAsia"/>
          <w:b/>
          <w:sz w:val="24"/>
        </w:rPr>
      </w:pPr>
      <w:bookmarkStart w:id="72" w:name="Transshield_TOC_section_5_4"/>
      <w:bookmarkStart w:id="73" w:name="_Toc230989570"/>
      <w:r>
        <w:rPr>
          <w:rFonts w:ascii="黑体" w:eastAsia="黑体" w:hAnsi="黑体" w:hint="eastAsia"/>
          <w:b/>
          <w:sz w:val="24"/>
        </w:rPr>
        <w:t>5.4 与常见方案对比</w:t>
      </w:r>
      <w:bookmarkEnd w:id="72"/>
      <w:bookmarkEnd w:id="73"/>
    </w:p>
    <w:p w14:paraId="718B6C37" w14:textId="77777777" w:rsidR="00035316" w:rsidRDefault="00831B25">
      <w:pPr>
        <w:spacing w:line="360" w:lineRule="auto"/>
        <w:jc w:val="center"/>
        <w:rPr>
          <w:rFonts w:ascii="黑体" w:eastAsia="黑体" w:hAnsi="黑体" w:hint="eastAsia"/>
          <w:b/>
          <w:sz w:val="24"/>
        </w:rPr>
      </w:pPr>
      <w:r>
        <w:rPr>
          <w:rFonts w:ascii="宋体" w:hAnsi="宋体" w:cs="宋体"/>
          <w:sz w:val="24"/>
        </w:rPr>
        <w:t xml:space="preserve">表 </w:t>
      </w:r>
      <w:r>
        <w:rPr>
          <w:rFonts w:ascii="宋体" w:hAnsi="宋体" w:cs="宋体" w:hint="eastAsia"/>
          <w:sz w:val="24"/>
        </w:rPr>
        <w:t>14</w:t>
      </w:r>
      <w:r>
        <w:rPr>
          <w:rFonts w:ascii="宋体" w:hAnsi="宋体" w:cs="宋体"/>
          <w:sz w:val="24"/>
        </w:rPr>
        <w:t xml:space="preserve"> 本作品与常见隐私推理方案能力对比</w:t>
      </w:r>
    </w:p>
    <w:tbl>
      <w:tblPr>
        <w:tblW w:w="8820" w:type="dxa"/>
        <w:jc w:val="center"/>
        <w:tblLook w:val="04A0" w:firstRow="1" w:lastRow="0" w:firstColumn="1" w:lastColumn="0" w:noHBand="0" w:noVBand="1"/>
      </w:tblPr>
      <w:tblGrid>
        <w:gridCol w:w="1600"/>
        <w:gridCol w:w="3267"/>
        <w:gridCol w:w="3953"/>
      </w:tblGrid>
      <w:tr w:rsidR="00035316" w14:paraId="616FAFEB" w14:textId="77777777">
        <w:trPr>
          <w:tblHeader/>
          <w:jc w:val="center"/>
        </w:trPr>
        <w:tc>
          <w:tcPr>
            <w:tcW w:w="1600" w:type="dxa"/>
            <w:tcBorders>
              <w:top w:val="single" w:sz="12" w:space="0" w:color="auto"/>
              <w:left w:val="nil"/>
              <w:bottom w:val="nil"/>
              <w:right w:val="nil"/>
            </w:tcBorders>
            <w:tcMar>
              <w:top w:w="-1" w:type="dxa"/>
              <w:left w:w="-1" w:type="dxa"/>
              <w:bottom w:w="-1" w:type="dxa"/>
              <w:right w:w="-1" w:type="dxa"/>
            </w:tcMar>
            <w:vAlign w:val="center"/>
          </w:tcPr>
          <w:p w14:paraId="0CC36A87" w14:textId="77777777" w:rsidR="00035316" w:rsidRDefault="00831B25">
            <w:pPr>
              <w:snapToGrid w:val="0"/>
              <w:jc w:val="center"/>
              <w:rPr>
                <w:rFonts w:ascii="宋体"/>
                <w:b/>
                <w:sz w:val="24"/>
              </w:rPr>
            </w:pPr>
            <w:r>
              <w:rPr>
                <w:rFonts w:ascii="宋体" w:hAnsi="宋体"/>
                <w:b/>
                <w:sz w:val="24"/>
              </w:rPr>
              <w:t>对比对象</w:t>
            </w:r>
          </w:p>
        </w:tc>
        <w:tc>
          <w:tcPr>
            <w:tcW w:w="3267" w:type="dxa"/>
            <w:tcBorders>
              <w:top w:val="single" w:sz="12" w:space="0" w:color="auto"/>
              <w:left w:val="nil"/>
              <w:bottom w:val="nil"/>
              <w:right w:val="nil"/>
            </w:tcBorders>
            <w:tcMar>
              <w:top w:w="-1" w:type="dxa"/>
              <w:left w:w="-1" w:type="dxa"/>
              <w:bottom w:w="-1" w:type="dxa"/>
              <w:right w:w="-1" w:type="dxa"/>
            </w:tcMar>
            <w:vAlign w:val="center"/>
          </w:tcPr>
          <w:p w14:paraId="3FDA69ED" w14:textId="77777777" w:rsidR="00035316" w:rsidRDefault="00831B25">
            <w:pPr>
              <w:snapToGrid w:val="0"/>
              <w:jc w:val="center"/>
              <w:rPr>
                <w:rFonts w:ascii="宋体"/>
                <w:b/>
                <w:sz w:val="24"/>
              </w:rPr>
            </w:pPr>
            <w:r>
              <w:rPr>
                <w:rFonts w:ascii="宋体" w:hAnsi="宋体"/>
                <w:b/>
                <w:sz w:val="24"/>
              </w:rPr>
              <w:t>常见做法</w:t>
            </w:r>
          </w:p>
        </w:tc>
        <w:tc>
          <w:tcPr>
            <w:tcW w:w="3953" w:type="dxa"/>
            <w:tcBorders>
              <w:top w:val="single" w:sz="12" w:space="0" w:color="auto"/>
              <w:left w:val="nil"/>
              <w:bottom w:val="nil"/>
              <w:right w:val="nil"/>
            </w:tcBorders>
            <w:tcMar>
              <w:top w:w="-1" w:type="dxa"/>
              <w:left w:w="-1" w:type="dxa"/>
              <w:bottom w:w="-1" w:type="dxa"/>
              <w:right w:w="-1" w:type="dxa"/>
            </w:tcMar>
            <w:vAlign w:val="center"/>
          </w:tcPr>
          <w:p w14:paraId="391E7B5F" w14:textId="77777777" w:rsidR="00035316" w:rsidRDefault="00831B25">
            <w:pPr>
              <w:snapToGrid w:val="0"/>
              <w:jc w:val="center"/>
              <w:rPr>
                <w:rFonts w:ascii="宋体"/>
                <w:b/>
                <w:sz w:val="24"/>
              </w:rPr>
            </w:pPr>
            <w:r>
              <w:rPr>
                <w:rFonts w:ascii="宋体" w:hAnsi="宋体"/>
                <w:b/>
                <w:sz w:val="24"/>
              </w:rPr>
              <w:t>本作品差异</w:t>
            </w:r>
          </w:p>
        </w:tc>
      </w:tr>
      <w:tr w:rsidR="00035316" w14:paraId="058B07A5" w14:textId="77777777">
        <w:trPr>
          <w:jc w:val="center"/>
        </w:trPr>
        <w:tc>
          <w:tcPr>
            <w:tcW w:w="1600" w:type="dxa"/>
            <w:tcBorders>
              <w:top w:val="single" w:sz="4" w:space="0" w:color="auto"/>
              <w:left w:val="nil"/>
              <w:bottom w:val="nil"/>
              <w:right w:val="nil"/>
            </w:tcBorders>
            <w:tcMar>
              <w:top w:w="-1" w:type="dxa"/>
              <w:left w:w="-1" w:type="dxa"/>
              <w:bottom w:w="-1" w:type="dxa"/>
              <w:right w:w="-1" w:type="dxa"/>
            </w:tcMar>
            <w:vAlign w:val="center"/>
          </w:tcPr>
          <w:p w14:paraId="14BCC45B" w14:textId="77777777" w:rsidR="00035316" w:rsidRDefault="00831B25">
            <w:pPr>
              <w:snapToGrid w:val="0"/>
              <w:jc w:val="center"/>
              <w:rPr>
                <w:rFonts w:ascii="宋体"/>
                <w:sz w:val="24"/>
              </w:rPr>
            </w:pPr>
            <w:r>
              <w:rPr>
                <w:rFonts w:ascii="宋体" w:hAnsi="宋体"/>
                <w:sz w:val="24"/>
              </w:rPr>
              <w:t>固定结构安全推理</w:t>
            </w:r>
          </w:p>
        </w:tc>
        <w:tc>
          <w:tcPr>
            <w:tcW w:w="3267" w:type="dxa"/>
            <w:tcBorders>
              <w:top w:val="single" w:sz="4" w:space="0" w:color="auto"/>
              <w:left w:val="nil"/>
              <w:bottom w:val="nil"/>
              <w:right w:val="nil"/>
            </w:tcBorders>
            <w:tcMar>
              <w:top w:w="-1" w:type="dxa"/>
              <w:left w:w="-1" w:type="dxa"/>
              <w:bottom w:w="-1" w:type="dxa"/>
              <w:right w:w="-1" w:type="dxa"/>
            </w:tcMar>
            <w:vAlign w:val="center"/>
          </w:tcPr>
          <w:p w14:paraId="28C5A5CF" w14:textId="77777777" w:rsidR="00035316" w:rsidRDefault="00831B25">
            <w:pPr>
              <w:snapToGrid w:val="0"/>
              <w:jc w:val="center"/>
              <w:rPr>
                <w:rFonts w:ascii="宋体"/>
                <w:sz w:val="24"/>
              </w:rPr>
            </w:pPr>
            <w:r>
              <w:rPr>
                <w:rFonts w:ascii="宋体" w:hAnsi="宋体"/>
                <w:sz w:val="24"/>
              </w:rPr>
              <w:t>放弃动态剪枝，直接改为固定结构模型</w:t>
            </w:r>
          </w:p>
        </w:tc>
        <w:tc>
          <w:tcPr>
            <w:tcW w:w="3953" w:type="dxa"/>
            <w:tcBorders>
              <w:top w:val="single" w:sz="4" w:space="0" w:color="auto"/>
              <w:left w:val="nil"/>
              <w:bottom w:val="nil"/>
              <w:right w:val="nil"/>
            </w:tcBorders>
            <w:tcMar>
              <w:top w:w="-1" w:type="dxa"/>
              <w:left w:w="-1" w:type="dxa"/>
              <w:bottom w:w="-1" w:type="dxa"/>
              <w:right w:w="-1" w:type="dxa"/>
            </w:tcMar>
            <w:vAlign w:val="center"/>
          </w:tcPr>
          <w:p w14:paraId="4176CC5E" w14:textId="77777777" w:rsidR="00035316" w:rsidRDefault="00831B25">
            <w:pPr>
              <w:snapToGrid w:val="0"/>
              <w:jc w:val="left"/>
              <w:rPr>
                <w:rFonts w:ascii="宋体"/>
                <w:sz w:val="24"/>
              </w:rPr>
            </w:pPr>
            <w:r>
              <w:rPr>
                <w:rFonts w:ascii="宋体" w:hAnsi="宋体"/>
                <w:sz w:val="24"/>
              </w:rPr>
              <w:t>保留按样本变化的剪枝决策，并把边界重写为可密态执行语义</w:t>
            </w:r>
          </w:p>
        </w:tc>
      </w:tr>
      <w:tr w:rsidR="00035316" w14:paraId="4E5B17D9" w14:textId="77777777">
        <w:trPr>
          <w:jc w:val="center"/>
        </w:trPr>
        <w:tc>
          <w:tcPr>
            <w:tcW w:w="1600" w:type="dxa"/>
            <w:tcBorders>
              <w:top w:val="nil"/>
              <w:left w:val="nil"/>
              <w:bottom w:val="nil"/>
              <w:right w:val="nil"/>
            </w:tcBorders>
            <w:tcMar>
              <w:top w:w="-1" w:type="dxa"/>
              <w:left w:w="-1" w:type="dxa"/>
              <w:bottom w:w="-1" w:type="dxa"/>
              <w:right w:w="-1" w:type="dxa"/>
            </w:tcMar>
            <w:vAlign w:val="center"/>
          </w:tcPr>
          <w:p w14:paraId="41B10215" w14:textId="77777777" w:rsidR="00035316" w:rsidRDefault="00831B25">
            <w:pPr>
              <w:snapToGrid w:val="0"/>
              <w:jc w:val="center"/>
              <w:rPr>
                <w:rFonts w:ascii="宋体"/>
                <w:sz w:val="24"/>
              </w:rPr>
            </w:pPr>
            <w:r>
              <w:rPr>
                <w:rFonts w:ascii="宋体" w:hAnsi="宋体"/>
                <w:sz w:val="24"/>
              </w:rPr>
              <w:t>明文剪枝 + 密态推理</w:t>
            </w:r>
          </w:p>
        </w:tc>
        <w:tc>
          <w:tcPr>
            <w:tcW w:w="3267" w:type="dxa"/>
            <w:tcBorders>
              <w:top w:val="nil"/>
              <w:left w:val="nil"/>
              <w:bottom w:val="nil"/>
              <w:right w:val="nil"/>
            </w:tcBorders>
            <w:tcMar>
              <w:top w:w="-1" w:type="dxa"/>
              <w:left w:w="-1" w:type="dxa"/>
              <w:bottom w:w="-1" w:type="dxa"/>
              <w:right w:w="-1" w:type="dxa"/>
            </w:tcMar>
            <w:vAlign w:val="center"/>
          </w:tcPr>
          <w:p w14:paraId="3EA9C1DC" w14:textId="77777777" w:rsidR="00035316" w:rsidRDefault="00831B25">
            <w:pPr>
              <w:snapToGrid w:val="0"/>
              <w:jc w:val="center"/>
              <w:rPr>
                <w:rFonts w:ascii="宋体"/>
                <w:sz w:val="24"/>
              </w:rPr>
            </w:pPr>
            <w:r>
              <w:rPr>
                <w:rFonts w:ascii="宋体" w:hAnsi="宋体"/>
                <w:sz w:val="24"/>
              </w:rPr>
              <w:t>外部明文环境先决定路径，密态后端仅回放结果</w:t>
            </w:r>
          </w:p>
        </w:tc>
        <w:tc>
          <w:tcPr>
            <w:tcW w:w="3953" w:type="dxa"/>
            <w:tcBorders>
              <w:top w:val="nil"/>
              <w:left w:val="nil"/>
              <w:bottom w:val="nil"/>
              <w:right w:val="nil"/>
            </w:tcBorders>
            <w:tcMar>
              <w:top w:w="-1" w:type="dxa"/>
              <w:left w:w="-1" w:type="dxa"/>
              <w:bottom w:w="-1" w:type="dxa"/>
              <w:right w:w="-1" w:type="dxa"/>
            </w:tcMar>
            <w:vAlign w:val="center"/>
          </w:tcPr>
          <w:p w14:paraId="117EF3C9" w14:textId="77777777" w:rsidR="00035316" w:rsidRDefault="00831B25">
            <w:pPr>
              <w:snapToGrid w:val="0"/>
              <w:jc w:val="left"/>
              <w:rPr>
                <w:rFonts w:ascii="宋体"/>
                <w:sz w:val="24"/>
              </w:rPr>
            </w:pPr>
            <w:r>
              <w:rPr>
                <w:rFonts w:ascii="宋体" w:hAnsi="宋体"/>
                <w:sz w:val="24"/>
              </w:rPr>
              <w:t>剪枝决策链保留在安全执行域内完成，避免半隐私运行</w:t>
            </w:r>
          </w:p>
        </w:tc>
      </w:tr>
      <w:tr w:rsidR="00035316" w14:paraId="0583B644" w14:textId="77777777">
        <w:trPr>
          <w:jc w:val="center"/>
        </w:trPr>
        <w:tc>
          <w:tcPr>
            <w:tcW w:w="1600" w:type="dxa"/>
            <w:tcBorders>
              <w:top w:val="nil"/>
              <w:left w:val="nil"/>
              <w:bottom w:val="nil"/>
              <w:right w:val="nil"/>
            </w:tcBorders>
            <w:tcMar>
              <w:top w:w="-1" w:type="dxa"/>
              <w:left w:w="-1" w:type="dxa"/>
              <w:bottom w:w="-1" w:type="dxa"/>
              <w:right w:w="-1" w:type="dxa"/>
            </w:tcMar>
            <w:vAlign w:val="center"/>
          </w:tcPr>
          <w:p w14:paraId="17AEB1A8" w14:textId="77777777" w:rsidR="00035316" w:rsidRDefault="00831B25">
            <w:pPr>
              <w:snapToGrid w:val="0"/>
              <w:jc w:val="center"/>
              <w:rPr>
                <w:rFonts w:ascii="宋体"/>
                <w:sz w:val="24"/>
              </w:rPr>
            </w:pPr>
            <w:r>
              <w:rPr>
                <w:rFonts w:ascii="宋体" w:hAnsi="宋体"/>
                <w:sz w:val="24"/>
              </w:rPr>
              <w:t>单向隐私推理</w:t>
            </w:r>
          </w:p>
        </w:tc>
        <w:tc>
          <w:tcPr>
            <w:tcW w:w="3267" w:type="dxa"/>
            <w:tcBorders>
              <w:top w:val="nil"/>
              <w:left w:val="nil"/>
              <w:bottom w:val="nil"/>
              <w:right w:val="nil"/>
            </w:tcBorders>
            <w:tcMar>
              <w:top w:w="-1" w:type="dxa"/>
              <w:left w:w="-1" w:type="dxa"/>
              <w:bottom w:w="-1" w:type="dxa"/>
              <w:right w:w="-1" w:type="dxa"/>
            </w:tcMar>
            <w:vAlign w:val="center"/>
          </w:tcPr>
          <w:p w14:paraId="23E23AFF" w14:textId="77777777" w:rsidR="00035316" w:rsidRDefault="00831B25">
            <w:pPr>
              <w:snapToGrid w:val="0"/>
              <w:jc w:val="center"/>
              <w:rPr>
                <w:rFonts w:ascii="宋体"/>
                <w:sz w:val="24"/>
              </w:rPr>
            </w:pPr>
            <w:r>
              <w:rPr>
                <w:rFonts w:ascii="宋体" w:hAnsi="宋体"/>
                <w:sz w:val="24"/>
              </w:rPr>
              <w:t>只保护输入或只保护模型参数</w:t>
            </w:r>
          </w:p>
        </w:tc>
        <w:tc>
          <w:tcPr>
            <w:tcW w:w="3953" w:type="dxa"/>
            <w:tcBorders>
              <w:top w:val="nil"/>
              <w:left w:val="nil"/>
              <w:bottom w:val="nil"/>
              <w:right w:val="nil"/>
            </w:tcBorders>
            <w:tcMar>
              <w:top w:w="-1" w:type="dxa"/>
              <w:left w:w="-1" w:type="dxa"/>
              <w:bottom w:w="-1" w:type="dxa"/>
              <w:right w:w="-1" w:type="dxa"/>
            </w:tcMar>
            <w:vAlign w:val="center"/>
          </w:tcPr>
          <w:p w14:paraId="38FE0E9F" w14:textId="77777777" w:rsidR="00035316" w:rsidRDefault="00831B25">
            <w:pPr>
              <w:snapToGrid w:val="0"/>
              <w:jc w:val="left"/>
              <w:rPr>
                <w:rFonts w:ascii="宋体"/>
                <w:sz w:val="24"/>
              </w:rPr>
            </w:pPr>
            <w:r>
              <w:rPr>
                <w:rFonts w:ascii="宋体" w:hAnsi="宋体"/>
                <w:sz w:val="24"/>
              </w:rPr>
              <w:t>同时保护输入数据、模型参数和动态中间状态</w:t>
            </w:r>
          </w:p>
        </w:tc>
      </w:tr>
      <w:tr w:rsidR="00035316" w14:paraId="390435BE" w14:textId="77777777">
        <w:trPr>
          <w:jc w:val="center"/>
        </w:trPr>
        <w:tc>
          <w:tcPr>
            <w:tcW w:w="1600" w:type="dxa"/>
            <w:tcBorders>
              <w:top w:val="nil"/>
              <w:left w:val="nil"/>
              <w:bottom w:val="single" w:sz="12" w:space="0" w:color="auto"/>
              <w:right w:val="nil"/>
            </w:tcBorders>
            <w:tcMar>
              <w:top w:w="-1" w:type="dxa"/>
              <w:left w:w="-1" w:type="dxa"/>
              <w:bottom w:w="-1" w:type="dxa"/>
              <w:right w:w="-1" w:type="dxa"/>
            </w:tcMar>
            <w:vAlign w:val="center"/>
          </w:tcPr>
          <w:p w14:paraId="28F413A4" w14:textId="77777777" w:rsidR="00035316" w:rsidRDefault="00831B25">
            <w:pPr>
              <w:snapToGrid w:val="0"/>
              <w:jc w:val="center"/>
              <w:rPr>
                <w:rFonts w:ascii="宋体"/>
                <w:sz w:val="24"/>
              </w:rPr>
            </w:pPr>
            <w:r>
              <w:rPr>
                <w:rFonts w:ascii="宋体" w:hAnsi="宋体"/>
                <w:sz w:val="24"/>
              </w:rPr>
              <w:t>普通 Web 演示</w:t>
            </w:r>
          </w:p>
        </w:tc>
        <w:tc>
          <w:tcPr>
            <w:tcW w:w="3267" w:type="dxa"/>
            <w:tcBorders>
              <w:top w:val="nil"/>
              <w:left w:val="nil"/>
              <w:bottom w:val="single" w:sz="12" w:space="0" w:color="auto"/>
              <w:right w:val="nil"/>
            </w:tcBorders>
            <w:tcMar>
              <w:top w:w="-1" w:type="dxa"/>
              <w:left w:w="-1" w:type="dxa"/>
              <w:bottom w:w="-1" w:type="dxa"/>
              <w:right w:w="-1" w:type="dxa"/>
            </w:tcMar>
            <w:vAlign w:val="center"/>
          </w:tcPr>
          <w:p w14:paraId="36A23240" w14:textId="77777777" w:rsidR="00035316" w:rsidRDefault="00831B25">
            <w:pPr>
              <w:snapToGrid w:val="0"/>
              <w:jc w:val="center"/>
              <w:rPr>
                <w:rFonts w:ascii="宋体"/>
                <w:sz w:val="24"/>
              </w:rPr>
            </w:pPr>
            <w:r>
              <w:rPr>
                <w:rFonts w:ascii="宋体" w:hAnsi="宋体"/>
                <w:sz w:val="24"/>
              </w:rPr>
              <w:t>只展示结果页面，不提供输入守卫与异常验证</w:t>
            </w:r>
          </w:p>
        </w:tc>
        <w:tc>
          <w:tcPr>
            <w:tcW w:w="3953" w:type="dxa"/>
            <w:tcBorders>
              <w:top w:val="nil"/>
              <w:left w:val="nil"/>
              <w:bottom w:val="single" w:sz="12" w:space="0" w:color="auto"/>
              <w:right w:val="nil"/>
            </w:tcBorders>
            <w:tcMar>
              <w:top w:w="-1" w:type="dxa"/>
              <w:left w:w="-1" w:type="dxa"/>
              <w:bottom w:w="-1" w:type="dxa"/>
              <w:right w:w="-1" w:type="dxa"/>
            </w:tcMar>
            <w:vAlign w:val="center"/>
          </w:tcPr>
          <w:p w14:paraId="076E9985" w14:textId="77777777" w:rsidR="00035316" w:rsidRDefault="00831B25">
            <w:pPr>
              <w:snapToGrid w:val="0"/>
              <w:jc w:val="left"/>
              <w:rPr>
                <w:rFonts w:ascii="宋体"/>
                <w:sz w:val="24"/>
              </w:rPr>
            </w:pPr>
            <w:r>
              <w:rPr>
                <w:rFonts w:ascii="宋体" w:hAnsi="宋体"/>
                <w:sz w:val="24"/>
              </w:rPr>
              <w:t>加入服务端快检、审计链、模糊测试与重放/并发守卫证据</w:t>
            </w:r>
          </w:p>
        </w:tc>
      </w:tr>
    </w:tbl>
    <w:p w14:paraId="718E9D3A" w14:textId="77777777" w:rsidR="00035316" w:rsidRDefault="00831B25">
      <w:pPr>
        <w:spacing w:line="360" w:lineRule="auto"/>
        <w:ind w:firstLine="480"/>
      </w:pPr>
      <w:r>
        <w:t>本作品与常见隐私推理方案在核心能力上的差异对比如表</w:t>
      </w:r>
      <w:r>
        <w:t xml:space="preserve"> 14 </w:t>
      </w:r>
      <w:r>
        <w:t>所示。这组对比说明，本作品的主要价值不在于简单地</w:t>
      </w:r>
      <w:r>
        <w:t>“</w:t>
      </w:r>
      <w:r>
        <w:t>再做一条安全推理链</w:t>
      </w:r>
      <w:r>
        <w:t>”</w:t>
      </w:r>
      <w:r>
        <w:t>，而在于同时解决了动态剪枝保留、双向隐私成立、动态决策链不外泄以及工程交付可验证四个问题。若从已有隐私保护</w:t>
      </w:r>
      <w:r>
        <w:t xml:space="preserve"> ViT </w:t>
      </w:r>
      <w:r>
        <w:t>路线来看，</w:t>
      </w:r>
      <w:r>
        <w:t xml:space="preserve">SViT[13] </w:t>
      </w:r>
      <w:r>
        <w:t>代表的是</w:t>
      </w:r>
      <w:r>
        <w:t>“</w:t>
      </w:r>
      <w:r>
        <w:t>保持原始</w:t>
      </w:r>
      <w:r>
        <w:t xml:space="preserve"> ViT-B/16 </w:t>
      </w:r>
      <w:r>
        <w:t>结构不变，通过秘密共享安全协议优化降低推理开销</w:t>
      </w:r>
      <w:r>
        <w:t>”</w:t>
      </w:r>
      <w:r>
        <w:t>的方案。其优势在于协议边界清晰、非线性算子设计完整，并且在计算效率和在线通信量方面相较</w:t>
      </w:r>
      <w:r>
        <w:t xml:space="preserve"> CrypTen[16] </w:t>
      </w:r>
      <w:r>
        <w:t>取得了较明显改善。相比之下，本作品的重点不在于复现固定结构</w:t>
      </w:r>
      <w:r>
        <w:t xml:space="preserve"> ViT </w:t>
      </w:r>
      <w:r>
        <w:t>的安全执行，而在于把</w:t>
      </w:r>
      <w:r>
        <w:t xml:space="preserve"> DynamicViT </w:t>
      </w:r>
      <w:r>
        <w:t>中原本依赖明文控制流的动态词元剪枝路径，重写为固定图下可执行的安全比较与安全选择语义，并进一步纳入浏览器端控制面、服务端权威快检和审计闭环。换言之，</w:t>
      </w:r>
      <w:r>
        <w:t xml:space="preserve">SViT </w:t>
      </w:r>
      <w:r>
        <w:t>更偏向</w:t>
      </w:r>
      <w:r>
        <w:t>“</w:t>
      </w:r>
      <w:r>
        <w:t>协议优化型</w:t>
      </w:r>
      <w:r>
        <w:t>”</w:t>
      </w:r>
      <w:r>
        <w:t>隐私推理框架，而本作品更偏向</w:t>
      </w:r>
      <w:r>
        <w:t>“</w:t>
      </w:r>
      <w:r>
        <w:t>动态结构安全化</w:t>
      </w:r>
      <w:r>
        <w:t xml:space="preserve"> + </w:t>
      </w:r>
      <w:r>
        <w:t>双向隐私</w:t>
      </w:r>
      <w:r>
        <w:t xml:space="preserve"> + </w:t>
      </w:r>
      <w:r>
        <w:t>工程闭环</w:t>
      </w:r>
      <w:r>
        <w:t>”</w:t>
      </w:r>
      <w:r>
        <w:t>的综合方案。</w:t>
      </w:r>
    </w:p>
    <w:p w14:paraId="0732A6CC" w14:textId="77777777" w:rsidR="00035316" w:rsidRDefault="00831B25">
      <w:pPr>
        <w:spacing w:line="360" w:lineRule="auto"/>
        <w:ind w:firstLine="480"/>
      </w:pPr>
      <w:r>
        <w:rPr>
          <w:rFonts w:ascii="宋体" w:hAnsi="宋体"/>
          <w:sz w:val="24"/>
        </w:rPr>
        <w:t>为避免“文字对比结论”显得过于抽象，图 5-1 进一步把固定结构安全推理、明文剪枝后密态回放、单向隐私推理与本作品放在同一能力矩阵下进行边界比较。该图服务于第 5.4 节的总结性结论：本作品的差异不在于单独强化某一侧能力，而在于把动态剪枝、双向隐私、服务端权威快检与可复核控制面整合进同一条工程闭环。</w:t>
      </w:r>
    </w:p>
    <w:p w14:paraId="3D3582CD" w14:textId="77777777" w:rsidR="00035316" w:rsidRDefault="00831B25">
      <w:pPr>
        <w:spacing w:line="360" w:lineRule="auto"/>
        <w:jc w:val="center"/>
      </w:pPr>
      <w:r>
        <w:rPr>
          <w:noProof/>
        </w:rPr>
        <w:drawing>
          <wp:inline distT="0" distB="0" distL="114300" distR="114300" wp14:anchorId="0F3F153D" wp14:editId="021E86A7">
            <wp:extent cx="5595620" cy="3051175"/>
            <wp:effectExtent l="0" t="0" r="508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3"/>
                    <a:stretch>
                      <a:fillRect/>
                    </a:stretch>
                  </pic:blipFill>
                  <pic:spPr>
                    <a:xfrm>
                      <a:off x="0" y="0"/>
                      <a:ext cx="5595620" cy="3051175"/>
                    </a:xfrm>
                    <a:prstGeom prst="rect">
                      <a:avLst/>
                    </a:prstGeom>
                    <a:noFill/>
                    <a:ln>
                      <a:noFill/>
                    </a:ln>
                  </pic:spPr>
                </pic:pic>
              </a:graphicData>
            </a:graphic>
          </wp:inline>
        </w:drawing>
      </w:r>
    </w:p>
    <w:p w14:paraId="48E7D022" w14:textId="77777777" w:rsidR="00035316" w:rsidRDefault="00831B25">
      <w:pPr>
        <w:spacing w:line="288" w:lineRule="auto"/>
        <w:jc w:val="center"/>
      </w:pPr>
      <w:r>
        <w:rPr>
          <w:rFonts w:ascii="宋体" w:hAnsi="宋体"/>
          <w:sz w:val="20"/>
        </w:rPr>
        <w:t>图5-1 本作品与常见方案能力边界对比图：从动态剪枝、双向隐私、服务端快检与可追溯控制面四个维度展示差异。</w:t>
      </w:r>
    </w:p>
    <w:p w14:paraId="00288425" w14:textId="77777777" w:rsidR="00035316" w:rsidRDefault="00831B25">
      <w:pPr>
        <w:spacing w:line="360" w:lineRule="auto"/>
        <w:ind w:firstLine="480"/>
      </w:pPr>
      <w:r>
        <w:rPr>
          <w:rFonts w:ascii="宋体" w:hAnsi="宋体"/>
          <w:sz w:val="24"/>
        </w:rPr>
        <w:t>如果把相关方案进一步分类，SecureML[14]、GAZELLE[15]、CrypTen[16] 与 Delphi[17] 更接近通用私有推理系统，它们为线性层、激活函数与模型服务接口提供基础协议与系统支撑；Iron[18]、BOLT[19]、BumbleBee[7] 与 NEXUS[20] 则代表固定结构 Transformer 的协议优化路线，重点降低注意力与非线性算子的执行成本；CipherPrune[21] 进一步把密态词元剪枝与多项式降阶结合起来，试图同时减少后续层 token 规模与近似开销。与这些方案相比，本作品的优势在于：其一，直接面向医疗影像 DynamicViT 场景，不需要先将现有训练主线整体替换为另一类通用 Transformer 结构；其二，动态剪枝决策、双向隐私边界、服务端权威快检与审计证据链被统一组织进同一条执行链路，系统完整性更强；其三，作品已经为医院侧、模型提供方与协调侧的分角色部署保留工程骨架，因此不仅能比较算法效果，也能回答真实迁移时“谁来持有数据、谁来持有模型、谁来承担编排”的工程问题。</w:t>
      </w:r>
    </w:p>
    <w:p w14:paraId="2D62201D" w14:textId="77777777" w:rsidR="00035316" w:rsidRDefault="00831B25">
      <w:pPr>
        <w:spacing w:line="360" w:lineRule="auto"/>
        <w:ind w:firstLine="480"/>
        <w:rPr>
          <w:rFonts w:ascii="宋体" w:hAnsi="宋体" w:hint="eastAsia"/>
          <w:sz w:val="24"/>
        </w:rPr>
      </w:pPr>
      <w:r>
        <w:rPr>
          <w:rFonts w:ascii="宋体" w:hAnsi="宋体"/>
        </w:rPr>
        <w:t>从方法边界看，本作品目前选择的是“保留 DynamicViT 语义并进行安全化改写”的路线，而不是重新训练一套专门面向私有推理的 Transformer。这一路线的直接优势在于：可以更清晰地解释作品与原始动态剪枝模型之间的对应关系，便于复现、验证和工程交付，也更利于把算法设计、系统控制面和部署骨架放在同一份证据链下统一论证。</w:t>
      </w:r>
    </w:p>
    <w:p w14:paraId="2876B382" w14:textId="77777777" w:rsidR="00035316" w:rsidRDefault="00831B25">
      <w:pPr>
        <w:spacing w:line="360" w:lineRule="auto"/>
        <w:outlineLvl w:val="1"/>
        <w:rPr>
          <w:rFonts w:ascii="黑体" w:eastAsia="黑体" w:hAnsi="黑体" w:hint="eastAsia"/>
          <w:b/>
          <w:sz w:val="24"/>
        </w:rPr>
      </w:pPr>
      <w:bookmarkStart w:id="74" w:name="Transshield_TOC_section_5_5"/>
      <w:bookmarkStart w:id="75" w:name="_Toc230989571"/>
      <w:r>
        <w:rPr>
          <w:rFonts w:ascii="黑体" w:eastAsia="黑体" w:hAnsi="黑体" w:hint="eastAsia"/>
          <w:b/>
          <w:sz w:val="24"/>
        </w:rPr>
        <w:t>5.5 当前局限性</w:t>
      </w:r>
      <w:bookmarkEnd w:id="74"/>
      <w:bookmarkEnd w:id="75"/>
    </w:p>
    <w:p w14:paraId="6CD14237" w14:textId="77777777" w:rsidR="00035316" w:rsidRDefault="00831B25">
      <w:pPr>
        <w:outlineLvl w:val="2"/>
      </w:pPr>
      <w:bookmarkStart w:id="76" w:name="_Toc230989572"/>
      <w:r>
        <w:rPr>
          <w:rFonts w:ascii="黑体" w:eastAsia="黑体" w:hAnsi="黑体"/>
          <w:sz w:val="24"/>
        </w:rPr>
        <w:t>5.5.1 方法与实验边界</w:t>
      </w:r>
      <w:bookmarkEnd w:id="76"/>
    </w:p>
    <w:p w14:paraId="32E61677" w14:textId="77777777" w:rsidR="00035316" w:rsidRDefault="00831B25">
      <w:pPr>
        <w:spacing w:line="360" w:lineRule="auto"/>
        <w:ind w:firstLine="480"/>
        <w:rPr>
          <w:rFonts w:ascii="黑体" w:eastAsia="黑体" w:hAnsi="黑体" w:hint="eastAsia"/>
          <w:b/>
          <w:sz w:val="44"/>
        </w:rPr>
      </w:pPr>
      <w:r>
        <w:rPr>
          <w:rFonts w:ascii="宋体" w:hAnsi="宋体" w:hint="eastAsia"/>
          <w:sz w:val="24"/>
        </w:rPr>
        <w:t>本作品当前仍有六点需要明确说明的边界。第一，当前展示后端采用单进程 Uvicorn/FastAPI 原型承载长耗时 SPU 调用，进入长耗时 SPU 计算后的主动断连感知、任务取消和队列化调度能力仍不完整，因此现有并发守卫不能等价替代生产级拒绝服务防护。第二，当前仓内仅固化了端到端通信量与算子级代理基准证据，未单独落盘医疗动态安全剪枝链路的阶段级时延剖面，因此尚不能给出更细粒度的性能分解。第三，金融任务当前只覆盖 8 条边界压力样本，足以支撑稳定性验证，但不足以单独构成第二应用主线。第四，当前安全模型主要建立在两方半诚实假设上，不覆盖恶意参与方串谋、模型抽取和更强侧信道对抗场景。第五，当前系统尚未系统评估输出结果本身可能带来的反推风险，因此输出侧隐私仍需在后续工作中单独建模与验证。第六，SViT 这类外部对照方案虽然在协议级性能方面表现较优，但仍依赖可信第三方和固定两方执行模型，说明当前隐私保护 ViT 系统在部署角色、信任假设和执行形态上仍存在约束。</w:t>
      </w:r>
    </w:p>
    <w:p w14:paraId="3FF8AF05" w14:textId="77777777" w:rsidR="00035316" w:rsidRDefault="00831B25">
      <w:pPr>
        <w:outlineLvl w:val="2"/>
      </w:pPr>
      <w:bookmarkStart w:id="77" w:name="_Toc230989573"/>
      <w:r>
        <w:rPr>
          <w:rFonts w:ascii="黑体" w:eastAsia="黑体" w:hAnsi="黑体"/>
          <w:sz w:val="24"/>
        </w:rPr>
        <w:t>5.5.2 路线扩展与后续比较边界</w:t>
      </w:r>
      <w:bookmarkEnd w:id="77"/>
    </w:p>
    <w:p w14:paraId="425F19D9" w14:textId="77777777" w:rsidR="00035316" w:rsidRDefault="00831B25">
      <w:pPr>
        <w:spacing w:line="360" w:lineRule="auto"/>
        <w:ind w:firstLine="480"/>
        <w:jc w:val="center"/>
      </w:pPr>
      <w:r>
        <w:rPr>
          <w:rFonts w:ascii="宋体" w:hAnsi="宋体"/>
          <w:sz w:val="24"/>
        </w:rPr>
        <w:t>此外，当前动态安全剪枝链路虽然已经证明 DynamicViT 安全化重写的可行性，但尚未在统一数据、统一硬件和统一执行边界下系统比较 Iron[18]、BOLT[19]、NEXUS[20]、CipherPrune[21] 等路线的全部收益差异。这意味着本作品当前更适合作为面向医疗影像动态剪枝场景的工程基线，而不是对所有私有 Transformer 方案给出普适最优结论。后续若要充分吸收密态渐进剪枝或非交互协议等新思路，还需要同步调整 keep-mask 生成策略、训练目标、近似算子和部署验证链路。</w:t>
      </w:r>
    </w:p>
    <w:p w14:paraId="556F7B2A" w14:textId="77777777" w:rsidR="00035316" w:rsidRDefault="00831B25">
      <w:pPr>
        <w:pStyle w:val="1"/>
        <w:jc w:val="center"/>
      </w:pPr>
      <w:bookmarkStart w:id="78" w:name="Transshield_TOC_chapter_6"/>
      <w:bookmarkStart w:id="79" w:name="_Toc230989574"/>
      <w:r>
        <w:rPr>
          <w:rFonts w:ascii="黑体" w:eastAsia="黑体" w:hAnsi="黑体"/>
        </w:rPr>
        <w:t>第六章 复现与参赛声明</w:t>
      </w:r>
      <w:bookmarkEnd w:id="78"/>
      <w:bookmarkEnd w:id="79"/>
    </w:p>
    <w:p w14:paraId="30D4D23A" w14:textId="77777777" w:rsidR="00035316" w:rsidRDefault="00831B25">
      <w:pPr>
        <w:spacing w:line="360" w:lineRule="auto"/>
        <w:outlineLvl w:val="1"/>
        <w:rPr>
          <w:rFonts w:ascii="黑体" w:eastAsia="黑体" w:hAnsi="黑体" w:hint="eastAsia"/>
          <w:b/>
          <w:sz w:val="24"/>
        </w:rPr>
      </w:pPr>
      <w:bookmarkStart w:id="80" w:name="Transshield_TOC_section_6_1"/>
      <w:bookmarkStart w:id="81" w:name="_Toc230989575"/>
      <w:r>
        <w:rPr>
          <w:rFonts w:ascii="黑体" w:eastAsia="黑体" w:hAnsi="黑体" w:hint="eastAsia"/>
          <w:b/>
          <w:sz w:val="24"/>
        </w:rPr>
        <w:t>6.1 最低可复现路径</w:t>
      </w:r>
      <w:bookmarkEnd w:id="80"/>
      <w:bookmarkEnd w:id="81"/>
    </w:p>
    <w:p w14:paraId="6F91B7FC" w14:textId="77777777" w:rsidR="00035316" w:rsidRDefault="00831B25">
      <w:pPr>
        <w:spacing w:line="360" w:lineRule="auto"/>
        <w:ind w:firstLine="480"/>
        <w:rPr>
          <w:rFonts w:ascii="宋体" w:hAnsi="宋体" w:hint="eastAsia"/>
          <w:sz w:val="24"/>
        </w:rPr>
      </w:pPr>
      <w:r>
        <w:rPr>
          <w:rFonts w:ascii="宋体" w:hAnsi="宋体" w:cs="宋体"/>
          <w:sz w:val="24"/>
        </w:rPr>
        <w:t xml:space="preserve">系统最低可复现验证步骤如表 </w:t>
      </w:r>
      <w:r>
        <w:rPr>
          <w:rFonts w:ascii="宋体" w:hAnsi="宋体" w:cs="宋体" w:hint="eastAsia"/>
          <w:sz w:val="24"/>
        </w:rPr>
        <w:t>15</w:t>
      </w:r>
      <w:r>
        <w:rPr>
          <w:rFonts w:ascii="宋体" w:hAnsi="宋体" w:cs="宋体"/>
          <w:sz w:val="24"/>
        </w:rPr>
        <w:t xml:space="preserve"> 所示</w:t>
      </w:r>
      <w:r>
        <w:rPr>
          <w:rFonts w:ascii="宋体" w:hAnsi="宋体" w:cs="宋体" w:hint="eastAsia"/>
          <w:sz w:val="24"/>
        </w:rPr>
        <w:t>。</w:t>
      </w:r>
      <w:r>
        <w:rPr>
          <w:rFonts w:ascii="宋体" w:hAnsi="宋体"/>
          <w:sz w:val="24"/>
        </w:rPr>
        <w:t>在模型目录与基础 Python 环境已就位的前提下，可在 10–20 分钟内完成最小闭环验证：先启动 Web 演示并在浏览器端加载一张本地医疗样本，确认系统在本地完成预处理与分片后返回分类、质量保障结论、审计摘要与控制面耗时；再运行协议层异常输入脚本与至少一项控制面守卫检查，验证异常输入阻断与并发/重放防护。完整命令与故障排查说明见 `README_REPRODUCE.md`。</w:t>
      </w:r>
    </w:p>
    <w:p w14:paraId="444C323C" w14:textId="77777777" w:rsidR="00035316" w:rsidRDefault="00831B25">
      <w:pPr>
        <w:spacing w:line="360" w:lineRule="auto"/>
        <w:ind w:firstLine="480"/>
        <w:jc w:val="center"/>
        <w:rPr>
          <w:rFonts w:ascii="宋体" w:hAnsi="宋体" w:hint="eastAsia"/>
          <w:sz w:val="24"/>
        </w:rPr>
      </w:pPr>
      <w:r>
        <w:rPr>
          <w:rFonts w:ascii="宋体" w:hAnsi="宋体" w:cs="宋体"/>
          <w:sz w:val="24"/>
        </w:rPr>
        <w:t xml:space="preserve">表 </w:t>
      </w:r>
      <w:r>
        <w:rPr>
          <w:rFonts w:ascii="宋体" w:hAnsi="宋体" w:cs="宋体" w:hint="eastAsia"/>
          <w:sz w:val="24"/>
        </w:rPr>
        <w:t>15</w:t>
      </w:r>
      <w:r>
        <w:rPr>
          <w:rFonts w:ascii="宋体" w:hAnsi="宋体" w:cs="宋体"/>
          <w:sz w:val="24"/>
        </w:rPr>
        <w:t xml:space="preserve"> 系统最低可复现验证步骤</w:t>
      </w:r>
    </w:p>
    <w:tbl>
      <w:tblPr>
        <w:tblW w:w="8839" w:type="dxa"/>
        <w:jc w:val="center"/>
        <w:tblLayout w:type="fixed"/>
        <w:tblLook w:val="04A0" w:firstRow="1" w:lastRow="0" w:firstColumn="1" w:lastColumn="0" w:noHBand="0" w:noVBand="1"/>
      </w:tblPr>
      <w:tblGrid>
        <w:gridCol w:w="1605"/>
        <w:gridCol w:w="1411"/>
        <w:gridCol w:w="2917"/>
        <w:gridCol w:w="2906"/>
      </w:tblGrid>
      <w:tr w:rsidR="00035316" w14:paraId="41D16761" w14:textId="77777777">
        <w:trPr>
          <w:tblHeader/>
          <w:jc w:val="center"/>
        </w:trPr>
        <w:tc>
          <w:tcPr>
            <w:tcW w:w="1605" w:type="dxa"/>
            <w:tcBorders>
              <w:top w:val="single" w:sz="12" w:space="0" w:color="auto"/>
              <w:left w:val="nil"/>
              <w:bottom w:val="nil"/>
              <w:right w:val="nil"/>
            </w:tcBorders>
            <w:tcMar>
              <w:top w:w="-1" w:type="dxa"/>
              <w:left w:w="-1" w:type="dxa"/>
              <w:bottom w:w="-1" w:type="dxa"/>
              <w:right w:w="-1" w:type="dxa"/>
            </w:tcMar>
            <w:vAlign w:val="center"/>
          </w:tcPr>
          <w:p w14:paraId="3A301305" w14:textId="77777777" w:rsidR="00035316" w:rsidRDefault="00831B25">
            <w:pPr>
              <w:snapToGrid w:val="0"/>
              <w:jc w:val="center"/>
              <w:rPr>
                <w:rFonts w:ascii="宋体"/>
                <w:b/>
                <w:sz w:val="24"/>
                <w:szCs w:val="40"/>
              </w:rPr>
            </w:pPr>
            <w:r>
              <w:rPr>
                <w:rFonts w:ascii="宋体" w:hAnsi="宋体"/>
                <w:b/>
                <w:sz w:val="24"/>
                <w:szCs w:val="40"/>
              </w:rPr>
              <w:t>步骤</w:t>
            </w:r>
          </w:p>
        </w:tc>
        <w:tc>
          <w:tcPr>
            <w:tcW w:w="1411" w:type="dxa"/>
            <w:tcBorders>
              <w:top w:val="single" w:sz="12" w:space="0" w:color="auto"/>
              <w:left w:val="nil"/>
              <w:bottom w:val="nil"/>
              <w:right w:val="nil"/>
            </w:tcBorders>
            <w:tcMar>
              <w:top w:w="-1" w:type="dxa"/>
              <w:left w:w="-1" w:type="dxa"/>
              <w:bottom w:w="-1" w:type="dxa"/>
              <w:right w:w="-1" w:type="dxa"/>
            </w:tcMar>
            <w:vAlign w:val="center"/>
          </w:tcPr>
          <w:p w14:paraId="61567DE2" w14:textId="77777777" w:rsidR="00035316" w:rsidRDefault="00831B25">
            <w:pPr>
              <w:snapToGrid w:val="0"/>
              <w:jc w:val="center"/>
              <w:rPr>
                <w:rFonts w:ascii="宋体"/>
                <w:b/>
                <w:sz w:val="24"/>
                <w:szCs w:val="40"/>
              </w:rPr>
            </w:pPr>
            <w:r>
              <w:rPr>
                <w:rFonts w:ascii="宋体" w:hAnsi="宋体"/>
                <w:b/>
                <w:sz w:val="24"/>
                <w:szCs w:val="40"/>
              </w:rPr>
              <w:t>预估耗时</w:t>
            </w:r>
          </w:p>
        </w:tc>
        <w:tc>
          <w:tcPr>
            <w:tcW w:w="2917" w:type="dxa"/>
            <w:tcBorders>
              <w:top w:val="single" w:sz="12" w:space="0" w:color="auto"/>
              <w:left w:val="nil"/>
              <w:bottom w:val="nil"/>
              <w:right w:val="nil"/>
            </w:tcBorders>
            <w:tcMar>
              <w:top w:w="-1" w:type="dxa"/>
              <w:left w:w="-1" w:type="dxa"/>
              <w:bottom w:w="-1" w:type="dxa"/>
              <w:right w:w="-1" w:type="dxa"/>
            </w:tcMar>
            <w:vAlign w:val="center"/>
          </w:tcPr>
          <w:p w14:paraId="4E28237D" w14:textId="77777777" w:rsidR="00035316" w:rsidRDefault="00831B25">
            <w:pPr>
              <w:snapToGrid w:val="0"/>
              <w:jc w:val="center"/>
              <w:rPr>
                <w:rFonts w:ascii="宋体"/>
                <w:b/>
                <w:sz w:val="24"/>
                <w:szCs w:val="40"/>
              </w:rPr>
            </w:pPr>
            <w:r>
              <w:rPr>
                <w:rFonts w:ascii="宋体" w:hAnsi="宋体"/>
                <w:b/>
                <w:sz w:val="24"/>
                <w:szCs w:val="40"/>
              </w:rPr>
              <w:t>入口</w:t>
            </w:r>
          </w:p>
        </w:tc>
        <w:tc>
          <w:tcPr>
            <w:tcW w:w="2906" w:type="dxa"/>
            <w:tcBorders>
              <w:top w:val="single" w:sz="12" w:space="0" w:color="auto"/>
              <w:left w:val="nil"/>
              <w:bottom w:val="nil"/>
              <w:right w:val="nil"/>
            </w:tcBorders>
            <w:tcMar>
              <w:top w:w="-1" w:type="dxa"/>
              <w:left w:w="-1" w:type="dxa"/>
              <w:bottom w:w="-1" w:type="dxa"/>
              <w:right w:w="-1" w:type="dxa"/>
            </w:tcMar>
            <w:vAlign w:val="center"/>
          </w:tcPr>
          <w:p w14:paraId="74E64AD3" w14:textId="77777777" w:rsidR="00035316" w:rsidRDefault="00831B25">
            <w:pPr>
              <w:snapToGrid w:val="0"/>
              <w:jc w:val="center"/>
              <w:rPr>
                <w:rFonts w:ascii="宋体"/>
                <w:b/>
                <w:sz w:val="24"/>
                <w:szCs w:val="40"/>
              </w:rPr>
            </w:pPr>
            <w:r>
              <w:rPr>
                <w:rFonts w:ascii="宋体" w:hAnsi="宋体"/>
                <w:b/>
                <w:sz w:val="24"/>
                <w:szCs w:val="40"/>
              </w:rPr>
              <w:t>预期输出</w:t>
            </w:r>
          </w:p>
        </w:tc>
      </w:tr>
      <w:tr w:rsidR="00035316" w14:paraId="359B0EEE" w14:textId="77777777">
        <w:trPr>
          <w:jc w:val="center"/>
        </w:trPr>
        <w:tc>
          <w:tcPr>
            <w:tcW w:w="1605" w:type="dxa"/>
            <w:tcBorders>
              <w:top w:val="single" w:sz="4" w:space="0" w:color="auto"/>
              <w:left w:val="nil"/>
              <w:bottom w:val="nil"/>
              <w:right w:val="nil"/>
            </w:tcBorders>
            <w:tcMar>
              <w:top w:w="-1" w:type="dxa"/>
              <w:left w:w="-1" w:type="dxa"/>
              <w:bottom w:w="-1" w:type="dxa"/>
              <w:right w:w="-1" w:type="dxa"/>
            </w:tcMar>
            <w:vAlign w:val="center"/>
          </w:tcPr>
          <w:p w14:paraId="1977CF47" w14:textId="77777777" w:rsidR="00035316" w:rsidRDefault="00831B25">
            <w:pPr>
              <w:snapToGrid w:val="0"/>
              <w:jc w:val="center"/>
              <w:rPr>
                <w:rFonts w:ascii="宋体"/>
                <w:sz w:val="24"/>
                <w:szCs w:val="40"/>
              </w:rPr>
            </w:pPr>
            <w:r>
              <w:rPr>
                <w:rFonts w:ascii="宋体" w:hAnsi="宋体"/>
                <w:sz w:val="24"/>
                <w:szCs w:val="40"/>
              </w:rPr>
              <w:t>启动 Web 演示并加载一张本地医疗样本</w:t>
            </w:r>
          </w:p>
        </w:tc>
        <w:tc>
          <w:tcPr>
            <w:tcW w:w="1411" w:type="dxa"/>
            <w:tcBorders>
              <w:top w:val="single" w:sz="4" w:space="0" w:color="auto"/>
              <w:left w:val="nil"/>
              <w:bottom w:val="nil"/>
              <w:right w:val="nil"/>
            </w:tcBorders>
            <w:tcMar>
              <w:top w:w="-1" w:type="dxa"/>
              <w:left w:w="-1" w:type="dxa"/>
              <w:bottom w:w="-1" w:type="dxa"/>
              <w:right w:w="-1" w:type="dxa"/>
            </w:tcMar>
            <w:vAlign w:val="center"/>
          </w:tcPr>
          <w:p w14:paraId="2457A4DF" w14:textId="77777777" w:rsidR="00035316" w:rsidRDefault="00831B25">
            <w:pPr>
              <w:snapToGrid w:val="0"/>
              <w:jc w:val="left"/>
              <w:rPr>
                <w:rFonts w:ascii="宋体"/>
                <w:sz w:val="24"/>
                <w:szCs w:val="40"/>
              </w:rPr>
            </w:pPr>
            <w:r>
              <w:rPr>
                <w:rFonts w:ascii="宋体" w:hAnsi="宋体"/>
                <w:sz w:val="24"/>
                <w:szCs w:val="40"/>
              </w:rPr>
              <w:t>3–8 分钟</w:t>
            </w:r>
          </w:p>
        </w:tc>
        <w:tc>
          <w:tcPr>
            <w:tcW w:w="2917" w:type="dxa"/>
            <w:tcBorders>
              <w:top w:val="single" w:sz="4" w:space="0" w:color="auto"/>
              <w:left w:val="nil"/>
              <w:bottom w:val="nil"/>
              <w:right w:val="nil"/>
            </w:tcBorders>
            <w:tcMar>
              <w:top w:w="-1" w:type="dxa"/>
              <w:left w:w="-1" w:type="dxa"/>
              <w:bottom w:w="-1" w:type="dxa"/>
              <w:right w:w="-1" w:type="dxa"/>
            </w:tcMar>
            <w:vAlign w:val="center"/>
          </w:tcPr>
          <w:p w14:paraId="515CBCD4" w14:textId="77777777" w:rsidR="00035316" w:rsidRDefault="00831B25">
            <w:r>
              <w:t>python3 tools/start_showcase_spu_demo.py --host 0.0.0.0 --port 7860</w:t>
            </w:r>
          </w:p>
        </w:tc>
        <w:tc>
          <w:tcPr>
            <w:tcW w:w="2906" w:type="dxa"/>
            <w:tcBorders>
              <w:top w:val="single" w:sz="4" w:space="0" w:color="auto"/>
              <w:left w:val="nil"/>
              <w:bottom w:val="nil"/>
              <w:right w:val="nil"/>
            </w:tcBorders>
            <w:tcMar>
              <w:top w:w="-1" w:type="dxa"/>
              <w:left w:w="-1" w:type="dxa"/>
              <w:bottom w:w="-1" w:type="dxa"/>
              <w:right w:w="-1" w:type="dxa"/>
            </w:tcMar>
            <w:vAlign w:val="center"/>
          </w:tcPr>
          <w:p w14:paraId="6DC4E53C" w14:textId="77777777" w:rsidR="00035316" w:rsidRDefault="00831B25">
            <w:pPr>
              <w:snapToGrid w:val="0"/>
              <w:jc w:val="left"/>
              <w:rPr>
                <w:rFonts w:ascii="宋体"/>
                <w:sz w:val="24"/>
                <w:szCs w:val="40"/>
              </w:rPr>
            </w:pPr>
            <w:r>
              <w:rPr>
                <w:rFonts w:ascii="宋体" w:hAnsi="宋体"/>
                <w:sz w:val="24"/>
                <w:szCs w:val="40"/>
              </w:rPr>
              <w:t>浏览器在本地完成预处理与分片后返回分类结果、质量保障结论、审计摘要与控制面耗时</w:t>
            </w:r>
          </w:p>
        </w:tc>
      </w:tr>
      <w:tr w:rsidR="00035316" w14:paraId="6233736A" w14:textId="77777777">
        <w:trPr>
          <w:jc w:val="center"/>
        </w:trPr>
        <w:tc>
          <w:tcPr>
            <w:tcW w:w="1605" w:type="dxa"/>
            <w:tcBorders>
              <w:top w:val="nil"/>
              <w:left w:val="nil"/>
              <w:bottom w:val="nil"/>
              <w:right w:val="nil"/>
            </w:tcBorders>
            <w:tcMar>
              <w:top w:w="-1" w:type="dxa"/>
              <w:left w:w="-1" w:type="dxa"/>
              <w:bottom w:w="-1" w:type="dxa"/>
              <w:right w:w="-1" w:type="dxa"/>
            </w:tcMar>
            <w:vAlign w:val="center"/>
          </w:tcPr>
          <w:p w14:paraId="18989C1A" w14:textId="77777777" w:rsidR="00035316" w:rsidRDefault="00831B25">
            <w:pPr>
              <w:snapToGrid w:val="0"/>
              <w:jc w:val="center"/>
              <w:rPr>
                <w:rFonts w:ascii="宋体"/>
                <w:sz w:val="24"/>
                <w:szCs w:val="40"/>
              </w:rPr>
            </w:pPr>
            <w:r>
              <w:rPr>
                <w:rFonts w:ascii="宋体" w:hAnsi="宋体"/>
                <w:sz w:val="24"/>
                <w:szCs w:val="40"/>
              </w:rPr>
              <w:t>运行协议层异常输入验证</w:t>
            </w:r>
          </w:p>
        </w:tc>
        <w:tc>
          <w:tcPr>
            <w:tcW w:w="1411" w:type="dxa"/>
            <w:tcBorders>
              <w:top w:val="nil"/>
              <w:left w:val="nil"/>
              <w:bottom w:val="nil"/>
              <w:right w:val="nil"/>
            </w:tcBorders>
            <w:tcMar>
              <w:top w:w="-1" w:type="dxa"/>
              <w:left w:w="-1" w:type="dxa"/>
              <w:bottom w:w="-1" w:type="dxa"/>
              <w:right w:w="-1" w:type="dxa"/>
            </w:tcMar>
            <w:vAlign w:val="center"/>
          </w:tcPr>
          <w:p w14:paraId="31A94A8B" w14:textId="77777777" w:rsidR="00035316" w:rsidRDefault="00831B25">
            <w:pPr>
              <w:snapToGrid w:val="0"/>
              <w:jc w:val="left"/>
              <w:rPr>
                <w:rFonts w:ascii="宋体"/>
                <w:sz w:val="24"/>
                <w:szCs w:val="40"/>
              </w:rPr>
            </w:pPr>
            <w:r>
              <w:rPr>
                <w:rFonts w:ascii="宋体" w:hAnsi="宋体"/>
                <w:sz w:val="24"/>
                <w:szCs w:val="40"/>
              </w:rPr>
              <w:t>2–4 分钟</w:t>
            </w:r>
          </w:p>
        </w:tc>
        <w:tc>
          <w:tcPr>
            <w:tcW w:w="2917" w:type="dxa"/>
            <w:tcBorders>
              <w:top w:val="nil"/>
              <w:left w:val="nil"/>
              <w:bottom w:val="nil"/>
              <w:right w:val="nil"/>
            </w:tcBorders>
            <w:tcMar>
              <w:top w:w="-1" w:type="dxa"/>
              <w:left w:w="-1" w:type="dxa"/>
              <w:bottom w:w="-1" w:type="dxa"/>
              <w:right w:w="-1" w:type="dxa"/>
            </w:tcMar>
            <w:vAlign w:val="center"/>
          </w:tcPr>
          <w:p w14:paraId="469D79B5" w14:textId="77777777" w:rsidR="00035316" w:rsidRDefault="00831B25">
            <w:r>
              <w:t>python3 tools/showcase_protocol_fuzz.py --base-url http://127.0.0.1:7860</w:t>
            </w:r>
          </w:p>
        </w:tc>
        <w:tc>
          <w:tcPr>
            <w:tcW w:w="2906" w:type="dxa"/>
            <w:tcBorders>
              <w:top w:val="nil"/>
              <w:left w:val="nil"/>
              <w:bottom w:val="nil"/>
              <w:right w:val="nil"/>
            </w:tcBorders>
            <w:tcMar>
              <w:top w:w="-1" w:type="dxa"/>
              <w:left w:w="-1" w:type="dxa"/>
              <w:bottom w:w="-1" w:type="dxa"/>
              <w:right w:w="-1" w:type="dxa"/>
            </w:tcMar>
            <w:vAlign w:val="center"/>
          </w:tcPr>
          <w:p w14:paraId="2252EBF9" w14:textId="77777777" w:rsidR="00035316" w:rsidRDefault="00831B25">
            <w:pPr>
              <w:snapToGrid w:val="0"/>
              <w:jc w:val="left"/>
              <w:rPr>
                <w:rFonts w:ascii="宋体"/>
                <w:sz w:val="24"/>
                <w:szCs w:val="40"/>
              </w:rPr>
            </w:pPr>
            <w:r>
              <w:rPr>
                <w:rFonts w:ascii="宋体" w:hAnsi="宋体"/>
                <w:sz w:val="24"/>
                <w:szCs w:val="40"/>
              </w:rPr>
              <w:t>生成 `protocol_fuzz_evidence.json`（或自定义输出文件），验证 multipart/JSON/截断请求体阻断</w:t>
            </w:r>
          </w:p>
        </w:tc>
      </w:tr>
      <w:tr w:rsidR="00035316" w14:paraId="172FF994" w14:textId="77777777">
        <w:trPr>
          <w:jc w:val="center"/>
        </w:trPr>
        <w:tc>
          <w:tcPr>
            <w:tcW w:w="1605" w:type="dxa"/>
            <w:tcBorders>
              <w:top w:val="nil"/>
              <w:left w:val="nil"/>
              <w:bottom w:val="nil"/>
              <w:right w:val="nil"/>
            </w:tcBorders>
            <w:tcMar>
              <w:top w:w="-1" w:type="dxa"/>
              <w:left w:w="-1" w:type="dxa"/>
              <w:bottom w:w="-1" w:type="dxa"/>
              <w:right w:w="-1" w:type="dxa"/>
            </w:tcMar>
            <w:vAlign w:val="center"/>
          </w:tcPr>
          <w:p w14:paraId="6ADFA00B" w14:textId="77777777" w:rsidR="00035316" w:rsidRDefault="00831B25">
            <w:pPr>
              <w:snapToGrid w:val="0"/>
              <w:jc w:val="center"/>
              <w:rPr>
                <w:rFonts w:ascii="宋体"/>
                <w:sz w:val="24"/>
                <w:szCs w:val="40"/>
              </w:rPr>
            </w:pPr>
            <w:r>
              <w:rPr>
                <w:rFonts w:ascii="宋体" w:hAnsi="宋体"/>
                <w:sz w:val="24"/>
                <w:szCs w:val="40"/>
              </w:rPr>
              <w:t>运行至少一项控制面守卫检查</w:t>
            </w:r>
          </w:p>
        </w:tc>
        <w:tc>
          <w:tcPr>
            <w:tcW w:w="1411" w:type="dxa"/>
            <w:tcBorders>
              <w:top w:val="nil"/>
              <w:left w:val="nil"/>
              <w:bottom w:val="nil"/>
              <w:right w:val="nil"/>
            </w:tcBorders>
            <w:tcMar>
              <w:top w:w="-1" w:type="dxa"/>
              <w:left w:w="-1" w:type="dxa"/>
              <w:bottom w:w="-1" w:type="dxa"/>
              <w:right w:w="-1" w:type="dxa"/>
            </w:tcMar>
            <w:vAlign w:val="center"/>
          </w:tcPr>
          <w:p w14:paraId="200BAD79" w14:textId="77777777" w:rsidR="00035316" w:rsidRDefault="00831B25">
            <w:pPr>
              <w:snapToGrid w:val="0"/>
              <w:jc w:val="left"/>
              <w:rPr>
                <w:rFonts w:ascii="宋体"/>
                <w:sz w:val="24"/>
                <w:szCs w:val="40"/>
              </w:rPr>
            </w:pPr>
            <w:r>
              <w:rPr>
                <w:rFonts w:ascii="宋体" w:hAnsi="宋体"/>
                <w:sz w:val="24"/>
                <w:szCs w:val="40"/>
              </w:rPr>
              <w:t>2–6 分钟</w:t>
            </w:r>
          </w:p>
        </w:tc>
        <w:tc>
          <w:tcPr>
            <w:tcW w:w="2917" w:type="dxa"/>
            <w:tcBorders>
              <w:top w:val="nil"/>
              <w:left w:val="nil"/>
              <w:bottom w:val="nil"/>
              <w:right w:val="nil"/>
            </w:tcBorders>
            <w:tcMar>
              <w:top w:w="-1" w:type="dxa"/>
              <w:left w:w="-1" w:type="dxa"/>
              <w:bottom w:w="-1" w:type="dxa"/>
              <w:right w:w="-1" w:type="dxa"/>
            </w:tcMar>
            <w:vAlign w:val="center"/>
          </w:tcPr>
          <w:p w14:paraId="7B0ACEF3" w14:textId="77777777" w:rsidR="00035316" w:rsidRDefault="00831B25">
            <w:r>
              <w:t>python3 tools/showcase_guard_stress.py --base-url http://127.0.0.1:7860 --checks duplicate_nonce</w:t>
            </w:r>
          </w:p>
        </w:tc>
        <w:tc>
          <w:tcPr>
            <w:tcW w:w="2906" w:type="dxa"/>
            <w:tcBorders>
              <w:top w:val="nil"/>
              <w:left w:val="nil"/>
              <w:bottom w:val="nil"/>
              <w:right w:val="nil"/>
            </w:tcBorders>
            <w:tcMar>
              <w:top w:w="-1" w:type="dxa"/>
              <w:left w:w="-1" w:type="dxa"/>
              <w:bottom w:w="-1" w:type="dxa"/>
              <w:right w:w="-1" w:type="dxa"/>
            </w:tcMar>
            <w:vAlign w:val="center"/>
          </w:tcPr>
          <w:p w14:paraId="68B231DE" w14:textId="77777777" w:rsidR="00035316" w:rsidRDefault="00831B25">
            <w:pPr>
              <w:snapToGrid w:val="0"/>
              <w:jc w:val="left"/>
              <w:rPr>
                <w:rFonts w:ascii="宋体"/>
                <w:sz w:val="24"/>
                <w:szCs w:val="40"/>
              </w:rPr>
            </w:pPr>
            <w:r>
              <w:rPr>
                <w:rFonts w:ascii="宋体" w:hAnsi="宋体"/>
                <w:sz w:val="24"/>
                <w:szCs w:val="40"/>
              </w:rPr>
              <w:t>验证重复 nonce、重复载荷或并发占满守卫</w:t>
            </w:r>
          </w:p>
        </w:tc>
      </w:tr>
      <w:tr w:rsidR="00035316" w14:paraId="7CB7E623" w14:textId="77777777">
        <w:trPr>
          <w:jc w:val="center"/>
        </w:trPr>
        <w:tc>
          <w:tcPr>
            <w:tcW w:w="1605" w:type="dxa"/>
            <w:tcBorders>
              <w:top w:val="nil"/>
              <w:left w:val="nil"/>
              <w:bottom w:val="single" w:sz="12" w:space="0" w:color="auto"/>
              <w:right w:val="nil"/>
            </w:tcBorders>
            <w:tcMar>
              <w:top w:w="-1" w:type="dxa"/>
              <w:left w:w="-1" w:type="dxa"/>
              <w:bottom w:w="-1" w:type="dxa"/>
              <w:right w:w="-1" w:type="dxa"/>
            </w:tcMar>
            <w:vAlign w:val="center"/>
          </w:tcPr>
          <w:p w14:paraId="268653C5" w14:textId="77777777" w:rsidR="00035316" w:rsidRDefault="00831B25">
            <w:pPr>
              <w:snapToGrid w:val="0"/>
              <w:jc w:val="center"/>
              <w:rPr>
                <w:rFonts w:ascii="宋体"/>
                <w:sz w:val="24"/>
                <w:szCs w:val="40"/>
              </w:rPr>
            </w:pPr>
            <w:r>
              <w:rPr>
                <w:rFonts w:ascii="宋体" w:hAnsi="宋体"/>
                <w:sz w:val="24"/>
                <w:szCs w:val="40"/>
              </w:rPr>
              <w:t>可选：更换样本重复复核</w:t>
            </w:r>
          </w:p>
        </w:tc>
        <w:tc>
          <w:tcPr>
            <w:tcW w:w="1411" w:type="dxa"/>
            <w:tcBorders>
              <w:top w:val="nil"/>
              <w:left w:val="nil"/>
              <w:bottom w:val="single" w:sz="12" w:space="0" w:color="auto"/>
              <w:right w:val="nil"/>
            </w:tcBorders>
            <w:tcMar>
              <w:top w:w="-1" w:type="dxa"/>
              <w:left w:w="-1" w:type="dxa"/>
              <w:bottom w:w="-1" w:type="dxa"/>
              <w:right w:w="-1" w:type="dxa"/>
            </w:tcMar>
            <w:vAlign w:val="center"/>
          </w:tcPr>
          <w:p w14:paraId="0A487E77" w14:textId="77777777" w:rsidR="00035316" w:rsidRDefault="00831B25">
            <w:pPr>
              <w:snapToGrid w:val="0"/>
              <w:jc w:val="left"/>
              <w:rPr>
                <w:rFonts w:ascii="宋体"/>
                <w:sz w:val="24"/>
                <w:szCs w:val="40"/>
              </w:rPr>
            </w:pPr>
            <w:r>
              <w:rPr>
                <w:rFonts w:ascii="宋体" w:hAnsi="宋体"/>
                <w:sz w:val="24"/>
                <w:szCs w:val="40"/>
              </w:rPr>
              <w:t>2–5 分钟</w:t>
            </w:r>
          </w:p>
        </w:tc>
        <w:tc>
          <w:tcPr>
            <w:tcW w:w="2917" w:type="dxa"/>
            <w:tcBorders>
              <w:top w:val="nil"/>
              <w:left w:val="nil"/>
              <w:bottom w:val="single" w:sz="12" w:space="0" w:color="auto"/>
              <w:right w:val="nil"/>
            </w:tcBorders>
            <w:tcMar>
              <w:top w:w="-1" w:type="dxa"/>
              <w:left w:w="-1" w:type="dxa"/>
              <w:bottom w:w="-1" w:type="dxa"/>
              <w:right w:w="-1" w:type="dxa"/>
            </w:tcMar>
            <w:vAlign w:val="center"/>
          </w:tcPr>
          <w:p w14:paraId="1A28632A" w14:textId="77777777" w:rsidR="00035316" w:rsidRDefault="00831B25">
            <w:r>
              <w:t>浏览器重新加载另一张本地样本；或再次运行</w:t>
            </w:r>
            <w:r>
              <w:t xml:space="preserve"> python3 tools/showcase_guard_stress.py --base-url http://127.0.0.1:7860 --checks duplicate_nonce</w:t>
            </w:r>
          </w:p>
        </w:tc>
        <w:tc>
          <w:tcPr>
            <w:tcW w:w="2906" w:type="dxa"/>
            <w:tcBorders>
              <w:top w:val="nil"/>
              <w:left w:val="nil"/>
              <w:bottom w:val="single" w:sz="12" w:space="0" w:color="auto"/>
              <w:right w:val="nil"/>
            </w:tcBorders>
            <w:tcMar>
              <w:top w:w="-1" w:type="dxa"/>
              <w:left w:w="-1" w:type="dxa"/>
              <w:bottom w:w="-1" w:type="dxa"/>
              <w:right w:w="-1" w:type="dxa"/>
            </w:tcMar>
            <w:vAlign w:val="center"/>
          </w:tcPr>
          <w:p w14:paraId="1A71041F" w14:textId="77777777" w:rsidR="00035316" w:rsidRDefault="00831B25">
            <w:pPr>
              <w:snapToGrid w:val="0"/>
              <w:jc w:val="left"/>
              <w:rPr>
                <w:rFonts w:ascii="宋体"/>
                <w:sz w:val="24"/>
                <w:szCs w:val="40"/>
              </w:rPr>
            </w:pPr>
            <w:r>
              <w:rPr>
                <w:rFonts w:ascii="宋体" w:hAnsi="宋体"/>
                <w:sz w:val="24"/>
                <w:szCs w:val="40"/>
              </w:rPr>
              <w:t>验证完整计算链路可重复执行，且审计摘要与控制面统计持续生成</w:t>
            </w:r>
          </w:p>
        </w:tc>
      </w:tr>
    </w:tbl>
    <w:p w14:paraId="3604B47E" w14:textId="77777777" w:rsidR="00035316" w:rsidRDefault="00831B25">
      <w:pPr>
        <w:spacing w:line="360" w:lineRule="auto"/>
        <w:ind w:firstLine="480"/>
        <w:rPr>
          <w:rFonts w:ascii="宋体" w:hAnsi="宋体" w:hint="eastAsia"/>
          <w:sz w:val="24"/>
        </w:rPr>
      </w:pPr>
      <w:r>
        <w:rPr>
          <w:rFonts w:ascii="宋体" w:hAnsi="宋体"/>
          <w:sz w:val="24"/>
        </w:rPr>
        <w:t>从复现层次上看，当前仓库实际上提供了三档入口：第一档是本机展示样例，用于验证浏览器预处理、分片生成与 SPU 分类闭环；第二档是协议层异常输入和控制面守卫验证，用于复核边界阻断与资源状态回落；第三档是真两方部署迁移骨架，用于演练医院侧、模型提供方与协调侧的分角色部署。三档入口共享同一 bundle、阈值口径与证据链文件，目的在于避免“展示链路”“验证链路”“部署链路”彼此割裂。</w:t>
      </w:r>
    </w:p>
    <w:p w14:paraId="6D8D0F47" w14:textId="77777777" w:rsidR="00407270" w:rsidRDefault="009543CE">
      <w:pPr>
        <w:spacing w:line="360" w:lineRule="auto"/>
        <w:ind w:firstLine="480"/>
        <w:rPr>
          <w:rFonts w:ascii="宋体" w:hAnsi="宋体" w:hint="eastAsia"/>
          <w:sz w:val="24"/>
        </w:rPr>
      </w:pPr>
      <w:r>
        <w:rPr>
          <w:rFonts w:ascii="宋体" w:hAnsi="宋体"/>
        </w:rPr>
        <w:t>三档入口承担的目标并不相同：本机展示样例用于确认模型包、前端预处理与 SPU 分类是否形成最短闭环；异常输入与控制面守卫验证用于确认安全边界是否止于 SPU 入口之外；两方部署骨架则用于确认角色划分、manifest 组织和远程 2PC 配置是否能够脱离单机演示而独立成立。将三类入口分开说明，有助于避免把“可以现场演示”误写为“已经完成生产部署”。</w:t>
      </w:r>
    </w:p>
    <w:p w14:paraId="578FF7E6" w14:textId="77777777" w:rsidR="00035316" w:rsidRDefault="00831B25">
      <w:pPr>
        <w:spacing w:line="360" w:lineRule="auto"/>
        <w:ind w:firstLine="480"/>
        <w:rPr>
          <w:rFonts w:ascii="宋体" w:hAnsi="宋体" w:hint="eastAsia"/>
          <w:sz w:val="24"/>
        </w:rPr>
      </w:pPr>
      <w:r>
        <w:rPr>
          <w:rFonts w:ascii="宋体" w:hAnsi="宋体"/>
        </w:rPr>
        <w:t>复现流程强调“结果可验证”而非“环境完全生产化”。本作品保留了本机 SPU 展示样例、服务器复核结果、通信量记录、鲁棒性探针和真实两方部署框架文档，使读者能够分别验证系统是否能运行、关键指标是否有证据、异常输入是否被拦截，以及后续迁移到医院侧与模型提供方分离部署时需要补齐哪些机构配置。该复现边界与第 2.6 节的系统形态划分保持一致。</w:t>
      </w:r>
    </w:p>
    <w:p w14:paraId="49261BFB" w14:textId="77777777" w:rsidR="00035316" w:rsidRDefault="00831B25">
      <w:pPr>
        <w:spacing w:line="360" w:lineRule="auto"/>
        <w:outlineLvl w:val="1"/>
        <w:rPr>
          <w:rFonts w:ascii="黑体" w:eastAsia="黑体" w:hAnsi="黑体" w:hint="eastAsia"/>
          <w:b/>
          <w:sz w:val="24"/>
        </w:rPr>
      </w:pPr>
      <w:bookmarkStart w:id="82" w:name="Transshield_TOC_section_6_2"/>
      <w:bookmarkStart w:id="83" w:name="_Toc230989576"/>
      <w:r>
        <w:rPr>
          <w:rFonts w:ascii="黑体" w:eastAsia="黑体" w:hAnsi="黑体" w:hint="eastAsia"/>
          <w:b/>
          <w:sz w:val="24"/>
        </w:rPr>
        <w:t>6.2 数据、模型与权重合规声明</w:t>
      </w:r>
      <w:bookmarkEnd w:id="82"/>
      <w:bookmarkEnd w:id="83"/>
    </w:p>
    <w:p w14:paraId="560C3576" w14:textId="77777777" w:rsidR="00035316" w:rsidRDefault="00831B25">
      <w:pPr>
        <w:spacing w:line="360" w:lineRule="auto"/>
        <w:ind w:firstLine="480"/>
        <w:rPr>
          <w:rFonts w:ascii="宋体" w:hAnsi="宋体" w:hint="eastAsia"/>
          <w:sz w:val="24"/>
        </w:rPr>
      </w:pPr>
      <w:r>
        <w:rPr>
          <w:rFonts w:ascii="宋体" w:hAnsi="宋体" w:cs="宋体"/>
          <w:sz w:val="24"/>
        </w:rPr>
        <w:t xml:space="preserve">本作品对数据、模型结构与权重文件的分层合规声明与边界说明如表 </w:t>
      </w:r>
      <w:r>
        <w:rPr>
          <w:rFonts w:ascii="宋体" w:hAnsi="宋体" w:cs="宋体" w:hint="eastAsia"/>
          <w:sz w:val="24"/>
        </w:rPr>
        <w:t>16</w:t>
      </w:r>
      <w:r>
        <w:rPr>
          <w:rFonts w:ascii="宋体" w:hAnsi="宋体" w:cs="宋体"/>
          <w:sz w:val="24"/>
        </w:rPr>
        <w:t>所示。</w:t>
      </w:r>
      <w:r>
        <w:rPr>
          <w:rFonts w:ascii="宋体" w:hAnsi="宋体"/>
          <w:sz w:val="24"/>
        </w:rPr>
        <w:t>作品对数据、模型结构与权重文件分别采用分层合规声明。数据层面，报告与演示不包含真实、未经授权的患者隐私信息；医疗结果仅用于研究验证与竞赛展示，不作为临床诊断依据；金融压力样本仅承担方法边界验证职责。模型层面，公开仓库保留模型结构、运行脚本、图件与报告生成链；权重层面，仓库当前不默认随 Git 分发全部完整权重文件，仅保留必要的 bundle 元数据与加载入口，完整权重需在授权范围内单独提供。</w:t>
      </w:r>
    </w:p>
    <w:p w14:paraId="2D6BE26F" w14:textId="77777777" w:rsidR="00035316" w:rsidRDefault="00831B25">
      <w:pPr>
        <w:spacing w:line="360" w:lineRule="auto"/>
        <w:ind w:firstLine="480"/>
        <w:jc w:val="center"/>
        <w:rPr>
          <w:rFonts w:ascii="宋体" w:hAnsi="宋体" w:hint="eastAsia"/>
          <w:sz w:val="24"/>
        </w:rPr>
      </w:pPr>
      <w:r>
        <w:rPr>
          <w:rFonts w:ascii="宋体" w:hAnsi="宋体" w:cs="宋体"/>
          <w:sz w:val="24"/>
        </w:rPr>
        <w:t xml:space="preserve">表 </w:t>
      </w:r>
      <w:r>
        <w:rPr>
          <w:rFonts w:ascii="宋体" w:hAnsi="宋体" w:cs="宋体" w:hint="eastAsia"/>
          <w:sz w:val="24"/>
        </w:rPr>
        <w:t>16</w:t>
      </w:r>
      <w:r>
        <w:rPr>
          <w:rFonts w:ascii="宋体" w:hAnsi="宋体" w:cs="宋体"/>
          <w:sz w:val="24"/>
        </w:rPr>
        <w:t xml:space="preserve"> 数据、模型与权重合规边界说明</w:t>
      </w:r>
    </w:p>
    <w:tbl>
      <w:tblPr>
        <w:tblW w:w="8820" w:type="dxa"/>
        <w:jc w:val="center"/>
        <w:tblLook w:val="04A0" w:firstRow="1" w:lastRow="0" w:firstColumn="1" w:lastColumn="0" w:noHBand="0" w:noVBand="1"/>
      </w:tblPr>
      <w:tblGrid>
        <w:gridCol w:w="1818"/>
        <w:gridCol w:w="4266"/>
        <w:gridCol w:w="2736"/>
      </w:tblGrid>
      <w:tr w:rsidR="00035316" w14:paraId="27F16E3D" w14:textId="77777777">
        <w:trPr>
          <w:tblHeader/>
          <w:jc w:val="center"/>
        </w:trPr>
        <w:tc>
          <w:tcPr>
            <w:tcW w:w="1818" w:type="dxa"/>
            <w:tcBorders>
              <w:top w:val="single" w:sz="12" w:space="0" w:color="auto"/>
              <w:left w:val="nil"/>
              <w:bottom w:val="nil"/>
              <w:right w:val="nil"/>
            </w:tcBorders>
            <w:tcMar>
              <w:top w:w="-1" w:type="dxa"/>
              <w:left w:w="-1" w:type="dxa"/>
              <w:bottom w:w="-1" w:type="dxa"/>
              <w:right w:w="-1" w:type="dxa"/>
            </w:tcMar>
            <w:vAlign w:val="center"/>
          </w:tcPr>
          <w:p w14:paraId="1EDA8BC0" w14:textId="77777777" w:rsidR="00035316" w:rsidRDefault="00831B25">
            <w:pPr>
              <w:snapToGrid w:val="0"/>
              <w:jc w:val="center"/>
              <w:rPr>
                <w:rFonts w:ascii="宋体"/>
                <w:b/>
                <w:sz w:val="24"/>
              </w:rPr>
            </w:pPr>
            <w:r>
              <w:rPr>
                <w:rFonts w:ascii="宋体" w:hAnsi="宋体"/>
                <w:b/>
                <w:sz w:val="24"/>
              </w:rPr>
              <w:t>对象</w:t>
            </w:r>
          </w:p>
        </w:tc>
        <w:tc>
          <w:tcPr>
            <w:tcW w:w="4266" w:type="dxa"/>
            <w:tcBorders>
              <w:top w:val="single" w:sz="12" w:space="0" w:color="auto"/>
              <w:left w:val="nil"/>
              <w:bottom w:val="nil"/>
              <w:right w:val="nil"/>
            </w:tcBorders>
            <w:tcMar>
              <w:top w:w="-1" w:type="dxa"/>
              <w:left w:w="-1" w:type="dxa"/>
              <w:bottom w:w="-1" w:type="dxa"/>
              <w:right w:w="-1" w:type="dxa"/>
            </w:tcMar>
            <w:vAlign w:val="center"/>
          </w:tcPr>
          <w:p w14:paraId="41300CE8" w14:textId="77777777" w:rsidR="00035316" w:rsidRDefault="00831B25">
            <w:pPr>
              <w:snapToGrid w:val="0"/>
              <w:jc w:val="center"/>
              <w:rPr>
                <w:rFonts w:ascii="宋体"/>
                <w:b/>
                <w:sz w:val="24"/>
              </w:rPr>
            </w:pPr>
            <w:r>
              <w:rPr>
                <w:rFonts w:ascii="宋体" w:hAnsi="宋体"/>
                <w:b/>
                <w:sz w:val="24"/>
              </w:rPr>
              <w:t>当前做法</w:t>
            </w:r>
          </w:p>
        </w:tc>
        <w:tc>
          <w:tcPr>
            <w:tcW w:w="2736" w:type="dxa"/>
            <w:tcBorders>
              <w:top w:val="single" w:sz="12" w:space="0" w:color="auto"/>
              <w:left w:val="nil"/>
              <w:bottom w:val="nil"/>
              <w:right w:val="nil"/>
            </w:tcBorders>
            <w:tcMar>
              <w:top w:w="-1" w:type="dxa"/>
              <w:left w:w="-1" w:type="dxa"/>
              <w:bottom w:w="-1" w:type="dxa"/>
              <w:right w:w="-1" w:type="dxa"/>
            </w:tcMar>
            <w:vAlign w:val="center"/>
          </w:tcPr>
          <w:p w14:paraId="6B6BF70C" w14:textId="77777777" w:rsidR="00035316" w:rsidRDefault="00831B25">
            <w:pPr>
              <w:snapToGrid w:val="0"/>
              <w:jc w:val="center"/>
              <w:rPr>
                <w:rFonts w:ascii="宋体"/>
                <w:b/>
                <w:sz w:val="24"/>
              </w:rPr>
            </w:pPr>
            <w:r>
              <w:rPr>
                <w:rFonts w:ascii="宋体" w:hAnsi="宋体"/>
                <w:b/>
                <w:sz w:val="24"/>
              </w:rPr>
              <w:t>合规边界</w:t>
            </w:r>
          </w:p>
        </w:tc>
      </w:tr>
      <w:tr w:rsidR="00035316" w14:paraId="66FEE0BE" w14:textId="77777777">
        <w:trPr>
          <w:jc w:val="center"/>
        </w:trPr>
        <w:tc>
          <w:tcPr>
            <w:tcW w:w="1818" w:type="dxa"/>
            <w:tcBorders>
              <w:top w:val="single" w:sz="4" w:space="0" w:color="auto"/>
              <w:left w:val="nil"/>
              <w:bottom w:val="nil"/>
              <w:right w:val="nil"/>
            </w:tcBorders>
            <w:tcMar>
              <w:top w:w="-1" w:type="dxa"/>
              <w:left w:w="-1" w:type="dxa"/>
              <w:bottom w:w="-1" w:type="dxa"/>
              <w:right w:w="-1" w:type="dxa"/>
            </w:tcMar>
            <w:vAlign w:val="center"/>
          </w:tcPr>
          <w:p w14:paraId="741EDCC5" w14:textId="77777777" w:rsidR="00035316" w:rsidRDefault="00831B25">
            <w:pPr>
              <w:snapToGrid w:val="0"/>
              <w:jc w:val="center"/>
              <w:rPr>
                <w:rFonts w:ascii="宋体"/>
                <w:sz w:val="24"/>
              </w:rPr>
            </w:pPr>
            <w:r>
              <w:rPr>
                <w:rFonts w:ascii="宋体" w:hAnsi="宋体"/>
                <w:sz w:val="24"/>
              </w:rPr>
              <w:t>测试数据</w:t>
            </w:r>
          </w:p>
        </w:tc>
        <w:tc>
          <w:tcPr>
            <w:tcW w:w="4266" w:type="dxa"/>
            <w:tcBorders>
              <w:top w:val="single" w:sz="4" w:space="0" w:color="auto"/>
              <w:left w:val="nil"/>
              <w:bottom w:val="nil"/>
              <w:right w:val="nil"/>
            </w:tcBorders>
            <w:tcMar>
              <w:top w:w="-1" w:type="dxa"/>
              <w:left w:w="-1" w:type="dxa"/>
              <w:bottom w:w="-1" w:type="dxa"/>
              <w:right w:w="-1" w:type="dxa"/>
            </w:tcMar>
            <w:vAlign w:val="center"/>
          </w:tcPr>
          <w:p w14:paraId="5F085DC3" w14:textId="77777777" w:rsidR="00035316" w:rsidRDefault="00831B25">
            <w:pPr>
              <w:snapToGrid w:val="0"/>
              <w:jc w:val="left"/>
              <w:rPr>
                <w:rFonts w:ascii="宋体"/>
                <w:sz w:val="24"/>
              </w:rPr>
            </w:pPr>
            <w:r>
              <w:rPr>
                <w:rFonts w:ascii="宋体" w:hAnsi="宋体"/>
                <w:sz w:val="24"/>
              </w:rPr>
              <w:t>仅使用仓内声明范围内的验证数据与压力样本</w:t>
            </w:r>
          </w:p>
        </w:tc>
        <w:tc>
          <w:tcPr>
            <w:tcW w:w="2736" w:type="dxa"/>
            <w:tcBorders>
              <w:top w:val="single" w:sz="4" w:space="0" w:color="auto"/>
              <w:left w:val="nil"/>
              <w:bottom w:val="nil"/>
              <w:right w:val="nil"/>
            </w:tcBorders>
            <w:tcMar>
              <w:top w:w="-1" w:type="dxa"/>
              <w:left w:w="-1" w:type="dxa"/>
              <w:bottom w:w="-1" w:type="dxa"/>
              <w:right w:w="-1" w:type="dxa"/>
            </w:tcMar>
            <w:vAlign w:val="center"/>
          </w:tcPr>
          <w:p w14:paraId="5F01E6C4" w14:textId="77777777" w:rsidR="00035316" w:rsidRDefault="00831B25">
            <w:pPr>
              <w:snapToGrid w:val="0"/>
              <w:jc w:val="left"/>
              <w:rPr>
                <w:rFonts w:ascii="宋体"/>
                <w:sz w:val="24"/>
              </w:rPr>
            </w:pPr>
            <w:r>
              <w:rPr>
                <w:rFonts w:ascii="宋体" w:hAnsi="宋体"/>
                <w:sz w:val="24"/>
              </w:rPr>
              <w:t>不对外分发未经授权的原始敏感数据</w:t>
            </w:r>
          </w:p>
        </w:tc>
      </w:tr>
      <w:tr w:rsidR="00035316" w14:paraId="08CACB3F" w14:textId="77777777">
        <w:trPr>
          <w:jc w:val="center"/>
        </w:trPr>
        <w:tc>
          <w:tcPr>
            <w:tcW w:w="1818" w:type="dxa"/>
            <w:tcBorders>
              <w:top w:val="nil"/>
              <w:left w:val="nil"/>
              <w:bottom w:val="nil"/>
              <w:right w:val="nil"/>
            </w:tcBorders>
            <w:tcMar>
              <w:top w:w="-1" w:type="dxa"/>
              <w:left w:w="-1" w:type="dxa"/>
              <w:bottom w:w="-1" w:type="dxa"/>
              <w:right w:w="-1" w:type="dxa"/>
            </w:tcMar>
            <w:vAlign w:val="center"/>
          </w:tcPr>
          <w:p w14:paraId="5B00B64F" w14:textId="77777777" w:rsidR="00035316" w:rsidRDefault="00831B25">
            <w:pPr>
              <w:snapToGrid w:val="0"/>
              <w:jc w:val="center"/>
              <w:rPr>
                <w:rFonts w:ascii="宋体"/>
                <w:sz w:val="24"/>
              </w:rPr>
            </w:pPr>
            <w:r>
              <w:rPr>
                <w:rFonts w:ascii="宋体" w:hAnsi="宋体"/>
                <w:sz w:val="24"/>
              </w:rPr>
              <w:t>模型结构代码</w:t>
            </w:r>
          </w:p>
        </w:tc>
        <w:tc>
          <w:tcPr>
            <w:tcW w:w="4266" w:type="dxa"/>
            <w:tcBorders>
              <w:top w:val="nil"/>
              <w:left w:val="nil"/>
              <w:bottom w:val="nil"/>
              <w:right w:val="nil"/>
            </w:tcBorders>
            <w:tcMar>
              <w:top w:w="-1" w:type="dxa"/>
              <w:left w:w="-1" w:type="dxa"/>
              <w:bottom w:w="-1" w:type="dxa"/>
              <w:right w:w="-1" w:type="dxa"/>
            </w:tcMar>
            <w:vAlign w:val="center"/>
          </w:tcPr>
          <w:p w14:paraId="455ED402" w14:textId="77777777" w:rsidR="00035316" w:rsidRDefault="00831B25">
            <w:pPr>
              <w:snapToGrid w:val="0"/>
              <w:jc w:val="left"/>
              <w:rPr>
                <w:rFonts w:ascii="宋体"/>
                <w:sz w:val="24"/>
              </w:rPr>
            </w:pPr>
            <w:r>
              <w:rPr>
                <w:rFonts w:ascii="宋体" w:hAnsi="宋体"/>
                <w:sz w:val="24"/>
              </w:rPr>
              <w:t>随仓保留并可复现运行链</w:t>
            </w:r>
          </w:p>
        </w:tc>
        <w:tc>
          <w:tcPr>
            <w:tcW w:w="2736" w:type="dxa"/>
            <w:tcBorders>
              <w:top w:val="nil"/>
              <w:left w:val="nil"/>
              <w:bottom w:val="nil"/>
              <w:right w:val="nil"/>
            </w:tcBorders>
            <w:tcMar>
              <w:top w:w="-1" w:type="dxa"/>
              <w:left w:w="-1" w:type="dxa"/>
              <w:bottom w:w="-1" w:type="dxa"/>
              <w:right w:w="-1" w:type="dxa"/>
            </w:tcMar>
            <w:vAlign w:val="center"/>
          </w:tcPr>
          <w:p w14:paraId="61F82C5D" w14:textId="77777777" w:rsidR="00035316" w:rsidRDefault="00831B25">
            <w:pPr>
              <w:snapToGrid w:val="0"/>
              <w:jc w:val="left"/>
              <w:rPr>
                <w:rFonts w:ascii="宋体"/>
                <w:sz w:val="24"/>
              </w:rPr>
            </w:pPr>
            <w:r>
              <w:rPr>
                <w:rFonts w:ascii="宋体" w:hAnsi="宋体"/>
                <w:sz w:val="24"/>
              </w:rPr>
              <w:t>遵循仓内第三方来源与修改映射说明</w:t>
            </w:r>
          </w:p>
        </w:tc>
      </w:tr>
      <w:tr w:rsidR="00035316" w14:paraId="58821EFF" w14:textId="77777777">
        <w:trPr>
          <w:jc w:val="center"/>
        </w:trPr>
        <w:tc>
          <w:tcPr>
            <w:tcW w:w="1818" w:type="dxa"/>
            <w:tcBorders>
              <w:top w:val="nil"/>
              <w:left w:val="nil"/>
              <w:bottom w:val="nil"/>
              <w:right w:val="nil"/>
            </w:tcBorders>
            <w:tcMar>
              <w:top w:w="-1" w:type="dxa"/>
              <w:left w:w="-1" w:type="dxa"/>
              <w:bottom w:w="-1" w:type="dxa"/>
              <w:right w:w="-1" w:type="dxa"/>
            </w:tcMar>
            <w:vAlign w:val="center"/>
          </w:tcPr>
          <w:p w14:paraId="66E3F318" w14:textId="77777777" w:rsidR="00035316" w:rsidRDefault="00831B25">
            <w:pPr>
              <w:snapToGrid w:val="0"/>
              <w:jc w:val="center"/>
              <w:rPr>
                <w:rFonts w:ascii="宋体"/>
                <w:sz w:val="24"/>
              </w:rPr>
            </w:pPr>
            <w:r>
              <w:rPr>
                <w:rFonts w:ascii="宋体" w:hAnsi="宋体"/>
                <w:sz w:val="24"/>
              </w:rPr>
              <w:t>模型权重</w:t>
            </w:r>
          </w:p>
        </w:tc>
        <w:tc>
          <w:tcPr>
            <w:tcW w:w="4266" w:type="dxa"/>
            <w:tcBorders>
              <w:top w:val="nil"/>
              <w:left w:val="nil"/>
              <w:bottom w:val="nil"/>
              <w:right w:val="nil"/>
            </w:tcBorders>
            <w:tcMar>
              <w:top w:w="-1" w:type="dxa"/>
              <w:left w:w="-1" w:type="dxa"/>
              <w:bottom w:w="-1" w:type="dxa"/>
              <w:right w:w="-1" w:type="dxa"/>
            </w:tcMar>
            <w:vAlign w:val="center"/>
          </w:tcPr>
          <w:p w14:paraId="51F1DD4C" w14:textId="77777777" w:rsidR="00035316" w:rsidRDefault="00831B25">
            <w:pPr>
              <w:snapToGrid w:val="0"/>
              <w:jc w:val="left"/>
              <w:rPr>
                <w:rFonts w:ascii="宋体"/>
                <w:sz w:val="24"/>
              </w:rPr>
            </w:pPr>
            <w:r>
              <w:rPr>
                <w:rFonts w:ascii="宋体" w:hAnsi="宋体"/>
                <w:sz w:val="24"/>
              </w:rPr>
              <w:t>默认不随 Git 完整分发，仅保留 bundle 元数据与加载入口</w:t>
            </w:r>
          </w:p>
        </w:tc>
        <w:tc>
          <w:tcPr>
            <w:tcW w:w="2736" w:type="dxa"/>
            <w:tcBorders>
              <w:top w:val="nil"/>
              <w:left w:val="nil"/>
              <w:bottom w:val="nil"/>
              <w:right w:val="nil"/>
            </w:tcBorders>
            <w:tcMar>
              <w:top w:w="-1" w:type="dxa"/>
              <w:left w:w="-1" w:type="dxa"/>
              <w:bottom w:w="-1" w:type="dxa"/>
              <w:right w:w="-1" w:type="dxa"/>
            </w:tcMar>
            <w:vAlign w:val="center"/>
          </w:tcPr>
          <w:p w14:paraId="46C396EF" w14:textId="77777777" w:rsidR="00035316" w:rsidRDefault="00831B25">
            <w:pPr>
              <w:snapToGrid w:val="0"/>
              <w:jc w:val="left"/>
              <w:rPr>
                <w:rFonts w:ascii="宋体"/>
                <w:sz w:val="24"/>
              </w:rPr>
            </w:pPr>
            <w:r>
              <w:rPr>
                <w:rFonts w:ascii="宋体" w:hAnsi="宋体"/>
                <w:sz w:val="24"/>
              </w:rPr>
              <w:t>需由维护方按授权边界单独提供</w:t>
            </w:r>
          </w:p>
        </w:tc>
      </w:tr>
      <w:tr w:rsidR="00035316" w14:paraId="442760E3" w14:textId="77777777">
        <w:trPr>
          <w:jc w:val="center"/>
        </w:trPr>
        <w:tc>
          <w:tcPr>
            <w:tcW w:w="1818" w:type="dxa"/>
            <w:tcBorders>
              <w:top w:val="nil"/>
              <w:left w:val="nil"/>
              <w:bottom w:val="single" w:sz="12" w:space="0" w:color="auto"/>
              <w:right w:val="nil"/>
            </w:tcBorders>
            <w:tcMar>
              <w:top w:w="-1" w:type="dxa"/>
              <w:left w:w="-1" w:type="dxa"/>
              <w:bottom w:w="-1" w:type="dxa"/>
              <w:right w:w="-1" w:type="dxa"/>
            </w:tcMar>
            <w:vAlign w:val="center"/>
          </w:tcPr>
          <w:p w14:paraId="12EC041E" w14:textId="77777777" w:rsidR="00035316" w:rsidRDefault="00831B25">
            <w:pPr>
              <w:snapToGrid w:val="0"/>
              <w:jc w:val="center"/>
              <w:rPr>
                <w:rFonts w:ascii="宋体"/>
                <w:sz w:val="24"/>
              </w:rPr>
            </w:pPr>
            <w:r>
              <w:rPr>
                <w:rFonts w:ascii="宋体" w:hAnsi="宋体"/>
                <w:sz w:val="24"/>
              </w:rPr>
              <w:t>第三方预训练/上游组件</w:t>
            </w:r>
          </w:p>
        </w:tc>
        <w:tc>
          <w:tcPr>
            <w:tcW w:w="4266" w:type="dxa"/>
            <w:tcBorders>
              <w:top w:val="nil"/>
              <w:left w:val="nil"/>
              <w:bottom w:val="single" w:sz="12" w:space="0" w:color="auto"/>
              <w:right w:val="nil"/>
            </w:tcBorders>
            <w:tcMar>
              <w:top w:w="-1" w:type="dxa"/>
              <w:left w:w="-1" w:type="dxa"/>
              <w:bottom w:w="-1" w:type="dxa"/>
              <w:right w:w="-1" w:type="dxa"/>
            </w:tcMar>
            <w:vAlign w:val="center"/>
          </w:tcPr>
          <w:p w14:paraId="0366A075" w14:textId="77777777" w:rsidR="00035316" w:rsidRDefault="00831B25">
            <w:pPr>
              <w:snapToGrid w:val="0"/>
              <w:jc w:val="left"/>
              <w:rPr>
                <w:rFonts w:ascii="宋体"/>
                <w:sz w:val="24"/>
              </w:rPr>
            </w:pPr>
            <w:r>
              <w:rPr>
                <w:rFonts w:ascii="宋体" w:hAnsi="宋体"/>
                <w:sz w:val="24"/>
              </w:rPr>
              <w:t>按原许可证与来源映射保留</w:t>
            </w:r>
          </w:p>
        </w:tc>
        <w:tc>
          <w:tcPr>
            <w:tcW w:w="2736" w:type="dxa"/>
            <w:tcBorders>
              <w:top w:val="nil"/>
              <w:left w:val="nil"/>
              <w:bottom w:val="single" w:sz="12" w:space="0" w:color="auto"/>
              <w:right w:val="nil"/>
            </w:tcBorders>
            <w:tcMar>
              <w:top w:w="-1" w:type="dxa"/>
              <w:left w:w="-1" w:type="dxa"/>
              <w:bottom w:w="-1" w:type="dxa"/>
              <w:right w:w="-1" w:type="dxa"/>
            </w:tcMar>
            <w:vAlign w:val="center"/>
          </w:tcPr>
          <w:p w14:paraId="13266CC4" w14:textId="77777777" w:rsidR="00035316" w:rsidRDefault="00831B25">
            <w:pPr>
              <w:snapToGrid w:val="0"/>
              <w:jc w:val="left"/>
              <w:rPr>
                <w:rFonts w:ascii="宋体"/>
                <w:sz w:val="24"/>
              </w:rPr>
            </w:pPr>
            <w:r>
              <w:rPr>
                <w:rFonts w:ascii="宋体" w:hAnsi="宋体"/>
                <w:sz w:val="24"/>
              </w:rPr>
              <w:t>不对上游本体主张排他性知识产权</w:t>
            </w:r>
          </w:p>
        </w:tc>
      </w:tr>
    </w:tbl>
    <w:p w14:paraId="35BCBB75" w14:textId="77777777" w:rsidR="00035316" w:rsidRDefault="00831B25">
      <w:pPr>
        <w:spacing w:line="360" w:lineRule="auto"/>
        <w:rPr>
          <w:rFonts w:ascii="黑体" w:hAnsi="黑体" w:hint="eastAsia"/>
          <w:b/>
          <w:sz w:val="24"/>
        </w:rPr>
      </w:pPr>
      <w:r>
        <w:rPr>
          <w:rFonts w:ascii="宋体" w:hAnsi="宋体" w:cs="宋体"/>
          <w:sz w:val="24"/>
        </w:rPr>
        <w:t>注：本声明仅适用于本次竞赛提交的原型系统；任何商业使用需单独获得相关数据与模型的授权许可</w:t>
      </w:r>
      <w:r>
        <w:rPr>
          <w:rFonts w:ascii="宋体" w:hAnsi="宋体" w:cs="宋体" w:hint="eastAsia"/>
          <w:sz w:val="24"/>
        </w:rPr>
        <w:t>。</w:t>
      </w:r>
    </w:p>
    <w:p w14:paraId="24704CED" w14:textId="77777777" w:rsidR="00035316" w:rsidRDefault="00831B25">
      <w:pPr>
        <w:spacing w:line="360" w:lineRule="auto"/>
        <w:ind w:firstLine="480"/>
        <w:rPr>
          <w:rFonts w:ascii="宋体" w:hAnsi="宋体" w:hint="eastAsia"/>
          <w:sz w:val="24"/>
        </w:rPr>
      </w:pPr>
      <w:r>
        <w:rPr>
          <w:rFonts w:ascii="宋体" w:hAnsi="宋体"/>
          <w:sz w:val="24"/>
        </w:rPr>
        <w:t>在合规口径上，本作品还区分了“可公开交付物”和“受授权约束资源”两类对象。前者包括代码、报告、图件、验证脚本、公开证据与必要的 bundle 元数据；后者包括完整权重、原始数据集和任何可能恢复真实患者信息或受限模型资产的内容。这样做既是出于竞赛提交的可复核性考虑，也是为了避免将研究验证资产误写为默认可公开再分发资产。</w:t>
      </w:r>
    </w:p>
    <w:p w14:paraId="0343D646" w14:textId="77777777" w:rsidR="00407270" w:rsidRDefault="009543CE">
      <w:pPr>
        <w:spacing w:line="360" w:lineRule="auto"/>
        <w:ind w:firstLine="480"/>
        <w:rPr>
          <w:rFonts w:ascii="宋体" w:hAnsi="宋体" w:hint="eastAsia"/>
          <w:sz w:val="24"/>
        </w:rPr>
      </w:pPr>
      <w:r>
        <w:rPr>
          <w:rFonts w:ascii="宋体" w:hAnsi="宋体"/>
        </w:rPr>
        <w:t>这种划分也直接影响结果解释边界：正文中出现的精度、通信量和鲁棒性结论均建立在授权可用的模型权重、指定验证集和当前冻结 bundle 之上，并不意味着任何第三方在未获得数据和权重授权的情况下都可无条件复现实验数值。将这一点写清楚，是为了同时保护数据合规与结果可复核性。</w:t>
      </w:r>
    </w:p>
    <w:p w14:paraId="5C7FFB6B" w14:textId="77777777" w:rsidR="009C5E3E" w:rsidRDefault="00C47836">
      <w:r>
        <w:rPr>
          <w:rFonts w:ascii="宋体" w:hAnsi="宋体"/>
        </w:rPr>
        <w:t>结合仓库当前公开范围可以看到，本作品在“可核验”与“可再分发”之间进行了明确区分：仓库公开的是结构、脚本、图件、证据、bundle 元数据和运行入口，因此外部评审可以核查作品有没有按正文所述组织系统；但完整权重、原始数据集与任何可恢复真实患者信息的资产并不随 Git 默认分发。这样的分层公开策略既避免把受限资产误写为可自由传播内容，也避免因为完全隐藏运行入口而削弱结果可复核性。</w:t>
      </w:r>
    </w:p>
    <w:p w14:paraId="34DD165C" w14:textId="77777777" w:rsidR="00802BF6" w:rsidRDefault="00D442AD">
      <w:pPr>
        <w:spacing w:line="360" w:lineRule="auto"/>
        <w:ind w:firstLine="480"/>
        <w:rPr>
          <w:rFonts w:ascii="宋体" w:hAnsi="宋体" w:hint="eastAsia"/>
          <w:sz w:val="24"/>
        </w:rPr>
      </w:pPr>
      <w:r>
        <w:rPr>
          <w:rFonts w:ascii="宋体" w:hAnsi="宋体"/>
        </w:rPr>
        <w:t>进一步说，当前仓库对模型资产采取的是“结构公开、入口公开、权重受限”的分层策略：模型结构、运行脚本、bundle 元数据、展示图件和正式证据文件可以随仓库一并提交与核验；完整模型权重、原始验证数据以及任何可能恢复患者信息或受限模型资产的内容则不默认再分发。这种做法并非削弱可复核性，而是把“代码可审、结果可核、敏感资产不越界”同时纳入同一份提交口径。</w:t>
      </w:r>
    </w:p>
    <w:p w14:paraId="20AF93C7" w14:textId="77777777" w:rsidR="00B52F25" w:rsidRDefault="00FF347E">
      <w:pPr>
        <w:spacing w:line="360" w:lineRule="auto"/>
        <w:ind w:firstLine="480"/>
        <w:rPr>
          <w:rFonts w:ascii="宋体" w:hAnsi="宋体" w:hint="eastAsia"/>
          <w:sz w:val="24"/>
        </w:rPr>
      </w:pPr>
      <w:r>
        <w:rPr>
          <w:rFonts w:ascii="宋体" w:hAnsi="宋体"/>
        </w:rPr>
        <w:t>这种分层公开策略还直接服务于竞赛提交场景：评审者可以核查模型结构、运行入口、展示站和正式结果是否自洽，但不会因为公开仓库默认再分发完整权重或原始数据而触碰患者隐私和模型资产边界。换言之，本作品的合规设计并不是以削弱可核验性为代价换取保密，而是通过“结构可审、结果可核、敏感资产受限”的方式同时维持二者。</w:t>
      </w:r>
    </w:p>
    <w:p w14:paraId="0AC4F04B" w14:textId="77777777" w:rsidR="00035316" w:rsidRDefault="00831B25">
      <w:pPr>
        <w:spacing w:line="360" w:lineRule="auto"/>
        <w:outlineLvl w:val="1"/>
        <w:rPr>
          <w:rFonts w:ascii="黑体" w:eastAsia="黑体" w:hAnsi="黑体" w:hint="eastAsia"/>
          <w:b/>
          <w:sz w:val="24"/>
        </w:rPr>
      </w:pPr>
      <w:bookmarkStart w:id="84" w:name="Transshield_TOC_section_6_3"/>
      <w:bookmarkStart w:id="85" w:name="_Toc230989577"/>
      <w:r>
        <w:rPr>
          <w:rFonts w:ascii="黑体" w:eastAsia="黑体" w:hAnsi="黑体" w:hint="eastAsia"/>
          <w:b/>
          <w:sz w:val="24"/>
        </w:rPr>
        <w:t>6.3 第三方许可、原创边界与技术公开范围</w:t>
      </w:r>
      <w:bookmarkEnd w:id="84"/>
      <w:bookmarkEnd w:id="85"/>
    </w:p>
    <w:p w14:paraId="40432D29" w14:textId="77777777" w:rsidR="00035316" w:rsidRDefault="00831B25">
      <w:pPr>
        <w:spacing w:line="360" w:lineRule="auto"/>
        <w:ind w:firstLine="480"/>
        <w:rPr>
          <w:rFonts w:ascii="宋体" w:hAnsi="宋体" w:cs="宋体" w:hint="eastAsia"/>
          <w:sz w:val="24"/>
        </w:rPr>
      </w:pPr>
      <w:r>
        <w:rPr>
          <w:rFonts w:ascii="宋体" w:hAnsi="宋体"/>
          <w:sz w:val="24"/>
        </w:rPr>
        <w:t>本作品的知识产权声明按“上游底座、基于 Apache 2.0 的本地适配、团队原创部分”三层边界撰写。报告只描述仓内已实际完成的物理映射，不对未存在的许可证分发项或未落地的文件头声明作超前表述。</w:t>
      </w:r>
      <w:r>
        <w:rPr>
          <w:rFonts w:ascii="宋体" w:hAnsi="宋体" w:cs="宋体"/>
          <w:sz w:val="24"/>
        </w:rPr>
        <w:t xml:space="preserve">第三方组件许可与原创边界的物理映射关系如表 </w:t>
      </w:r>
      <w:r>
        <w:rPr>
          <w:rFonts w:ascii="宋体" w:hAnsi="宋体" w:cs="宋体" w:hint="eastAsia"/>
          <w:sz w:val="24"/>
        </w:rPr>
        <w:t>17</w:t>
      </w:r>
      <w:r>
        <w:rPr>
          <w:rFonts w:ascii="宋体" w:hAnsi="宋体" w:cs="宋体"/>
          <w:sz w:val="24"/>
        </w:rPr>
        <w:t xml:space="preserve"> 所示</w:t>
      </w:r>
      <w:r>
        <w:rPr>
          <w:rFonts w:ascii="宋体" w:hAnsi="宋体" w:cs="宋体" w:hint="eastAsia"/>
          <w:sz w:val="24"/>
        </w:rPr>
        <w:t>。</w:t>
      </w:r>
    </w:p>
    <w:p w14:paraId="6C285569" w14:textId="77777777" w:rsidR="00035316" w:rsidRDefault="00831B25">
      <w:pPr>
        <w:spacing w:line="360" w:lineRule="auto"/>
        <w:ind w:firstLine="480"/>
        <w:jc w:val="center"/>
        <w:rPr>
          <w:rFonts w:ascii="宋体" w:hAnsi="宋体" w:cs="宋体" w:hint="eastAsia"/>
          <w:sz w:val="24"/>
        </w:rPr>
      </w:pPr>
      <w:r>
        <w:rPr>
          <w:rFonts w:ascii="宋体" w:hAnsi="宋体" w:cs="宋体"/>
          <w:sz w:val="24"/>
        </w:rPr>
        <w:t xml:space="preserve">表 </w:t>
      </w:r>
      <w:r>
        <w:rPr>
          <w:rFonts w:ascii="宋体" w:hAnsi="宋体" w:cs="宋体" w:hint="eastAsia"/>
          <w:sz w:val="24"/>
        </w:rPr>
        <w:t>17</w:t>
      </w:r>
      <w:r>
        <w:rPr>
          <w:rFonts w:ascii="宋体" w:hAnsi="宋体" w:cs="宋体"/>
          <w:sz w:val="24"/>
        </w:rPr>
        <w:t xml:space="preserve"> 第三方组件许可与原创边界物理映射</w:t>
      </w:r>
    </w:p>
    <w:tbl>
      <w:tblPr>
        <w:tblW w:w="8820" w:type="dxa"/>
        <w:jc w:val="center"/>
        <w:tblLayout w:type="fixed"/>
        <w:tblLook w:val="04A0" w:firstRow="1" w:lastRow="0" w:firstColumn="1" w:lastColumn="0" w:noHBand="0" w:noVBand="1"/>
      </w:tblPr>
      <w:tblGrid>
        <w:gridCol w:w="1221"/>
        <w:gridCol w:w="4757"/>
        <w:gridCol w:w="2842"/>
      </w:tblGrid>
      <w:tr w:rsidR="00035316" w14:paraId="3EDCE8A2" w14:textId="77777777">
        <w:trPr>
          <w:tblHeader/>
          <w:jc w:val="center"/>
        </w:trPr>
        <w:tc>
          <w:tcPr>
            <w:tcW w:w="1186" w:type="dxa"/>
            <w:tcBorders>
              <w:top w:val="single" w:sz="12" w:space="0" w:color="auto"/>
              <w:left w:val="nil"/>
              <w:bottom w:val="nil"/>
              <w:right w:val="nil"/>
            </w:tcBorders>
            <w:tcMar>
              <w:top w:w="-1" w:type="dxa"/>
              <w:left w:w="-1" w:type="dxa"/>
              <w:bottom w:w="-1" w:type="dxa"/>
              <w:right w:w="-1" w:type="dxa"/>
            </w:tcMar>
            <w:vAlign w:val="center"/>
          </w:tcPr>
          <w:p w14:paraId="62617CFA" w14:textId="77777777" w:rsidR="00035316" w:rsidRDefault="00831B25">
            <w:pPr>
              <w:snapToGrid w:val="0"/>
              <w:jc w:val="center"/>
              <w:rPr>
                <w:rFonts w:ascii="宋体"/>
                <w:b/>
                <w:sz w:val="24"/>
                <w:szCs w:val="40"/>
              </w:rPr>
            </w:pPr>
            <w:r>
              <w:rPr>
                <w:rFonts w:ascii="宋体" w:hAnsi="宋体"/>
                <w:b/>
                <w:sz w:val="24"/>
                <w:szCs w:val="40"/>
              </w:rPr>
              <w:t>物理映射项</w:t>
            </w:r>
          </w:p>
        </w:tc>
        <w:tc>
          <w:tcPr>
            <w:tcW w:w="4757" w:type="dxa"/>
            <w:tcBorders>
              <w:top w:val="single" w:sz="12" w:space="0" w:color="auto"/>
              <w:left w:val="nil"/>
              <w:bottom w:val="nil"/>
              <w:right w:val="nil"/>
            </w:tcBorders>
            <w:tcMar>
              <w:top w:w="-1" w:type="dxa"/>
              <w:left w:w="-1" w:type="dxa"/>
              <w:bottom w:w="-1" w:type="dxa"/>
              <w:right w:w="-1" w:type="dxa"/>
            </w:tcMar>
            <w:vAlign w:val="center"/>
          </w:tcPr>
          <w:p w14:paraId="510468F2" w14:textId="77777777" w:rsidR="00035316" w:rsidRDefault="00831B25">
            <w:pPr>
              <w:snapToGrid w:val="0"/>
              <w:jc w:val="center"/>
              <w:rPr>
                <w:rFonts w:ascii="宋体"/>
                <w:b/>
                <w:sz w:val="24"/>
                <w:szCs w:val="40"/>
              </w:rPr>
            </w:pPr>
            <w:r>
              <w:rPr>
                <w:rFonts w:ascii="宋体" w:hAnsi="宋体"/>
                <w:b/>
                <w:sz w:val="24"/>
                <w:szCs w:val="40"/>
              </w:rPr>
              <w:t>仓内落点</w:t>
            </w:r>
          </w:p>
        </w:tc>
        <w:tc>
          <w:tcPr>
            <w:tcW w:w="2842" w:type="dxa"/>
            <w:tcBorders>
              <w:top w:val="single" w:sz="12" w:space="0" w:color="auto"/>
              <w:left w:val="nil"/>
              <w:bottom w:val="nil"/>
              <w:right w:val="nil"/>
            </w:tcBorders>
            <w:tcMar>
              <w:top w:w="-1" w:type="dxa"/>
              <w:left w:w="-1" w:type="dxa"/>
              <w:bottom w:w="-1" w:type="dxa"/>
              <w:right w:w="-1" w:type="dxa"/>
            </w:tcMar>
            <w:vAlign w:val="center"/>
          </w:tcPr>
          <w:p w14:paraId="313AFBDC" w14:textId="77777777" w:rsidR="00035316" w:rsidRDefault="00831B25">
            <w:pPr>
              <w:snapToGrid w:val="0"/>
              <w:jc w:val="center"/>
              <w:rPr>
                <w:rFonts w:ascii="宋体"/>
                <w:b/>
                <w:sz w:val="24"/>
                <w:szCs w:val="40"/>
              </w:rPr>
            </w:pPr>
            <w:r>
              <w:rPr>
                <w:rFonts w:ascii="宋体" w:hAnsi="宋体"/>
                <w:b/>
                <w:sz w:val="24"/>
                <w:szCs w:val="40"/>
              </w:rPr>
              <w:t>当前事实</w:t>
            </w:r>
          </w:p>
        </w:tc>
      </w:tr>
      <w:tr w:rsidR="00035316" w14:paraId="49A17E15" w14:textId="77777777">
        <w:trPr>
          <w:jc w:val="center"/>
        </w:trPr>
        <w:tc>
          <w:tcPr>
            <w:tcW w:w="1186" w:type="dxa"/>
            <w:tcBorders>
              <w:top w:val="single" w:sz="4" w:space="0" w:color="auto"/>
              <w:left w:val="nil"/>
              <w:bottom w:val="nil"/>
              <w:right w:val="nil"/>
            </w:tcBorders>
            <w:tcMar>
              <w:top w:w="-1" w:type="dxa"/>
              <w:left w:w="-1" w:type="dxa"/>
              <w:bottom w:w="-1" w:type="dxa"/>
              <w:right w:w="-1" w:type="dxa"/>
            </w:tcMar>
            <w:vAlign w:val="center"/>
          </w:tcPr>
          <w:p w14:paraId="3BD57428" w14:textId="77777777" w:rsidR="00035316" w:rsidRDefault="00831B25">
            <w:pPr>
              <w:snapToGrid w:val="0"/>
              <w:jc w:val="center"/>
              <w:rPr>
                <w:rFonts w:ascii="宋体"/>
                <w:sz w:val="24"/>
                <w:szCs w:val="40"/>
              </w:rPr>
            </w:pPr>
            <w:r>
              <w:rPr>
                <w:rFonts w:ascii="宋体" w:hAnsi="宋体"/>
                <w:sz w:val="24"/>
                <w:szCs w:val="40"/>
              </w:rPr>
              <w:t>上游许可证文本</w:t>
            </w:r>
          </w:p>
        </w:tc>
        <w:tc>
          <w:tcPr>
            <w:tcW w:w="4757" w:type="dxa"/>
            <w:tcBorders>
              <w:top w:val="single" w:sz="4" w:space="0" w:color="auto"/>
              <w:left w:val="nil"/>
              <w:bottom w:val="nil"/>
              <w:right w:val="nil"/>
            </w:tcBorders>
            <w:tcMar>
              <w:top w:w="-1" w:type="dxa"/>
              <w:left w:w="-1" w:type="dxa"/>
              <w:bottom w:w="-1" w:type="dxa"/>
              <w:right w:w="-1" w:type="dxa"/>
            </w:tcMar>
            <w:vAlign w:val="center"/>
          </w:tcPr>
          <w:p w14:paraId="06D5EC31" w14:textId="77777777" w:rsidR="00035316" w:rsidRDefault="00831B25">
            <w:pPr>
              <w:snapToGrid w:val="0"/>
              <w:jc w:val="left"/>
              <w:rPr>
                <w:rFonts w:ascii="宋体"/>
                <w:sz w:val="24"/>
                <w:szCs w:val="40"/>
              </w:rPr>
            </w:pPr>
            <w:r>
              <w:rPr>
                <w:rFonts w:ascii="宋体" w:hAnsi="宋体"/>
                <w:sz w:val="24"/>
                <w:szCs w:val="40"/>
              </w:rPr>
              <w:t>spu_vendored/LICENSE</w:t>
            </w:r>
          </w:p>
        </w:tc>
        <w:tc>
          <w:tcPr>
            <w:tcW w:w="2842" w:type="dxa"/>
            <w:tcBorders>
              <w:top w:val="single" w:sz="4" w:space="0" w:color="auto"/>
              <w:left w:val="nil"/>
              <w:bottom w:val="nil"/>
              <w:right w:val="nil"/>
            </w:tcBorders>
            <w:tcMar>
              <w:top w:w="-1" w:type="dxa"/>
              <w:left w:w="-1" w:type="dxa"/>
              <w:bottom w:w="-1" w:type="dxa"/>
              <w:right w:w="-1" w:type="dxa"/>
            </w:tcMar>
            <w:vAlign w:val="center"/>
          </w:tcPr>
          <w:p w14:paraId="57D2B61E" w14:textId="77777777" w:rsidR="00035316" w:rsidRDefault="00831B25">
            <w:pPr>
              <w:snapToGrid w:val="0"/>
              <w:jc w:val="left"/>
              <w:rPr>
                <w:rFonts w:ascii="宋体"/>
                <w:sz w:val="24"/>
                <w:szCs w:val="40"/>
              </w:rPr>
            </w:pPr>
            <w:r>
              <w:rPr>
                <w:rFonts w:ascii="宋体" w:hAnsi="宋体"/>
                <w:sz w:val="24"/>
                <w:szCs w:val="40"/>
              </w:rPr>
              <w:t>已保留 Apache License 2.0 文本</w:t>
            </w:r>
          </w:p>
        </w:tc>
      </w:tr>
      <w:tr w:rsidR="00035316" w14:paraId="2B9EBC29"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536EB5A8" w14:textId="77777777" w:rsidR="00035316" w:rsidRDefault="00831B25">
            <w:pPr>
              <w:snapToGrid w:val="0"/>
              <w:jc w:val="center"/>
              <w:rPr>
                <w:rFonts w:ascii="宋体"/>
                <w:sz w:val="24"/>
                <w:szCs w:val="40"/>
              </w:rPr>
            </w:pPr>
            <w:r>
              <w:rPr>
                <w:rFonts w:ascii="宋体" w:hAnsi="宋体"/>
                <w:sz w:val="24"/>
                <w:szCs w:val="40"/>
              </w:rPr>
              <w:t>vendored 变更总说明</w:t>
            </w:r>
          </w:p>
        </w:tc>
        <w:tc>
          <w:tcPr>
            <w:tcW w:w="4757" w:type="dxa"/>
            <w:tcBorders>
              <w:top w:val="nil"/>
              <w:left w:val="nil"/>
              <w:bottom w:val="nil"/>
              <w:right w:val="nil"/>
            </w:tcBorders>
            <w:tcMar>
              <w:top w:w="-1" w:type="dxa"/>
              <w:left w:w="-1" w:type="dxa"/>
              <w:bottom w:w="-1" w:type="dxa"/>
              <w:right w:w="-1" w:type="dxa"/>
            </w:tcMar>
            <w:vAlign w:val="center"/>
          </w:tcPr>
          <w:p w14:paraId="593BD98D" w14:textId="77777777" w:rsidR="00035316" w:rsidRDefault="00831B25">
            <w:pPr>
              <w:snapToGrid w:val="0"/>
              <w:jc w:val="left"/>
              <w:rPr>
                <w:rFonts w:ascii="宋体"/>
                <w:sz w:val="24"/>
                <w:szCs w:val="40"/>
              </w:rPr>
            </w:pPr>
            <w:r>
              <w:rPr>
                <w:rFonts w:ascii="宋体" w:hAnsi="宋体"/>
                <w:sz w:val="24"/>
                <w:szCs w:val="40"/>
              </w:rPr>
              <w:t>spu_vendored/MODIFICATIONS.md</w:t>
            </w:r>
          </w:p>
        </w:tc>
        <w:tc>
          <w:tcPr>
            <w:tcW w:w="2842" w:type="dxa"/>
            <w:tcBorders>
              <w:top w:val="nil"/>
              <w:left w:val="nil"/>
              <w:bottom w:val="nil"/>
              <w:right w:val="nil"/>
            </w:tcBorders>
            <w:tcMar>
              <w:top w:w="-1" w:type="dxa"/>
              <w:left w:w="-1" w:type="dxa"/>
              <w:bottom w:w="-1" w:type="dxa"/>
              <w:right w:w="-1" w:type="dxa"/>
            </w:tcMar>
            <w:vAlign w:val="center"/>
          </w:tcPr>
          <w:p w14:paraId="6815E929" w14:textId="77777777" w:rsidR="00035316" w:rsidRDefault="00831B25">
            <w:pPr>
              <w:snapToGrid w:val="0"/>
              <w:jc w:val="left"/>
              <w:rPr>
                <w:rFonts w:ascii="宋体"/>
                <w:sz w:val="24"/>
                <w:szCs w:val="40"/>
              </w:rPr>
            </w:pPr>
            <w:r>
              <w:rPr>
                <w:rFonts w:ascii="宋体" w:hAnsi="宋体"/>
                <w:sz w:val="24"/>
                <w:szCs w:val="40"/>
              </w:rPr>
              <w:t>已列出当前交付版明确引用的本地适配文件</w:t>
            </w:r>
          </w:p>
        </w:tc>
      </w:tr>
      <w:tr w:rsidR="00035316" w14:paraId="770AE19F"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03A54AD0" w14:textId="77777777" w:rsidR="00035316" w:rsidRDefault="00831B25">
            <w:pPr>
              <w:snapToGrid w:val="0"/>
              <w:jc w:val="center"/>
              <w:rPr>
                <w:rFonts w:ascii="宋体"/>
                <w:sz w:val="24"/>
                <w:szCs w:val="40"/>
              </w:rPr>
            </w:pPr>
            <w:r>
              <w:rPr>
                <w:rFonts w:ascii="宋体" w:hAnsi="宋体"/>
                <w:sz w:val="24"/>
                <w:szCs w:val="40"/>
              </w:rPr>
              <w:t>修改文件头声明 1</w:t>
            </w:r>
          </w:p>
        </w:tc>
        <w:tc>
          <w:tcPr>
            <w:tcW w:w="4757" w:type="dxa"/>
            <w:tcBorders>
              <w:top w:val="nil"/>
              <w:left w:val="nil"/>
              <w:bottom w:val="nil"/>
              <w:right w:val="nil"/>
            </w:tcBorders>
            <w:tcMar>
              <w:top w:w="-1" w:type="dxa"/>
              <w:left w:w="-1" w:type="dxa"/>
              <w:bottom w:w="-1" w:type="dxa"/>
              <w:right w:w="-1" w:type="dxa"/>
            </w:tcMar>
            <w:vAlign w:val="center"/>
          </w:tcPr>
          <w:p w14:paraId="7733BFD6" w14:textId="77777777" w:rsidR="00035316" w:rsidRDefault="00831B25">
            <w:pPr>
              <w:snapToGrid w:val="0"/>
              <w:jc w:val="left"/>
              <w:rPr>
                <w:rFonts w:ascii="宋体"/>
                <w:sz w:val="24"/>
                <w:szCs w:val="40"/>
              </w:rPr>
            </w:pPr>
            <w:r>
              <w:rPr>
                <w:rFonts w:ascii="宋体" w:hAnsi="宋体"/>
                <w:sz w:val="24"/>
                <w:szCs w:val="40"/>
              </w:rPr>
              <w:t>spu_vendored/libspu/spu.proto</w:t>
            </w:r>
          </w:p>
        </w:tc>
        <w:tc>
          <w:tcPr>
            <w:tcW w:w="2842" w:type="dxa"/>
            <w:tcBorders>
              <w:top w:val="nil"/>
              <w:left w:val="nil"/>
              <w:bottom w:val="nil"/>
              <w:right w:val="nil"/>
            </w:tcBorders>
            <w:tcMar>
              <w:top w:w="-1" w:type="dxa"/>
              <w:left w:w="-1" w:type="dxa"/>
              <w:bottom w:w="-1" w:type="dxa"/>
              <w:right w:w="-1" w:type="dxa"/>
            </w:tcMar>
            <w:vAlign w:val="center"/>
          </w:tcPr>
          <w:p w14:paraId="17537060" w14:textId="77777777" w:rsidR="00035316" w:rsidRDefault="00831B25">
            <w:pPr>
              <w:snapToGrid w:val="0"/>
              <w:jc w:val="left"/>
              <w:rPr>
                <w:rFonts w:ascii="宋体"/>
                <w:sz w:val="24"/>
                <w:szCs w:val="40"/>
              </w:rPr>
            </w:pPr>
            <w:r>
              <w:rPr>
                <w:rFonts w:ascii="宋体" w:hAnsi="宋体"/>
                <w:sz w:val="24"/>
                <w:szCs w:val="40"/>
              </w:rPr>
              <w:t>文件头含密捷项目本地修改声明</w:t>
            </w:r>
          </w:p>
        </w:tc>
      </w:tr>
      <w:tr w:rsidR="00035316" w14:paraId="57706224"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777E8D4A" w14:textId="77777777" w:rsidR="00035316" w:rsidRDefault="00831B25">
            <w:pPr>
              <w:snapToGrid w:val="0"/>
              <w:jc w:val="center"/>
              <w:rPr>
                <w:rFonts w:ascii="宋体"/>
                <w:sz w:val="24"/>
                <w:szCs w:val="40"/>
              </w:rPr>
            </w:pPr>
            <w:r>
              <w:rPr>
                <w:rFonts w:ascii="宋体" w:hAnsi="宋体"/>
                <w:sz w:val="24"/>
                <w:szCs w:val="40"/>
              </w:rPr>
              <w:t>修改文件头声明 2</w:t>
            </w:r>
          </w:p>
        </w:tc>
        <w:tc>
          <w:tcPr>
            <w:tcW w:w="4757" w:type="dxa"/>
            <w:tcBorders>
              <w:top w:val="nil"/>
              <w:left w:val="nil"/>
              <w:bottom w:val="nil"/>
              <w:right w:val="nil"/>
            </w:tcBorders>
            <w:tcMar>
              <w:top w:w="-1" w:type="dxa"/>
              <w:left w:w="-1" w:type="dxa"/>
              <w:bottom w:w="-1" w:type="dxa"/>
              <w:right w:w="-1" w:type="dxa"/>
            </w:tcMar>
            <w:vAlign w:val="center"/>
          </w:tcPr>
          <w:p w14:paraId="4CFF4BE4" w14:textId="77777777" w:rsidR="00035316" w:rsidRDefault="00831B25">
            <w:pPr>
              <w:snapToGrid w:val="0"/>
              <w:jc w:val="left"/>
              <w:rPr>
                <w:rFonts w:ascii="宋体"/>
                <w:sz w:val="24"/>
                <w:szCs w:val="40"/>
              </w:rPr>
            </w:pPr>
            <w:r>
              <w:rPr>
                <w:rFonts w:ascii="宋体" w:hAnsi="宋体"/>
                <w:sz w:val="24"/>
                <w:szCs w:val="40"/>
              </w:rPr>
              <w:t>spu_vendored/libspu/mpc/cheetah/arithmetic.h</w:t>
            </w:r>
          </w:p>
        </w:tc>
        <w:tc>
          <w:tcPr>
            <w:tcW w:w="2842" w:type="dxa"/>
            <w:tcBorders>
              <w:top w:val="nil"/>
              <w:left w:val="nil"/>
              <w:bottom w:val="nil"/>
              <w:right w:val="nil"/>
            </w:tcBorders>
            <w:tcMar>
              <w:top w:w="-1" w:type="dxa"/>
              <w:left w:w="-1" w:type="dxa"/>
              <w:bottom w:w="-1" w:type="dxa"/>
              <w:right w:w="-1" w:type="dxa"/>
            </w:tcMar>
            <w:vAlign w:val="center"/>
          </w:tcPr>
          <w:p w14:paraId="790F34FA" w14:textId="77777777" w:rsidR="00035316" w:rsidRDefault="00831B25">
            <w:pPr>
              <w:snapToGrid w:val="0"/>
              <w:jc w:val="left"/>
              <w:rPr>
                <w:rFonts w:ascii="宋体"/>
                <w:sz w:val="24"/>
                <w:szCs w:val="40"/>
              </w:rPr>
            </w:pPr>
            <w:r>
              <w:rPr>
                <w:rFonts w:ascii="宋体" w:hAnsi="宋体"/>
                <w:sz w:val="24"/>
                <w:szCs w:val="40"/>
              </w:rPr>
              <w:t>文件头含密捷项目本地供应链适配声明</w:t>
            </w:r>
          </w:p>
        </w:tc>
      </w:tr>
      <w:tr w:rsidR="00035316" w14:paraId="27B6950F"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0D71DAB8" w14:textId="77777777" w:rsidR="00035316" w:rsidRDefault="00831B25">
            <w:pPr>
              <w:snapToGrid w:val="0"/>
              <w:jc w:val="center"/>
              <w:rPr>
                <w:rFonts w:ascii="宋体"/>
                <w:sz w:val="24"/>
                <w:szCs w:val="40"/>
              </w:rPr>
            </w:pPr>
            <w:r>
              <w:rPr>
                <w:rFonts w:ascii="宋体" w:hAnsi="宋体"/>
                <w:sz w:val="24"/>
                <w:szCs w:val="40"/>
              </w:rPr>
              <w:t>修改文件头声明 3</w:t>
            </w:r>
          </w:p>
        </w:tc>
        <w:tc>
          <w:tcPr>
            <w:tcW w:w="4757" w:type="dxa"/>
            <w:tcBorders>
              <w:top w:val="nil"/>
              <w:left w:val="nil"/>
              <w:bottom w:val="nil"/>
              <w:right w:val="nil"/>
            </w:tcBorders>
            <w:tcMar>
              <w:top w:w="-1" w:type="dxa"/>
              <w:left w:w="-1" w:type="dxa"/>
              <w:bottom w:w="-1" w:type="dxa"/>
              <w:right w:w="-1" w:type="dxa"/>
            </w:tcMar>
            <w:vAlign w:val="center"/>
          </w:tcPr>
          <w:p w14:paraId="63E07DF0" w14:textId="77777777" w:rsidR="00035316" w:rsidRDefault="00831B25">
            <w:pPr>
              <w:snapToGrid w:val="0"/>
              <w:jc w:val="left"/>
              <w:rPr>
                <w:rFonts w:ascii="宋体"/>
                <w:sz w:val="24"/>
                <w:szCs w:val="40"/>
              </w:rPr>
            </w:pPr>
            <w:r>
              <w:rPr>
                <w:rFonts w:ascii="宋体" w:hAnsi="宋体"/>
                <w:sz w:val="24"/>
                <w:szCs w:val="40"/>
              </w:rPr>
              <w:t>spu_vendored/libspu/mpc/cheetah/arithmetic.cc</w:t>
            </w:r>
          </w:p>
        </w:tc>
        <w:tc>
          <w:tcPr>
            <w:tcW w:w="2842" w:type="dxa"/>
            <w:tcBorders>
              <w:top w:val="nil"/>
              <w:left w:val="nil"/>
              <w:bottom w:val="nil"/>
              <w:right w:val="nil"/>
            </w:tcBorders>
            <w:tcMar>
              <w:top w:w="-1" w:type="dxa"/>
              <w:left w:w="-1" w:type="dxa"/>
              <w:bottom w:w="-1" w:type="dxa"/>
              <w:right w:w="-1" w:type="dxa"/>
            </w:tcMar>
            <w:vAlign w:val="center"/>
          </w:tcPr>
          <w:p w14:paraId="364C49C3" w14:textId="77777777" w:rsidR="00035316" w:rsidRDefault="00831B25">
            <w:pPr>
              <w:snapToGrid w:val="0"/>
              <w:jc w:val="left"/>
              <w:rPr>
                <w:rFonts w:ascii="宋体"/>
                <w:sz w:val="24"/>
                <w:szCs w:val="40"/>
              </w:rPr>
            </w:pPr>
            <w:r>
              <w:rPr>
                <w:rFonts w:ascii="宋体" w:hAnsi="宋体"/>
                <w:sz w:val="24"/>
                <w:szCs w:val="40"/>
              </w:rPr>
              <w:t>文件头含密捷项目本地供应链适配声明</w:t>
            </w:r>
          </w:p>
        </w:tc>
      </w:tr>
      <w:tr w:rsidR="00035316" w14:paraId="382FB3D7" w14:textId="77777777">
        <w:trPr>
          <w:jc w:val="center"/>
        </w:trPr>
        <w:tc>
          <w:tcPr>
            <w:tcW w:w="1186" w:type="dxa"/>
            <w:tcBorders>
              <w:top w:val="nil"/>
              <w:left w:val="nil"/>
              <w:bottom w:val="nil"/>
              <w:right w:val="nil"/>
            </w:tcBorders>
            <w:tcMar>
              <w:top w:w="-1" w:type="dxa"/>
              <w:left w:w="-1" w:type="dxa"/>
              <w:bottom w:w="-1" w:type="dxa"/>
              <w:right w:w="-1" w:type="dxa"/>
            </w:tcMar>
            <w:vAlign w:val="center"/>
          </w:tcPr>
          <w:p w14:paraId="22812469" w14:textId="77777777" w:rsidR="00035316" w:rsidRDefault="00831B25">
            <w:pPr>
              <w:snapToGrid w:val="0"/>
              <w:jc w:val="center"/>
              <w:rPr>
                <w:rFonts w:ascii="宋体"/>
                <w:sz w:val="24"/>
                <w:szCs w:val="40"/>
              </w:rPr>
            </w:pPr>
            <w:r>
              <w:rPr>
                <w:rFonts w:ascii="宋体" w:hAnsi="宋体"/>
                <w:sz w:val="24"/>
                <w:szCs w:val="40"/>
              </w:rPr>
              <w:t>修改文件头声明 4</w:t>
            </w:r>
          </w:p>
        </w:tc>
        <w:tc>
          <w:tcPr>
            <w:tcW w:w="4757" w:type="dxa"/>
            <w:tcBorders>
              <w:top w:val="nil"/>
              <w:left w:val="nil"/>
              <w:bottom w:val="nil"/>
              <w:right w:val="nil"/>
            </w:tcBorders>
            <w:tcMar>
              <w:top w:w="-1" w:type="dxa"/>
              <w:left w:w="-1" w:type="dxa"/>
              <w:bottom w:w="-1" w:type="dxa"/>
              <w:right w:w="-1" w:type="dxa"/>
            </w:tcMar>
            <w:vAlign w:val="center"/>
          </w:tcPr>
          <w:p w14:paraId="4F5EA051" w14:textId="77777777" w:rsidR="00035316" w:rsidRDefault="00831B25">
            <w:pPr>
              <w:snapToGrid w:val="0"/>
              <w:jc w:val="left"/>
              <w:rPr>
                <w:rFonts w:ascii="宋体"/>
                <w:sz w:val="24"/>
                <w:szCs w:val="40"/>
              </w:rPr>
            </w:pPr>
            <w:r>
              <w:rPr>
                <w:rFonts w:ascii="宋体" w:hAnsi="宋体"/>
                <w:sz w:val="24"/>
                <w:szCs w:val="40"/>
              </w:rPr>
              <w:t>spu_vendored/libspu/mpc/cheetah/protocol.cc</w:t>
            </w:r>
          </w:p>
        </w:tc>
        <w:tc>
          <w:tcPr>
            <w:tcW w:w="2842" w:type="dxa"/>
            <w:tcBorders>
              <w:top w:val="nil"/>
              <w:left w:val="nil"/>
              <w:bottom w:val="nil"/>
              <w:right w:val="nil"/>
            </w:tcBorders>
            <w:tcMar>
              <w:top w:w="-1" w:type="dxa"/>
              <w:left w:w="-1" w:type="dxa"/>
              <w:bottom w:w="-1" w:type="dxa"/>
              <w:right w:w="-1" w:type="dxa"/>
            </w:tcMar>
            <w:vAlign w:val="center"/>
          </w:tcPr>
          <w:p w14:paraId="7C392AE6" w14:textId="77777777" w:rsidR="00035316" w:rsidRDefault="00831B25">
            <w:pPr>
              <w:snapToGrid w:val="0"/>
              <w:jc w:val="left"/>
              <w:rPr>
                <w:rFonts w:ascii="宋体"/>
                <w:sz w:val="24"/>
                <w:szCs w:val="40"/>
              </w:rPr>
            </w:pPr>
            <w:r>
              <w:rPr>
                <w:rFonts w:ascii="宋体" w:hAnsi="宋体"/>
                <w:sz w:val="24"/>
                <w:szCs w:val="40"/>
              </w:rPr>
              <w:t>文件头含密捷项目本地供应链适配声明</w:t>
            </w:r>
          </w:p>
        </w:tc>
      </w:tr>
      <w:tr w:rsidR="00035316" w14:paraId="70A58DED" w14:textId="77777777">
        <w:trPr>
          <w:jc w:val="center"/>
        </w:trPr>
        <w:tc>
          <w:tcPr>
            <w:tcW w:w="1221" w:type="dxa"/>
            <w:tcBorders>
              <w:top w:val="nil"/>
              <w:left w:val="nil"/>
              <w:bottom w:val="single" w:sz="12" w:space="0" w:color="auto"/>
              <w:right w:val="nil"/>
            </w:tcBorders>
            <w:tcMar>
              <w:top w:w="-1" w:type="dxa"/>
              <w:left w:w="-1" w:type="dxa"/>
              <w:bottom w:w="-1" w:type="dxa"/>
              <w:right w:w="-1" w:type="dxa"/>
            </w:tcMar>
            <w:vAlign w:val="center"/>
          </w:tcPr>
          <w:p w14:paraId="1913035E" w14:textId="77777777" w:rsidR="00035316" w:rsidRDefault="00831B25">
            <w:pPr>
              <w:snapToGrid w:val="0"/>
              <w:jc w:val="center"/>
              <w:rPr>
                <w:rFonts w:ascii="宋体"/>
                <w:sz w:val="24"/>
                <w:szCs w:val="40"/>
              </w:rPr>
            </w:pPr>
            <w:r>
              <w:rPr>
                <w:rFonts w:ascii="宋体" w:hAnsi="宋体"/>
                <w:sz w:val="24"/>
                <w:szCs w:val="40"/>
              </w:rPr>
              <w:t>第三方来源总表</w:t>
            </w:r>
          </w:p>
        </w:tc>
        <w:tc>
          <w:tcPr>
            <w:tcW w:w="4757" w:type="dxa"/>
            <w:tcBorders>
              <w:top w:val="nil"/>
              <w:left w:val="nil"/>
              <w:bottom w:val="single" w:sz="12" w:space="0" w:color="auto"/>
              <w:right w:val="nil"/>
            </w:tcBorders>
            <w:tcMar>
              <w:top w:w="-1" w:type="dxa"/>
              <w:left w:w="-1" w:type="dxa"/>
              <w:bottom w:w="-1" w:type="dxa"/>
              <w:right w:w="-1" w:type="dxa"/>
            </w:tcMar>
            <w:vAlign w:val="center"/>
          </w:tcPr>
          <w:p w14:paraId="0974F2D6" w14:textId="77777777" w:rsidR="00035316" w:rsidRDefault="00831B25">
            <w:pPr>
              <w:snapToGrid w:val="0"/>
              <w:jc w:val="left"/>
              <w:rPr>
                <w:rFonts w:ascii="宋体"/>
                <w:sz w:val="24"/>
                <w:szCs w:val="40"/>
              </w:rPr>
            </w:pPr>
            <w:r>
              <w:rPr>
                <w:rFonts w:ascii="宋体" w:hAnsi="宋体"/>
                <w:sz w:val="24"/>
                <w:szCs w:val="40"/>
              </w:rPr>
              <w:t>THIRD_PARTY.md</w:t>
            </w:r>
          </w:p>
        </w:tc>
        <w:tc>
          <w:tcPr>
            <w:tcW w:w="2842" w:type="dxa"/>
            <w:tcBorders>
              <w:top w:val="nil"/>
              <w:left w:val="nil"/>
              <w:bottom w:val="single" w:sz="12" w:space="0" w:color="auto"/>
              <w:right w:val="nil"/>
            </w:tcBorders>
            <w:tcMar>
              <w:top w:w="-1" w:type="dxa"/>
              <w:left w:w="-1" w:type="dxa"/>
              <w:bottom w:w="-1" w:type="dxa"/>
              <w:right w:w="-1" w:type="dxa"/>
            </w:tcMar>
            <w:vAlign w:val="center"/>
          </w:tcPr>
          <w:p w14:paraId="6694AC5E" w14:textId="77777777" w:rsidR="00035316" w:rsidRDefault="00831B25">
            <w:pPr>
              <w:snapToGrid w:val="0"/>
              <w:jc w:val="left"/>
              <w:rPr>
                <w:rFonts w:ascii="宋体"/>
                <w:sz w:val="24"/>
                <w:szCs w:val="40"/>
              </w:rPr>
            </w:pPr>
            <w:r>
              <w:rPr>
                <w:rFonts w:ascii="宋体" w:hAnsi="宋体"/>
                <w:sz w:val="24"/>
                <w:szCs w:val="40"/>
              </w:rPr>
              <w:t>已保留 DynamicViT / OpenBumbleBee 来源与许可证映射</w:t>
            </w:r>
          </w:p>
        </w:tc>
      </w:tr>
    </w:tbl>
    <w:p w14:paraId="1A42C000" w14:textId="77777777" w:rsidR="00035316" w:rsidRDefault="00831B25">
      <w:pPr>
        <w:spacing w:line="360" w:lineRule="auto"/>
        <w:rPr>
          <w:rFonts w:ascii="宋体" w:hAnsi="宋体" w:hint="eastAsia"/>
          <w:sz w:val="24"/>
        </w:rPr>
      </w:pPr>
      <w:r>
        <w:rPr>
          <w:rFonts w:ascii="宋体" w:hAnsi="宋体" w:cs="宋体"/>
          <w:sz w:val="24"/>
        </w:rPr>
        <w:t>注：所有修改文件均已在文件头添加本地修改声明；本作品不对上游开源组件主张任何排他性知识产权。</w:t>
      </w:r>
    </w:p>
    <w:p w14:paraId="0DCC8011" w14:textId="77777777" w:rsidR="00035316" w:rsidRDefault="00831B25">
      <w:pPr>
        <w:spacing w:line="360" w:lineRule="auto"/>
        <w:ind w:firstLine="480"/>
      </w:pPr>
      <w:r>
        <w:rPr>
          <w:rFonts w:ascii="宋体" w:hAnsi="宋体"/>
          <w:sz w:val="24"/>
        </w:rPr>
        <w:t>本作品的安全计算底座基于 SecretFlow SPU，当前已核对上游分发许可为 Apache License 2.0。当前核对到的上游分发物保留了许可证文件（LICENSE），未发现独立的 NOTICE 分发文件，因此交付物按事实保留许可证文本和本地修改说明，不虚构并不存在的附加分发项。本作品不对上游 SPU、OpenBumbleBee 与相关协议实现本体主张排他性知识产权。</w:t>
      </w:r>
    </w:p>
    <w:p w14:paraId="7959CB43" w14:textId="77777777" w:rsidR="00802BF6" w:rsidRDefault="00D442AD">
      <w:pPr>
        <w:spacing w:line="360" w:lineRule="auto"/>
        <w:ind w:firstLine="480"/>
        <w:rPr>
          <w:rFonts w:ascii="宋体" w:hAnsi="宋体" w:hint="eastAsia"/>
          <w:sz w:val="24"/>
        </w:rPr>
      </w:pPr>
      <w:r>
        <w:rPr>
          <w:rFonts w:ascii="宋体" w:hAnsi="宋体"/>
        </w:rPr>
        <w:t>在第三方与原创边界的管理方式上，当前仓库采用了多位置互相印证的策略：第三方许可汇总由 `THIRD_PARTY.md` 统一列出，许可证文本索引由 `licenses/README.md` 提供，SPU vendored 部分的本地修改入口由 `spu_vendored/MODIFICATIONS.md` 说明，而报告正文只陈述仓内实际存在、能够被评审直接核对到的许可与修改事实。这样做的意义在于避免出现“报告写了某项分发义务，但仓库里并无对应文件”或“代码已改动但正文未交代来源边界”的不一致情况。</w:t>
      </w:r>
    </w:p>
    <w:p w14:paraId="04D7C74C" w14:textId="77777777" w:rsidR="009C5E3E" w:rsidRDefault="00C47836">
      <w:r>
        <w:rPr>
          <w:rFonts w:ascii="宋体" w:hAnsi="宋体"/>
        </w:rPr>
        <w:t>这种写法对论文式作品报告尤其重要，因为知识产权说明不应停留在“我们遵守开源协议”的一般表态，而应能回答“哪些内容是上游底座、哪些是本地适配、哪些属于团队原创、哪些文件可以被现场核对到”四个问题。当前仓库正是通过许可证索引、修改说明和报告正文三者互相对照，避免了许可叙述与实际交付物不一致的风险。</w:t>
      </w:r>
    </w:p>
    <w:p w14:paraId="65056F1F" w14:textId="77777777" w:rsidR="00B52F25" w:rsidRDefault="00FF347E">
      <w:pPr>
        <w:spacing w:line="360" w:lineRule="auto"/>
        <w:ind w:firstLine="480"/>
        <w:rPr>
          <w:rFonts w:ascii="宋体" w:hAnsi="宋体" w:hint="eastAsia"/>
          <w:sz w:val="24"/>
        </w:rPr>
      </w:pPr>
      <w:r>
        <w:rPr>
          <w:rFonts w:ascii="宋体" w:hAnsi="宋体"/>
        </w:rPr>
        <w:t>从技术公开范围的角度看，这也意味着正文中凡是能够指向上游底座的实现，报告都尽量通过许可文本索引、修改说明和仓内物理文件三者交叉印证，而不是只在语言上声称“基于某某框架实现”。这种做法虽然增加了撰写工作量，但能显著降低竞赛成品在知识产权审查和赛后公开阶段出现口径不一致的风险。</w:t>
      </w:r>
    </w:p>
    <w:p w14:paraId="1C84E12A" w14:textId="77777777" w:rsidR="00407270" w:rsidRDefault="009543CE">
      <w:pPr>
        <w:spacing w:line="360" w:lineRule="auto"/>
        <w:ind w:firstLine="480"/>
        <w:rPr>
          <w:rFonts w:ascii="宋体" w:hAnsi="宋体" w:hint="eastAsia"/>
          <w:sz w:val="24"/>
        </w:rPr>
      </w:pPr>
      <w:r>
        <w:rPr>
          <w:rFonts w:ascii="宋体" w:hAnsi="宋体"/>
        </w:rPr>
        <w:t>这种许可与原创边界的分层说明还有一个直接作用：它把“可公开学习的工程实现”“受上游许可约束的底座组件”与“受数据授权限制的实验资产”明确区分开来，使作品在开源合规、竞赛提交和后续学术传播之间保持一致口径。对于信息安全类作品，这种边界透明本身也是工程规范性的重要组成部分。</w:t>
      </w:r>
    </w:p>
    <w:p w14:paraId="30BEC720" w14:textId="77777777" w:rsidR="00035316" w:rsidRDefault="00831B25">
      <w:pPr>
        <w:spacing w:line="360" w:lineRule="auto"/>
        <w:ind w:firstLine="480"/>
      </w:pPr>
      <w:r>
        <w:rPr>
          <w:rFonts w:ascii="宋体" w:hAnsi="宋体"/>
          <w:sz w:val="24"/>
        </w:rPr>
        <w:t>本作品的原创贡献主要集中在动态控制流映射策略、浏览器工作线程控制面、服务端权威快检、前后端审计链闭环、演示程序集成以及报告与图件生成链。当前交付物公开代码、图件、报告与运行脚本；涉及完整模型权重和数据集的部分，按授权边界与来源限制单独管理，不在公开仓库中默认再分发。</w:t>
      </w:r>
    </w:p>
    <w:p w14:paraId="21E9D950" w14:textId="77777777" w:rsidR="00035316" w:rsidRDefault="00831B25">
      <w:pPr>
        <w:rPr>
          <w:rFonts w:ascii="黑体" w:eastAsia="黑体" w:hAnsi="黑体" w:hint="eastAsia"/>
          <w:b/>
          <w:sz w:val="44"/>
        </w:rPr>
      </w:pPr>
      <w:r>
        <w:rPr>
          <w:rFonts w:ascii="黑体" w:eastAsia="黑体" w:hAnsi="黑体"/>
          <w:b/>
          <w:sz w:val="44"/>
        </w:rPr>
        <w:br w:type="page"/>
      </w:r>
    </w:p>
    <w:p w14:paraId="23429EDE" w14:textId="77777777" w:rsidR="00035316" w:rsidRDefault="00831B25">
      <w:pPr>
        <w:pStyle w:val="1"/>
        <w:jc w:val="center"/>
      </w:pPr>
      <w:bookmarkStart w:id="86" w:name="Transshield_TOC_references"/>
      <w:bookmarkStart w:id="87" w:name="_Toc230989578"/>
      <w:r>
        <w:rPr>
          <w:rFonts w:ascii="黑体" w:eastAsia="黑体" w:hAnsi="黑体"/>
        </w:rPr>
        <w:t>参考文献</w:t>
      </w:r>
      <w:bookmarkEnd w:id="86"/>
      <w:bookmarkEnd w:id="87"/>
    </w:p>
    <w:p w14:paraId="4DD56518" w14:textId="77777777" w:rsidR="00035316" w:rsidRDefault="00831B25">
      <w:pPr>
        <w:spacing w:line="288" w:lineRule="auto"/>
        <w:ind w:left="360" w:hanging="360"/>
        <w:rPr>
          <w:sz w:val="24"/>
        </w:rPr>
      </w:pPr>
      <w:r>
        <w:rPr>
          <w:rFonts w:ascii="宋体" w:hAnsi="宋体"/>
          <w:sz w:val="24"/>
        </w:rPr>
        <w:t>[1] Dosovitskiy A, Beyer L, Kolesnikov A, et al. An Image is Worth 16x16 Words: Transformers for Image Recognition at Scale[C]//International Conference on Learning Representations (ICLR). 2021.</w:t>
      </w:r>
    </w:p>
    <w:p w14:paraId="0E941746" w14:textId="77777777" w:rsidR="00035316" w:rsidRDefault="00831B25">
      <w:pPr>
        <w:spacing w:line="288" w:lineRule="auto"/>
        <w:ind w:left="360" w:hanging="360"/>
        <w:rPr>
          <w:sz w:val="24"/>
        </w:rPr>
      </w:pPr>
      <w:r>
        <w:rPr>
          <w:rFonts w:ascii="宋体" w:hAnsi="宋体"/>
          <w:sz w:val="24"/>
        </w:rPr>
        <w:t>[2] Rao Y, et al. DynamicViT: Efficient Vision Transformers with Dynamic Token Sparsification[C]//Advances in Neural Information Processing Systems (NeurIPS). 2021.</w:t>
      </w:r>
    </w:p>
    <w:p w14:paraId="624D8BD4" w14:textId="77777777" w:rsidR="00035316" w:rsidRDefault="00831B25">
      <w:pPr>
        <w:spacing w:line="288" w:lineRule="auto"/>
        <w:ind w:left="360" w:hanging="360"/>
        <w:rPr>
          <w:sz w:val="24"/>
        </w:rPr>
      </w:pPr>
      <w:r>
        <w:rPr>
          <w:rFonts w:ascii="宋体" w:hAnsi="宋体"/>
          <w:sz w:val="24"/>
        </w:rPr>
        <w:t>[3] Zeng W, et al. MPCViT: Searching for Accurate and Efficient MPC-Friendly Vision Transformer with Heterogeneous Attention[C]//Proceedings of the IEEE/CVF International Conference on Computer Vision (ICCV). 2023.</w:t>
      </w:r>
    </w:p>
    <w:p w14:paraId="53FA3515" w14:textId="77777777" w:rsidR="00035316" w:rsidRDefault="00831B25">
      <w:pPr>
        <w:spacing w:line="288" w:lineRule="auto"/>
        <w:ind w:left="360" w:hanging="360"/>
        <w:rPr>
          <w:sz w:val="24"/>
        </w:rPr>
      </w:pPr>
      <w:r>
        <w:rPr>
          <w:rFonts w:ascii="宋体" w:hAnsi="宋体"/>
          <w:sz w:val="24"/>
        </w:rPr>
        <w:t>[4] Touvron H, Cord M, Douze M, Massa F, Sablayrolles A, Jégou H. Training data-efficient image transformers &amp; distillation through attention[C]//Proceedings of the 38th International Conference on Machine Learning (ICML). 2021.</w:t>
      </w:r>
    </w:p>
    <w:p w14:paraId="40D34424" w14:textId="77777777" w:rsidR="00035316" w:rsidRDefault="00831B25">
      <w:pPr>
        <w:spacing w:line="288" w:lineRule="auto"/>
        <w:ind w:left="360" w:hanging="360"/>
        <w:rPr>
          <w:sz w:val="24"/>
        </w:rPr>
      </w:pPr>
      <w:r>
        <w:rPr>
          <w:rFonts w:ascii="宋体" w:hAnsi="宋体"/>
          <w:sz w:val="24"/>
        </w:rPr>
        <w:t>[5] Huang G, Liu Z, van der Maaten L, Weinberger K Q. Densely Connected Convolutional Networks[C]//Proceedings of the IEEE Conference on Computer Vision and Pattern Recognition (CVPR). 2017.</w:t>
      </w:r>
    </w:p>
    <w:p w14:paraId="03E9E6EF" w14:textId="77777777" w:rsidR="00035316" w:rsidRDefault="00831B25">
      <w:pPr>
        <w:spacing w:line="288" w:lineRule="auto"/>
        <w:ind w:left="360" w:hanging="360"/>
        <w:rPr>
          <w:sz w:val="24"/>
        </w:rPr>
      </w:pPr>
      <w:r>
        <w:rPr>
          <w:rFonts w:ascii="宋体" w:hAnsi="宋体"/>
          <w:sz w:val="24"/>
        </w:rPr>
        <w:t>[6] Ma J, et al. SecretFlow-SPU: A Performant and User-Friendly Framework for Privacy-Preserving Machine Learning[C]//USENIX Annual Technical Conference (USENIX ATC). 2023.</w:t>
      </w:r>
    </w:p>
    <w:p w14:paraId="3F4D07BC" w14:textId="77777777" w:rsidR="00035316" w:rsidRDefault="00831B25">
      <w:pPr>
        <w:spacing w:line="288" w:lineRule="auto"/>
        <w:ind w:left="360" w:hanging="360"/>
        <w:rPr>
          <w:sz w:val="24"/>
        </w:rPr>
      </w:pPr>
      <w:r>
        <w:rPr>
          <w:rFonts w:ascii="宋体" w:hAnsi="宋体"/>
          <w:sz w:val="24"/>
        </w:rPr>
        <w:t>[7] Lu W, et al. BumbleBee: Secure Two-party Inference Framework for Large Transformers[C]//Network and Distributed System Security Symposium (NDSS). 2025.</w:t>
      </w:r>
    </w:p>
    <w:p w14:paraId="092E97E2" w14:textId="77777777" w:rsidR="00035316" w:rsidRDefault="00831B25">
      <w:pPr>
        <w:spacing w:line="288" w:lineRule="auto"/>
        <w:ind w:left="360" w:hanging="360"/>
        <w:rPr>
          <w:sz w:val="24"/>
        </w:rPr>
      </w:pPr>
      <w:r>
        <w:rPr>
          <w:rFonts w:ascii="宋体" w:hAnsi="宋体"/>
          <w:sz w:val="24"/>
        </w:rPr>
        <w:t>[8] Batcher K E. Sorting Networks and Their Applications[C]//Proceedings of the AFIPS Spring Joint Computer Conference. 1968: 307-314.</w:t>
      </w:r>
    </w:p>
    <w:p w14:paraId="5B8571BF" w14:textId="77777777" w:rsidR="00035316" w:rsidRDefault="00831B25">
      <w:pPr>
        <w:spacing w:line="288" w:lineRule="auto"/>
        <w:ind w:left="360" w:hanging="360"/>
        <w:rPr>
          <w:sz w:val="24"/>
        </w:rPr>
      </w:pPr>
      <w:r>
        <w:rPr>
          <w:rFonts w:ascii="宋体" w:hAnsi="宋体"/>
          <w:sz w:val="24"/>
        </w:rPr>
        <w:t>[9] Yao A C. Protocols for Secure Computations[C]//23rd Annual Symposium on Foundations of Computer Science (FOCS). 1982: 160-164.</w:t>
      </w:r>
    </w:p>
    <w:p w14:paraId="29699284" w14:textId="77777777" w:rsidR="00035316" w:rsidRDefault="00831B25">
      <w:pPr>
        <w:spacing w:line="288" w:lineRule="auto"/>
        <w:ind w:left="360" w:hanging="360"/>
        <w:rPr>
          <w:sz w:val="24"/>
        </w:rPr>
      </w:pPr>
      <w:r>
        <w:rPr>
          <w:rFonts w:ascii="宋体" w:hAnsi="宋体"/>
          <w:sz w:val="24"/>
        </w:rPr>
        <w:t>[10] Masinter L. Returning Values from Forms: multipart/form-data[S]. RFC 7578. IETF, 2015.</w:t>
      </w:r>
    </w:p>
    <w:p w14:paraId="52269B88" w14:textId="77777777" w:rsidR="00035316" w:rsidRDefault="00831B25">
      <w:pPr>
        <w:spacing w:line="288" w:lineRule="auto"/>
        <w:ind w:left="360" w:hanging="360"/>
        <w:rPr>
          <w:sz w:val="24"/>
        </w:rPr>
      </w:pPr>
      <w:r>
        <w:rPr>
          <w:rFonts w:ascii="宋体" w:hAnsi="宋体"/>
          <w:sz w:val="24"/>
        </w:rPr>
        <w:t>[11] National Institute of Standards and Technology. Secure Hash Standard (SHS)[S]. FIPS PUB 180-4. Gaithersburg, MD: NIST, 2015.</w:t>
      </w:r>
    </w:p>
    <w:p w14:paraId="2E29987C" w14:textId="77777777" w:rsidR="00035316" w:rsidRDefault="00831B25">
      <w:pPr>
        <w:spacing w:line="288" w:lineRule="auto"/>
        <w:ind w:left="360" w:hanging="360"/>
        <w:rPr>
          <w:rFonts w:ascii="宋体" w:hAnsi="宋体" w:hint="eastAsia"/>
          <w:sz w:val="24"/>
        </w:rPr>
      </w:pPr>
      <w:r>
        <w:rPr>
          <w:rFonts w:ascii="宋体" w:hAnsi="宋体"/>
          <w:sz w:val="24"/>
        </w:rPr>
        <w:t>[12] WHATWG. HTML Living Standard: Web Workers[EB/OL]. https://html.spec.whatwg.org/dev/workers.html, 2026-05-20.</w:t>
      </w:r>
    </w:p>
    <w:p w14:paraId="0CCB8BFD" w14:textId="77777777" w:rsidR="00035316" w:rsidRDefault="00831B25">
      <w:pPr>
        <w:spacing w:line="288" w:lineRule="auto"/>
        <w:ind w:left="360" w:hanging="360"/>
        <w:rPr>
          <w:rFonts w:ascii="宋体" w:hAnsi="宋体" w:hint="eastAsia"/>
          <w:sz w:val="24"/>
        </w:rPr>
      </w:pPr>
      <w:r>
        <w:rPr>
          <w:rFonts w:ascii="宋体" w:hAnsi="宋体" w:hint="eastAsia"/>
          <w:sz w:val="24"/>
        </w:rPr>
        <w:t>[13] 马敏, 付钰, 黄凯, 贾潇风. 基于秘密共享的轻量级隐私保护ViT推理框架[J]. 通信学报, 2024, 45(4): 27-38. DOI:10.11959/j.issn.1000-436x.2024025.</w:t>
      </w:r>
    </w:p>
    <w:p w14:paraId="77C63290" w14:textId="77777777" w:rsidR="00035316" w:rsidRDefault="00831B25">
      <w:pPr>
        <w:spacing w:line="288" w:lineRule="auto"/>
        <w:ind w:left="360" w:hanging="360"/>
        <w:rPr>
          <w:rFonts w:ascii="宋体" w:hAnsi="宋体" w:hint="eastAsia"/>
          <w:sz w:val="24"/>
        </w:rPr>
      </w:pPr>
      <w:r>
        <w:rPr>
          <w:rFonts w:ascii="宋体" w:hAnsi="宋体"/>
          <w:sz w:val="24"/>
        </w:rPr>
        <w:t>[14] Mohassel P, Zhang Y. SecureML: A System for Scalable Privacy-Preserving Machine Learning[C]//2017 IEEE Symposium on Security and Privacy (SP). 2017: 19-38.</w:t>
      </w:r>
    </w:p>
    <w:p w14:paraId="098EAD5C" w14:textId="77777777" w:rsidR="00035316" w:rsidRDefault="00831B25">
      <w:pPr>
        <w:spacing w:line="288" w:lineRule="auto"/>
        <w:ind w:left="360" w:hanging="360"/>
        <w:rPr>
          <w:rFonts w:ascii="宋体" w:hAnsi="宋体" w:hint="eastAsia"/>
          <w:sz w:val="24"/>
        </w:rPr>
      </w:pPr>
      <w:r>
        <w:rPr>
          <w:rFonts w:ascii="宋体" w:hAnsi="宋体"/>
          <w:sz w:val="24"/>
        </w:rPr>
        <w:t>[15] Juvekar C, Vaikuntanathan V, Chandrakasan A. GAZELLE: A Low Latency Framework for Secure Neural Network Inference[C]//27th USENIX Security Symposium (USENIX Security). 2018: 1651-1669.</w:t>
      </w:r>
    </w:p>
    <w:p w14:paraId="419D5D64" w14:textId="77777777" w:rsidR="00035316" w:rsidRDefault="00831B25">
      <w:pPr>
        <w:spacing w:line="288" w:lineRule="auto"/>
        <w:ind w:left="360" w:hanging="360"/>
        <w:rPr>
          <w:rFonts w:ascii="宋体" w:hAnsi="宋体" w:hint="eastAsia"/>
          <w:sz w:val="24"/>
        </w:rPr>
      </w:pPr>
      <w:r>
        <w:rPr>
          <w:rFonts w:ascii="宋体" w:hAnsi="宋体"/>
          <w:sz w:val="24"/>
        </w:rPr>
        <w:t>[16] Knott B, Venkataraman S, Hannun A, et al. CrypTen: Secure Multi-Party Computation Meets Machine Learning[C]//Advances in Neural Information Processing Systems (NeurIPS). 2021.</w:t>
      </w:r>
    </w:p>
    <w:p w14:paraId="4D149D4B" w14:textId="77777777" w:rsidR="00035316" w:rsidRDefault="00831B25">
      <w:pPr>
        <w:spacing w:line="288" w:lineRule="auto"/>
        <w:ind w:left="360" w:hanging="360"/>
        <w:rPr>
          <w:rFonts w:ascii="宋体" w:hAnsi="宋体" w:hint="eastAsia"/>
          <w:sz w:val="24"/>
        </w:rPr>
      </w:pPr>
      <w:r>
        <w:rPr>
          <w:rFonts w:ascii="宋体" w:hAnsi="宋体"/>
          <w:sz w:val="24"/>
        </w:rPr>
        <w:t>[17] Mishra P, Lehmkuhl R, Srinivasan A, Zheng W, Popa R A. Delphi: A Cryptographic Inference Service for Neural Networks[C]//29th USENIX Security Symposium (USENIX Security). 2020: 2505-2522.</w:t>
      </w:r>
    </w:p>
    <w:p w14:paraId="2AE32987" w14:textId="77777777" w:rsidR="00035316" w:rsidRDefault="00831B25">
      <w:pPr>
        <w:spacing w:line="288" w:lineRule="auto"/>
        <w:ind w:left="360" w:hanging="360"/>
        <w:rPr>
          <w:rFonts w:ascii="宋体" w:hAnsi="宋体" w:hint="eastAsia"/>
          <w:sz w:val="24"/>
        </w:rPr>
      </w:pPr>
      <w:r>
        <w:rPr>
          <w:rFonts w:ascii="宋体" w:hAnsi="宋体"/>
          <w:sz w:val="24"/>
        </w:rPr>
        <w:t>[18] Hao M, Li H, Chen H, et al. Iron: Private Inference on Transformers[C]//Advances in Neural Information Processing Systems (NeurIPS). 2022.</w:t>
      </w:r>
    </w:p>
    <w:p w14:paraId="67BCED5E" w14:textId="77777777" w:rsidR="00035316" w:rsidRDefault="00831B25">
      <w:pPr>
        <w:spacing w:line="288" w:lineRule="auto"/>
        <w:ind w:left="360" w:hanging="360"/>
        <w:rPr>
          <w:rFonts w:ascii="宋体" w:hAnsi="宋体" w:hint="eastAsia"/>
          <w:sz w:val="24"/>
        </w:rPr>
      </w:pPr>
      <w:r>
        <w:rPr>
          <w:rFonts w:ascii="宋体" w:hAnsi="宋体"/>
          <w:sz w:val="24"/>
        </w:rPr>
        <w:t>[19] Pang Q, Zhu J, Möllering H, Zheng W, Schneider T. BOLT: Privacy-Preserving, Accurate and Efficient Inference for Transformers[C]//2024 IEEE Symposium on Security and Privacy (SP). 2024.</w:t>
      </w:r>
    </w:p>
    <w:p w14:paraId="55EB1A5F" w14:textId="77777777" w:rsidR="00035316" w:rsidRDefault="00831B25">
      <w:pPr>
        <w:spacing w:line="288" w:lineRule="auto"/>
        <w:ind w:left="360" w:hanging="360"/>
        <w:rPr>
          <w:rFonts w:ascii="宋体" w:hAnsi="宋体" w:hint="eastAsia"/>
          <w:sz w:val="24"/>
        </w:rPr>
      </w:pPr>
      <w:r>
        <w:rPr>
          <w:rFonts w:ascii="宋体" w:hAnsi="宋体"/>
          <w:sz w:val="24"/>
        </w:rPr>
        <w:t>[20] Zhang J, Yang X, He L, et al. Secure Transformer Inference Made Non-interactive[C]//Network and Distributed System Security Symposium (NDSS). 2025.</w:t>
      </w:r>
    </w:p>
    <w:p w14:paraId="375F8594" w14:textId="77777777" w:rsidR="00035316" w:rsidRDefault="00831B25">
      <w:pPr>
        <w:spacing w:line="288" w:lineRule="auto"/>
        <w:ind w:left="360" w:hanging="360"/>
        <w:rPr>
          <w:rFonts w:ascii="宋体" w:hAnsi="宋体" w:hint="eastAsia"/>
          <w:sz w:val="24"/>
        </w:rPr>
      </w:pPr>
      <w:r>
        <w:rPr>
          <w:rFonts w:ascii="宋体" w:hAnsi="宋体"/>
          <w:sz w:val="24"/>
        </w:rPr>
        <w:t>[21] Zhang Y, Xue J, Zheng M, et al. CipherPrune: Efficient and Scalable Private Transformer Inference[C]//International Conference on Learning Representations (ICLR). 2025.</w:t>
      </w:r>
    </w:p>
    <w:p w14:paraId="66945B26" w14:textId="77777777" w:rsidR="00035316" w:rsidRDefault="00831B25">
      <w:pPr>
        <w:spacing w:line="288" w:lineRule="auto"/>
        <w:ind w:left="360" w:hanging="360"/>
        <w:rPr>
          <w:rFonts w:ascii="宋体" w:hAnsi="宋体" w:hint="eastAsia"/>
          <w:sz w:val="24"/>
        </w:rPr>
      </w:pPr>
      <w:r>
        <w:rPr>
          <w:rFonts w:ascii="宋体" w:hAnsi="宋体"/>
        </w:rPr>
        <w:t>[22] Chen T, Bao H, Huang S, et al. THE-X: Privacy-Preserving Transformer Inference with Homomorphic Encryption[C]//Findings of the Association for Computational Linguistics: ACL 2022. 2022: 3510-3520. DOI:10.18653/v1/2022.findings-acl.277.</w:t>
      </w:r>
    </w:p>
    <w:p w14:paraId="6479BF95" w14:textId="77777777" w:rsidR="00035316" w:rsidRDefault="00831B25">
      <w:pPr>
        <w:spacing w:line="288" w:lineRule="auto"/>
        <w:ind w:left="360" w:hanging="360"/>
        <w:rPr>
          <w:rFonts w:ascii="宋体" w:hAnsi="宋体" w:hint="eastAsia"/>
          <w:sz w:val="24"/>
        </w:rPr>
      </w:pPr>
      <w:r>
        <w:rPr>
          <w:rFonts w:ascii="宋体" w:hAnsi="宋体"/>
        </w:rPr>
        <w:t>[23] Li D, Shao R, Wang H, et al. MPCFormer: Fast, Performant and Private Transformer Inference with MPC[C]//International Conference on Learning Representations (ICLR). 2023.</w:t>
      </w:r>
    </w:p>
    <w:p w14:paraId="2DB79DDB" w14:textId="77777777" w:rsidR="00035316" w:rsidRDefault="00831B25">
      <w:pPr>
        <w:spacing w:line="288" w:lineRule="auto"/>
        <w:ind w:left="360" w:hanging="360"/>
        <w:rPr>
          <w:rFonts w:ascii="宋体" w:hAnsi="宋体" w:hint="eastAsia"/>
          <w:sz w:val="24"/>
        </w:rPr>
      </w:pPr>
      <w:r>
        <w:rPr>
          <w:rFonts w:ascii="宋体" w:hAnsi="宋体"/>
        </w:rPr>
        <w:t>[24] Luo J, Zhang Y, Zhang Z, et al. SecFormer: Fast and Accurate Privacy-Preserving Inference for Transformer Models via SMPC[C]//Findings of the Association for Computational Linguistics: ACL 2024. 2024: 13333-13348. DOI:10.18653/v1/2024.findings-acl.790.</w:t>
      </w:r>
    </w:p>
    <w:p w14:paraId="782FB585" w14:textId="77777777" w:rsidR="00035316" w:rsidRDefault="00831B25">
      <w:pPr>
        <w:spacing w:line="288" w:lineRule="auto"/>
        <w:ind w:left="360" w:hanging="360"/>
        <w:rPr>
          <w:rFonts w:ascii="宋体" w:hAnsi="宋体" w:hint="eastAsia"/>
          <w:sz w:val="24"/>
        </w:rPr>
      </w:pPr>
      <w:r>
        <w:rPr>
          <w:rFonts w:ascii="宋体" w:hAnsi="宋体"/>
        </w:rPr>
        <w:t>[25] Liu J, Juuti M, Lu Y, Asokan N. Oblivious Neural Network Predictions via MiniONN Transformations[C]//Proceedings of the 2017 ACM SIGSAC Conference on Computer and Communications Security (CCS). 2017: 619-631.</w:t>
      </w:r>
    </w:p>
    <w:p w14:paraId="59539CC9" w14:textId="77777777" w:rsidR="00035316" w:rsidRDefault="00831B25">
      <w:pPr>
        <w:spacing w:line="288" w:lineRule="auto"/>
        <w:ind w:left="360" w:hanging="360"/>
        <w:rPr>
          <w:rFonts w:ascii="宋体" w:hAnsi="宋体" w:hint="eastAsia"/>
          <w:sz w:val="24"/>
        </w:rPr>
      </w:pPr>
      <w:r>
        <w:rPr>
          <w:rFonts w:ascii="宋体" w:hAnsi="宋体"/>
        </w:rPr>
        <w:t>[26] Riazi M S, Samragh M, Chen H, Laine K, Lauter K, Koushanfar F. XONN: XNOR-based Oblivious Deep Neural Network Inference[C]//28th USENIX Security Symposium (USENIX Security). 2019: 1501-1518.</w:t>
      </w:r>
    </w:p>
    <w:p w14:paraId="77B2B364" w14:textId="77777777" w:rsidR="00035316" w:rsidRDefault="00831B25">
      <w:pPr>
        <w:spacing w:line="288" w:lineRule="auto"/>
        <w:ind w:left="360" w:hanging="360"/>
        <w:rPr>
          <w:rFonts w:ascii="宋体" w:hAnsi="宋体" w:hint="eastAsia"/>
          <w:sz w:val="24"/>
        </w:rPr>
      </w:pPr>
      <w:r>
        <w:rPr>
          <w:rFonts w:ascii="宋体" w:hAnsi="宋体"/>
        </w:rPr>
        <w:t>[27] Liang Y, Ge C, Tong Z, Song Y, Wang J, Xie P. EViT: Expediting Vision Transformers via Token Reorganizations[C]//International Conference on Learning Representations (ICLR). 2022.</w:t>
      </w:r>
    </w:p>
    <w:p w14:paraId="1D990482" w14:textId="77777777" w:rsidR="00035316" w:rsidRDefault="00831B25">
      <w:pPr>
        <w:spacing w:line="288" w:lineRule="auto"/>
        <w:ind w:left="360" w:hanging="360"/>
        <w:rPr>
          <w:rFonts w:ascii="宋体" w:hAnsi="宋体" w:hint="eastAsia"/>
          <w:sz w:val="24"/>
        </w:rPr>
      </w:pPr>
      <w:r>
        <w:rPr>
          <w:rFonts w:ascii="宋体" w:hAnsi="宋体"/>
        </w:rPr>
        <w:t>[28] Yin H, Vahdat A, Alvarez J M, Mallya A, Kautz J, Molchanov P. A-ViT: Adaptive Tokens for Efficient Vision Transformer[C]//Proceedings of the IEEE/CVF Conference on Computer Vision and Pattern Recognition (CVPR). 2022: 10809-10818. DOI:10.1109/CVPR52688.2022.01054.</w:t>
      </w:r>
    </w:p>
    <w:p w14:paraId="124EA866" w14:textId="77777777" w:rsidR="00035316" w:rsidRDefault="00831B25">
      <w:pPr>
        <w:spacing w:line="288" w:lineRule="auto"/>
        <w:ind w:left="360" w:hanging="360"/>
        <w:rPr>
          <w:rFonts w:ascii="宋体" w:hAnsi="宋体" w:hint="eastAsia"/>
          <w:sz w:val="24"/>
        </w:rPr>
      </w:pPr>
      <w:r>
        <w:rPr>
          <w:rFonts w:ascii="宋体" w:hAnsi="宋体"/>
        </w:rPr>
        <w:t>[29] Bolya D, Fu C-Y, Dai X, Zhang P, Feichtenhofer C, Hoffman J. Token Merging: Your ViT But Faster[C]//International Conference on Learning Representations (ICLR). 2023.</w:t>
      </w:r>
    </w:p>
    <w:p w14:paraId="6E9F1B3B" w14:textId="77777777" w:rsidR="00035316" w:rsidRDefault="00831B25">
      <w:pPr>
        <w:pStyle w:val="1"/>
        <w:jc w:val="center"/>
      </w:pPr>
      <w:bookmarkStart w:id="88" w:name="Transshield_TOC_appendix_a"/>
      <w:bookmarkStart w:id="89" w:name="_Toc230989579"/>
      <w:r>
        <w:rPr>
          <w:rFonts w:ascii="黑体" w:eastAsia="黑体" w:hAnsi="黑体"/>
        </w:rPr>
        <w:t>附录A 关键代码实现</w:t>
      </w:r>
      <w:bookmarkEnd w:id="88"/>
      <w:bookmarkEnd w:id="89"/>
    </w:p>
    <w:p w14:paraId="68E49FE4" w14:textId="77777777" w:rsidR="00035316" w:rsidRDefault="00831B25">
      <w:pPr>
        <w:spacing w:line="360" w:lineRule="auto"/>
      </w:pPr>
      <w:r>
        <w:rPr>
          <w:rFonts w:ascii="宋体" w:hAnsi="宋体"/>
          <w:sz w:val="24"/>
        </w:rPr>
        <w:t>本附录不再罗列完整源文件，而是按“公式—机制—证据”对应关系摘录最能代表系统实现要点的局部代码，用于说明浏览器端 little-endian share 序列化、SPU 内部安全排序与 keep-mask 构造、结构化元数据长度门以及黑盒 fuzz 用例构造等核心实现。</w:t>
      </w:r>
    </w:p>
    <w:p w14:paraId="25D6D89A" w14:textId="77777777" w:rsidR="00035316" w:rsidRDefault="00831B25">
      <w:pPr>
        <w:spacing w:line="360" w:lineRule="auto"/>
        <w:outlineLvl w:val="1"/>
        <w:rPr>
          <w:rFonts w:ascii="黑体" w:eastAsia="黑体" w:hAnsi="黑体" w:hint="eastAsia"/>
          <w:b/>
          <w:sz w:val="24"/>
        </w:rPr>
      </w:pPr>
      <w:bookmarkStart w:id="90" w:name="Transshield_TOC_appendix_a_1"/>
      <w:bookmarkStart w:id="91" w:name="_Toc230989580"/>
      <w:r>
        <w:rPr>
          <w:rFonts w:ascii="黑体" w:eastAsia="黑体" w:hAnsi="黑体" w:hint="eastAsia"/>
          <w:b/>
          <w:sz w:val="24"/>
        </w:rPr>
        <w:t>A.1 浏览器 Worker 中的 little-endian share 序列化</w:t>
      </w:r>
      <w:bookmarkEnd w:id="90"/>
      <w:bookmarkEnd w:id="91"/>
    </w:p>
    <w:p w14:paraId="3E405F91" w14:textId="77777777" w:rsidR="00035316" w:rsidRDefault="00831B25">
      <w:pPr>
        <w:spacing w:line="360" w:lineRule="auto"/>
      </w:pPr>
      <w:r>
        <w:rPr>
          <w:rFonts w:ascii="宋体" w:hAnsi="宋体"/>
          <w:sz w:val="24"/>
        </w:rPr>
        <w:t>代码位置：showcase/src/workers/medicalControlPlaneWorker.ts:148</w:t>
      </w:r>
    </w:p>
    <w:p w14:paraId="469F0C6D" w14:textId="77777777" w:rsidR="00035316" w:rsidRDefault="00831B25">
      <w:pPr>
        <w:spacing w:line="360" w:lineRule="auto"/>
        <w:ind w:firstLine="480"/>
      </w:pPr>
      <w:r>
        <w:rPr>
          <w:rFonts w:ascii="宋体" w:hAnsi="宋体"/>
          <w:sz w:val="24"/>
        </w:rPr>
        <w:t>该段代码展示了浏览器 Worker 如何显式使用 little-endian 方式写入 Float32 share，避免异构环境的字节序歧义。</w:t>
      </w:r>
    </w:p>
    <w:p w14:paraId="5EAC87C3" w14:textId="77777777" w:rsidR="00035316" w:rsidRDefault="00831B25">
      <w:pPr>
        <w:spacing w:line="360" w:lineRule="auto"/>
      </w:pPr>
      <w:r>
        <w:rPr>
          <w:rFonts w:ascii="宋体" w:hAnsi="宋体"/>
          <w:sz w:val="24"/>
        </w:rPr>
        <w:t>以下仅保留与正文论证直接相关的关键代码节选，已省略无关分支、重复检查与通用异常处理。</w:t>
      </w:r>
    </w:p>
    <w:p w14:paraId="1BE13FB3" w14:textId="77777777" w:rsidR="00035316" w:rsidRDefault="00831B25">
      <w:pPr>
        <w:spacing w:before="20" w:after="80" w:line="259" w:lineRule="auto"/>
        <w:ind w:left="317"/>
      </w:pPr>
      <w:r>
        <w:rPr>
          <w:rFonts w:ascii="Consolas" w:eastAsia="Consolas" w:hAnsi="Consolas"/>
          <w:sz w:val="16"/>
        </w:rPr>
        <w:t>function packFloat32LE(values) {</w:t>
      </w:r>
      <w:r>
        <w:rPr>
          <w:rFonts w:ascii="Consolas" w:eastAsia="Consolas" w:hAnsi="Consolas"/>
          <w:sz w:val="16"/>
        </w:rPr>
        <w:br/>
        <w:t xml:space="preserve">  const bytes = new Uint8Array(values.length * 4);</w:t>
      </w:r>
      <w:r>
        <w:rPr>
          <w:rFonts w:ascii="Consolas" w:eastAsia="Consolas" w:hAnsi="Consolas"/>
          <w:sz w:val="16"/>
        </w:rPr>
        <w:br/>
        <w:t xml:space="preserve">  const view = new DataView(bytes.buffer);</w:t>
      </w:r>
      <w:r>
        <w:rPr>
          <w:rFonts w:ascii="Consolas" w:eastAsia="Consolas" w:hAnsi="Consolas"/>
          <w:sz w:val="16"/>
        </w:rPr>
        <w:br/>
        <w:t xml:space="preserve">  for (let index = 0; index &lt; values.length; index += 1) {</w:t>
      </w:r>
      <w:r>
        <w:rPr>
          <w:rFonts w:ascii="Consolas" w:eastAsia="Consolas" w:hAnsi="Consolas"/>
          <w:sz w:val="16"/>
        </w:rPr>
        <w:br/>
        <w:t xml:space="preserve">    const value = values[index];</w:t>
      </w:r>
      <w:r>
        <w:rPr>
          <w:rFonts w:ascii="Consolas" w:eastAsia="Consolas" w:hAnsi="Consolas"/>
          <w:sz w:val="16"/>
        </w:rPr>
        <w:br/>
        <w:t xml:space="preserve">    if (!Number.isFinite(value)) throw new Error(`Non-finite float at ${index}`);</w:t>
      </w:r>
      <w:r>
        <w:rPr>
          <w:rFonts w:ascii="Consolas" w:eastAsia="Consolas" w:hAnsi="Consolas"/>
          <w:sz w:val="16"/>
        </w:rPr>
        <w:br/>
        <w:t xml:space="preserve">    view.setFloat32(index * 4, Math.fround(value), true);</w:t>
      </w:r>
      <w:r>
        <w:rPr>
          <w:rFonts w:ascii="Consolas" w:eastAsia="Consolas" w:hAnsi="Consolas"/>
          <w:sz w:val="16"/>
        </w:rPr>
        <w:br/>
        <w:t xml:space="preserve">  }</w:t>
      </w:r>
      <w:r>
        <w:rPr>
          <w:rFonts w:ascii="Consolas" w:eastAsia="Consolas" w:hAnsi="Consolas"/>
          <w:sz w:val="16"/>
        </w:rPr>
        <w:br/>
        <w:t xml:space="preserve">  return bytes;</w:t>
      </w:r>
      <w:r>
        <w:rPr>
          <w:rFonts w:ascii="Consolas" w:eastAsia="Consolas" w:hAnsi="Consolas"/>
          <w:sz w:val="16"/>
        </w:rPr>
        <w:br/>
        <w:t>}</w:t>
      </w:r>
    </w:p>
    <w:p w14:paraId="2B55732C" w14:textId="77777777" w:rsidR="00035316" w:rsidRDefault="00831B25">
      <w:pPr>
        <w:spacing w:line="360" w:lineRule="auto"/>
        <w:outlineLvl w:val="1"/>
        <w:rPr>
          <w:rFonts w:ascii="黑体" w:eastAsia="黑体" w:hAnsi="黑体" w:hint="eastAsia"/>
          <w:b/>
          <w:sz w:val="24"/>
        </w:rPr>
      </w:pPr>
      <w:bookmarkStart w:id="92" w:name="Transshield_TOC_appendix_a_2"/>
      <w:bookmarkStart w:id="93" w:name="_Toc230989581"/>
      <w:r>
        <w:rPr>
          <w:rFonts w:ascii="黑体" w:eastAsia="黑体" w:hAnsi="黑体" w:hint="eastAsia"/>
          <w:b/>
          <w:sz w:val="24"/>
        </w:rPr>
        <w:t>A.2 安全选择与双调排序的核心 SPU 实现</w:t>
      </w:r>
      <w:bookmarkEnd w:id="92"/>
      <w:bookmarkEnd w:id="93"/>
    </w:p>
    <w:p w14:paraId="08301ADB" w14:textId="77777777" w:rsidR="00035316" w:rsidRDefault="00831B25">
      <w:pPr>
        <w:spacing w:line="360" w:lineRule="auto"/>
      </w:pPr>
      <w:r>
        <w:rPr>
          <w:rFonts w:ascii="宋体" w:hAnsi="宋体"/>
          <w:sz w:val="24"/>
        </w:rPr>
        <w:t>代码位置：integrations/transshield_runtime/e2e_secure_vit/spu_static_vit.py:639</w:t>
      </w:r>
    </w:p>
    <w:p w14:paraId="3882FC0E" w14:textId="77777777" w:rsidR="00035316" w:rsidRDefault="00831B25">
      <w:pPr>
        <w:spacing w:line="360" w:lineRule="auto"/>
        <w:ind w:firstLine="480"/>
      </w:pPr>
      <w:r>
        <w:rPr>
          <w:rFonts w:ascii="宋体" w:hAnsi="宋体"/>
          <w:sz w:val="24"/>
        </w:rPr>
        <w:t>该段代码展示了 JAX/SPU 路径如何通过编码键、按索引跟踪的双调排序和向量化 keep-mask 构造，稳定处理安全 Top-</w:t>
      </w:r>
      <m:oMath>
        <m:r>
          <w:rPr>
            <w:rFonts w:ascii="Cambria Math" w:hAnsi="Cambria Math"/>
          </w:rPr>
          <m:t>K</m:t>
        </m:r>
      </m:oMath>
      <w:r>
        <w:rPr>
          <w:rFonts w:ascii="宋体" w:hAnsi="宋体"/>
          <w:sz w:val="24"/>
        </w:rPr>
        <w:t>与并列分数决断问题。</w:t>
      </w:r>
    </w:p>
    <w:p w14:paraId="140C7D48" w14:textId="77777777" w:rsidR="00035316" w:rsidRDefault="00831B25">
      <w:pPr>
        <w:spacing w:line="360" w:lineRule="auto"/>
      </w:pPr>
      <w:r>
        <w:rPr>
          <w:rFonts w:ascii="宋体" w:hAnsi="宋体"/>
          <w:sz w:val="24"/>
        </w:rPr>
        <w:t>以下仅保留与正文论证直接相关的关键代码节选，已省略无关分支、重复检查与通用异常处理。</w:t>
      </w:r>
    </w:p>
    <w:p w14:paraId="3E2EDE9D" w14:textId="77777777" w:rsidR="00035316" w:rsidRDefault="00831B25">
      <w:pPr>
        <w:spacing w:before="20" w:after="80" w:line="259" w:lineRule="auto"/>
        <w:ind w:left="317"/>
      </w:pPr>
      <w:r>
        <w:rPr>
          <w:rFonts w:ascii="Consolas" w:eastAsia="Consolas" w:hAnsi="Consolas"/>
          <w:sz w:val="16"/>
        </w:rPr>
        <w:t>def _bitonic_sort_desc_with_indices(values):</w:t>
      </w:r>
      <w:r>
        <w:rPr>
          <w:rFonts w:ascii="Consolas" w:eastAsia="Consolas" w:hAnsi="Consolas"/>
          <w:sz w:val="16"/>
        </w:rPr>
        <w:br/>
        <w:t xml:space="preserve">    indices = jnp.broadcast_to(jnp.arange(N, dtype=jnp.int32), values.shape)</w:t>
      </w:r>
      <w:r>
        <w:rPr>
          <w:rFonts w:ascii="Consolas" w:eastAsia="Consolas" w:hAnsi="Consolas"/>
          <w:sz w:val="16"/>
        </w:rPr>
        <w:br/>
        <w:t xml:space="preserve">    ...</w:t>
      </w:r>
      <w:r>
        <w:rPr>
          <w:rFonts w:ascii="Consolas" w:eastAsia="Consolas" w:hAnsi="Consolas"/>
          <w:sz w:val="16"/>
        </w:rPr>
        <w:br/>
        <w:t xml:space="preserve">    left_index = jnp.where(is_left, p_arr, p_partner)</w:t>
      </w:r>
      <w:r>
        <w:rPr>
          <w:rFonts w:ascii="Consolas" w:eastAsia="Consolas" w:hAnsi="Consolas"/>
          <w:sz w:val="16"/>
        </w:rPr>
        <w:br/>
        <w:t xml:space="preserve">    is_desc = (left_index &amp; k) == 0</w:t>
      </w:r>
      <w:r>
        <w:rPr>
          <w:rFonts w:ascii="Consolas" w:eastAsia="Consolas" w:hAnsi="Consolas"/>
          <w:sz w:val="16"/>
        </w:rPr>
        <w:br/>
        <w:t xml:space="preserve">    ...</w:t>
      </w:r>
      <w:r>
        <w:rPr>
          <w:rFonts w:ascii="Consolas" w:eastAsia="Consolas" w:hAnsi="Consolas"/>
          <w:sz w:val="16"/>
        </w:rPr>
        <w:br/>
        <w:t xml:space="preserve">    indices = jnp.where(has_partner, new_idx, indices)</w:t>
      </w:r>
      <w:r>
        <w:rPr>
          <w:rFonts w:ascii="Consolas" w:eastAsia="Consolas" w:hAnsi="Consolas"/>
          <w:sz w:val="16"/>
        </w:rPr>
        <w:br/>
        <w:t xml:space="preserve">    return x, indices</w:t>
      </w:r>
      <w:r>
        <w:rPr>
          <w:rFonts w:ascii="Consolas" w:eastAsia="Consolas" w:hAnsi="Consolas"/>
          <w:sz w:val="16"/>
        </w:rPr>
        <w:br/>
      </w:r>
      <w:r>
        <w:rPr>
          <w:rFonts w:ascii="Consolas" w:eastAsia="Consolas" w:hAnsi="Consolas"/>
          <w:sz w:val="16"/>
        </w:rPr>
        <w:br/>
        <w:t>def _secure_build_keep_decision(score, prev_decision_2d, keep_count):</w:t>
      </w:r>
      <w:r>
        <w:rPr>
          <w:rFonts w:ascii="Consolas" w:eastAsia="Consolas" w:hAnsi="Consolas"/>
          <w:sz w:val="16"/>
        </w:rPr>
        <w:br/>
        <w:t xml:space="preserve">    active_before = prev_decision_2d.squeeze(-1) &gt; 0</w:t>
      </w:r>
      <w:r>
        <w:rPr>
          <w:rFonts w:ascii="Consolas" w:eastAsia="Consolas" w:hAnsi="Consolas"/>
          <w:sz w:val="16"/>
        </w:rPr>
        <w:br/>
        <w:t xml:space="preserve">    encoded_key = score - jnp.arange(N, dtype=score.dtype) * 1e-6</w:t>
      </w:r>
      <w:r>
        <w:rPr>
          <w:rFonts w:ascii="Consolas" w:eastAsia="Consolas" w:hAnsi="Consolas"/>
          <w:sz w:val="16"/>
        </w:rPr>
        <w:br/>
        <w:t xml:space="preserve">    encoded_masked = jnp.where(active_before, encoded_key, float('-inf'))</w:t>
      </w:r>
      <w:r>
        <w:rPr>
          <w:rFonts w:ascii="Consolas" w:eastAsia="Consolas" w:hAnsi="Consolas"/>
          <w:sz w:val="16"/>
        </w:rPr>
        <w:br/>
        <w:t xml:space="preserve">    ...</w:t>
      </w:r>
      <w:r>
        <w:rPr>
          <w:rFonts w:ascii="Consolas" w:eastAsia="Consolas" w:hAnsi="Consolas"/>
          <w:sz w:val="16"/>
        </w:rPr>
        <w:br/>
        <w:t xml:space="preserve">    sorted_keys, sorted_indices = _bitonic_sort_desc_with_indices(sortable)</w:t>
      </w:r>
      <w:r>
        <w:rPr>
          <w:rFonts w:ascii="Consolas" w:eastAsia="Consolas" w:hAnsi="Consolas"/>
          <w:sz w:val="16"/>
        </w:rPr>
        <w:br/>
        <w:t xml:space="preserve">    top_k_indices = sorted_indices[:, :keep_count]</w:t>
      </w:r>
      <w:r>
        <w:rPr>
          <w:rFonts w:ascii="Consolas" w:eastAsia="Consolas" w:hAnsi="Consolas"/>
          <w:sz w:val="16"/>
        </w:rPr>
        <w:br/>
        <w:t xml:space="preserve">    keep_mask = jnp.any(top_k_indices[:, :, None] == pos[None, None, :], axis=1)</w:t>
      </w:r>
      <w:r>
        <w:rPr>
          <w:rFonts w:ascii="Consolas" w:eastAsia="Consolas" w:hAnsi="Consolas"/>
          <w:sz w:val="16"/>
        </w:rPr>
        <w:br/>
        <w:t xml:space="preserve">    return (keep_mask[:, :N] &amp; active_before)[:, :, None]</w:t>
      </w:r>
    </w:p>
    <w:p w14:paraId="271F145D" w14:textId="77777777" w:rsidR="00035316" w:rsidRDefault="00831B25">
      <w:pPr>
        <w:spacing w:line="360" w:lineRule="auto"/>
        <w:outlineLvl w:val="1"/>
        <w:rPr>
          <w:rFonts w:ascii="黑体" w:eastAsia="黑体" w:hAnsi="黑体" w:hint="eastAsia"/>
          <w:b/>
          <w:sz w:val="24"/>
        </w:rPr>
      </w:pPr>
      <w:bookmarkStart w:id="94" w:name="Transshield_TOC_appendix_a_3"/>
      <w:bookmarkStart w:id="95" w:name="_Toc230989582"/>
      <w:r>
        <w:rPr>
          <w:rFonts w:ascii="黑体" w:eastAsia="黑体" w:hAnsi="黑体" w:hint="eastAsia"/>
          <w:b/>
          <w:sz w:val="24"/>
        </w:rPr>
        <w:t>A.3 JSON 字节长度门与 strict json.loads 钩子</w:t>
      </w:r>
      <w:bookmarkEnd w:id="94"/>
      <w:bookmarkEnd w:id="95"/>
    </w:p>
    <w:p w14:paraId="6E5CF9C4" w14:textId="77777777" w:rsidR="00035316" w:rsidRDefault="00831B25">
      <w:pPr>
        <w:spacing w:line="360" w:lineRule="auto"/>
      </w:pPr>
      <w:r>
        <w:rPr>
          <w:rFonts w:ascii="宋体" w:hAnsi="宋体"/>
          <w:sz w:val="24"/>
        </w:rPr>
        <w:t>代码位置：showcase_api/control_plane.py:309</w:t>
      </w:r>
    </w:p>
    <w:p w14:paraId="7FE6C711" w14:textId="77777777" w:rsidR="00035316" w:rsidRDefault="00831B25">
      <w:pPr>
        <w:spacing w:line="360" w:lineRule="auto"/>
        <w:ind w:firstLine="480"/>
      </w:pPr>
      <w:r>
        <w:rPr>
          <w:rFonts w:ascii="宋体" w:hAnsi="宋体"/>
          <w:sz w:val="24"/>
        </w:rPr>
        <w:t>该段代码展示了在 `json.loads` 前先执行字节长度门，并为整数、浮点和常量解析分别挂接严格钩子。</w:t>
      </w:r>
    </w:p>
    <w:p w14:paraId="536FC28C" w14:textId="77777777" w:rsidR="00035316" w:rsidRDefault="00831B25">
      <w:pPr>
        <w:spacing w:line="360" w:lineRule="auto"/>
      </w:pPr>
      <w:r>
        <w:rPr>
          <w:rFonts w:ascii="宋体" w:hAnsi="宋体"/>
          <w:sz w:val="24"/>
        </w:rPr>
        <w:t>以下仅保留与正文论证直接相关的关键代码节选，已省略无关分支、重复检查与通用异常处理。</w:t>
      </w:r>
    </w:p>
    <w:p w14:paraId="018759F1" w14:textId="77777777" w:rsidR="00035316" w:rsidRDefault="00831B25">
      <w:pPr>
        <w:spacing w:before="20" w:after="80" w:line="259" w:lineRule="auto"/>
        <w:ind w:left="317"/>
      </w:pPr>
      <w:r>
        <w:rPr>
          <w:rFonts w:ascii="Consolas" w:eastAsia="Consolas" w:hAnsi="Consolas"/>
          <w:sz w:val="16"/>
        </w:rPr>
        <w:t>def _load_json_part(self, raw_body: bytes, part: RawPart):</w:t>
      </w:r>
      <w:r>
        <w:rPr>
          <w:rFonts w:ascii="Consolas" w:eastAsia="Consolas" w:hAnsi="Consolas"/>
          <w:sz w:val="16"/>
        </w:rPr>
        <w:br/>
        <w:t xml:space="preserve">    part_view = memoryview(raw_body)[part.body_start:part.body_end]</w:t>
      </w:r>
      <w:r>
        <w:rPr>
          <w:rFonts w:ascii="Consolas" w:eastAsia="Consolas" w:hAnsi="Consolas"/>
          <w:sz w:val="16"/>
        </w:rPr>
        <w:br/>
        <w:t xml:space="preserve">    body_len = len(part_view)</w:t>
      </w:r>
      <w:r>
        <w:rPr>
          <w:rFonts w:ascii="Consolas" w:eastAsia="Consolas" w:hAnsi="Consolas"/>
          <w:sz w:val="16"/>
        </w:rPr>
        <w:br/>
        <w:t xml:space="preserve">    if body_len &gt; JSON_PART_MAX_BYTES:</w:t>
      </w:r>
      <w:r>
        <w:rPr>
          <w:rFonts w:ascii="Consolas" w:eastAsia="Consolas" w:hAnsi="Consolas"/>
          <w:sz w:val="16"/>
        </w:rPr>
        <w:br/>
        <w:t xml:space="preserve">        raise ValueError('json part exceeds global size limit')</w:t>
      </w:r>
      <w:r>
        <w:rPr>
          <w:rFonts w:ascii="Consolas" w:eastAsia="Consolas" w:hAnsi="Consolas"/>
          <w:sz w:val="16"/>
        </w:rPr>
        <w:br/>
        <w:t xml:space="preserve">    field_limit = {...}.get(part.name, JSON_PART_MAX_BYTES)</w:t>
      </w:r>
      <w:r>
        <w:rPr>
          <w:rFonts w:ascii="Consolas" w:eastAsia="Consolas" w:hAnsi="Consolas"/>
          <w:sz w:val="16"/>
        </w:rPr>
        <w:br/>
        <w:t xml:space="preserve">    if body_len &gt; field_limit:</w:t>
      </w:r>
      <w:r>
        <w:rPr>
          <w:rFonts w:ascii="Consolas" w:eastAsia="Consolas" w:hAnsi="Consolas"/>
          <w:sz w:val="16"/>
        </w:rPr>
        <w:br/>
        <w:t xml:space="preserve">        raise ValueError(f'{part.name} exceeds field size limit')</w:t>
      </w:r>
      <w:r>
        <w:rPr>
          <w:rFonts w:ascii="Consolas" w:eastAsia="Consolas" w:hAnsi="Consolas"/>
          <w:sz w:val="16"/>
        </w:rPr>
        <w:br/>
        <w:t xml:space="preserve">    decoded = bytes(part_view).decode('utf-8', 'strict')</w:t>
      </w:r>
      <w:r>
        <w:rPr>
          <w:rFonts w:ascii="Consolas" w:eastAsia="Consolas" w:hAnsi="Consolas"/>
          <w:sz w:val="16"/>
        </w:rPr>
        <w:br/>
        <w:t xml:space="preserve">    return json.loads(decoded, parse_int=strict_json_int,</w:t>
      </w:r>
      <w:r>
        <w:rPr>
          <w:rFonts w:ascii="Consolas" w:eastAsia="Consolas" w:hAnsi="Consolas"/>
          <w:sz w:val="16"/>
        </w:rPr>
        <w:br/>
        <w:t xml:space="preserve">                      parse_float=strict_json_float,</w:t>
      </w:r>
      <w:r>
        <w:rPr>
          <w:rFonts w:ascii="Consolas" w:eastAsia="Consolas" w:hAnsi="Consolas"/>
          <w:sz w:val="16"/>
        </w:rPr>
        <w:br/>
        <w:t xml:space="preserve">                      parse_constant=strict_json_constant)</w:t>
      </w:r>
    </w:p>
    <w:p w14:paraId="4092274D" w14:textId="77777777" w:rsidR="00035316" w:rsidRDefault="00831B25">
      <w:pPr>
        <w:spacing w:line="360" w:lineRule="auto"/>
        <w:outlineLvl w:val="1"/>
        <w:rPr>
          <w:rFonts w:ascii="黑体" w:eastAsia="黑体" w:hAnsi="黑体" w:hint="eastAsia"/>
          <w:b/>
          <w:sz w:val="24"/>
        </w:rPr>
      </w:pPr>
      <w:bookmarkStart w:id="96" w:name="Transshield_TOC_appendix_a_4"/>
      <w:bookmarkStart w:id="97" w:name="_Toc230989583"/>
      <w:r>
        <w:rPr>
          <w:rFonts w:ascii="黑体" w:eastAsia="黑体" w:hAnsi="黑体" w:hint="eastAsia"/>
          <w:b/>
          <w:sz w:val="24"/>
        </w:rPr>
        <w:t>A.4 协议层异常输入黑盒验证样例</w:t>
      </w:r>
      <w:bookmarkEnd w:id="96"/>
      <w:bookmarkEnd w:id="97"/>
    </w:p>
    <w:p w14:paraId="41FA8A05" w14:textId="77777777" w:rsidR="00035316" w:rsidRDefault="00831B25">
      <w:pPr>
        <w:spacing w:line="360" w:lineRule="auto"/>
      </w:pPr>
      <w:r>
        <w:rPr>
          <w:rFonts w:ascii="宋体" w:hAnsi="宋体"/>
          <w:sz w:val="24"/>
        </w:rPr>
        <w:t>代码位置：tools/showcase_protocol_fuzz.py:158</w:t>
      </w:r>
    </w:p>
    <w:p w14:paraId="438DA6FA" w14:textId="77777777" w:rsidR="00035316" w:rsidRDefault="00831B25">
      <w:pPr>
        <w:spacing w:line="360" w:lineRule="auto"/>
        <w:ind w:firstLine="480"/>
      </w:pPr>
      <w:r>
        <w:rPr>
          <w:rFonts w:ascii="宋体" w:hAnsi="宋体"/>
          <w:sz w:val="24"/>
        </w:rPr>
        <w:t>该段代码展示了针对 畸形 multipart header的黑盒测试用例，以及脚本对拦截层级和资源状态的记录方式。</w:t>
      </w:r>
    </w:p>
    <w:p w14:paraId="2C4B9166" w14:textId="77777777" w:rsidR="00035316" w:rsidRDefault="00831B25">
      <w:pPr>
        <w:spacing w:line="360" w:lineRule="auto"/>
      </w:pPr>
      <w:r>
        <w:rPr>
          <w:rFonts w:ascii="宋体" w:hAnsi="宋体"/>
          <w:sz w:val="24"/>
        </w:rPr>
        <w:t>以下仅保留与正文论证直接相关的关键代码节选，已省略无关分支、重复检查与通用异常处理。</w:t>
      </w:r>
    </w:p>
    <w:p w14:paraId="6A15C1F4" w14:textId="77777777" w:rsidR="00035316" w:rsidRDefault="00831B25">
      <w:pPr>
        <w:spacing w:before="20" w:after="80" w:line="259" w:lineRule="auto"/>
        <w:ind w:left="317"/>
      </w:pPr>
      <w:r>
        <w:rPr>
          <w:rFonts w:ascii="Consolas" w:eastAsia="Consolas" w:hAnsi="Consolas"/>
          <w:sz w:val="16"/>
        </w:rPr>
        <w:t>def case_header_null_byte(base_url: str, timeout: float, server_pid: int | None):</w:t>
      </w:r>
      <w:r>
        <w:rPr>
          <w:rFonts w:ascii="Consolas" w:eastAsia="Consolas" w:hAnsi="Consolas"/>
          <w:sz w:val="16"/>
        </w:rPr>
        <w:br/>
        <w:t xml:space="preserve">    boundary = f'nullbyte-{uuid.uuid4().hex}'</w:t>
      </w:r>
      <w:r>
        <w:rPr>
          <w:rFonts w:ascii="Consolas" w:eastAsia="Consolas" w:hAnsi="Consolas"/>
          <w:sz w:val="16"/>
        </w:rPr>
        <w:br/>
        <w:t xml:space="preserve">    header = (</w:t>
      </w:r>
      <w:r>
        <w:rPr>
          <w:rFonts w:ascii="Consolas" w:eastAsia="Consolas" w:hAnsi="Consolas"/>
          <w:sz w:val="16"/>
        </w:rPr>
        <w:br/>
        <w:t xml:space="preserve">        b'Content-Disposition: form-data; '</w:t>
      </w:r>
      <w:r>
        <w:rPr>
          <w:rFonts w:ascii="Consolas" w:eastAsia="Consolas" w:hAnsi="Consolas"/>
          <w:sz w:val="16"/>
        </w:rPr>
        <w:br/>
        <w:t xml:space="preserve">        b'name="domai\x00n"'</w:t>
      </w:r>
      <w:r>
        <w:rPr>
          <w:rFonts w:ascii="Consolas" w:eastAsia="Consolas" w:hAnsi="Consolas"/>
          <w:sz w:val="16"/>
        </w:rPr>
        <w:br/>
        <w:t xml:space="preserve">    )</w:t>
      </w:r>
      <w:r>
        <w:rPr>
          <w:rFonts w:ascii="Consolas" w:eastAsia="Consolas" w:hAnsi="Consolas"/>
          <w:sz w:val="16"/>
        </w:rPr>
        <w:br/>
        <w:t xml:space="preserve">    body = build_custom_body(boundary, header, b'medical')</w:t>
      </w:r>
      <w:r>
        <w:rPr>
          <w:rFonts w:ascii="Consolas" w:eastAsia="Consolas" w:hAnsi="Consolas"/>
          <w:sz w:val="16"/>
        </w:rPr>
        <w:br/>
        <w:t xml:space="preserve">    raw = build_raw_multipart_request(</w:t>
      </w:r>
      <w:r>
        <w:rPr>
          <w:rFonts w:ascii="Consolas" w:eastAsia="Consolas" w:hAnsi="Consolas"/>
          <w:sz w:val="16"/>
        </w:rPr>
        <w:br/>
        <w:t xml:space="preserve">        base_url, boundary_param=f'boundary={boundary}', body=body</w:t>
      </w:r>
      <w:r>
        <w:rPr>
          <w:rFonts w:ascii="Consolas" w:eastAsia="Consolas" w:hAnsi="Consolas"/>
          <w:sz w:val="16"/>
        </w:rPr>
        <w:br/>
        <w:t xml:space="preserve">    )</w:t>
      </w:r>
      <w:r>
        <w:rPr>
          <w:rFonts w:ascii="Consolas" w:eastAsia="Consolas" w:hAnsi="Consolas"/>
          <w:sz w:val="16"/>
        </w:rPr>
        <w:br/>
        <w:t xml:space="preserve">    return capture_case(</w:t>
      </w:r>
      <w:r>
        <w:rPr>
          <w:rFonts w:ascii="Consolas" w:eastAsia="Consolas" w:hAnsi="Consolas"/>
          <w:sz w:val="16"/>
        </w:rPr>
        <w:br/>
        <w:t xml:space="preserve">        name='multipart_header_null_byte_blocked',</w:t>
      </w:r>
      <w:r>
        <w:rPr>
          <w:rFonts w:ascii="Consolas" w:eastAsia="Consolas" w:hAnsi="Consolas"/>
          <w:sz w:val="16"/>
        </w:rPr>
        <w:br/>
        <w:t xml:space="preserve">        action=lambda: send_raw_http(base_url, raw, timeout),</w:t>
      </w:r>
      <w:r>
        <w:rPr>
          <w:rFonts w:ascii="Consolas" w:eastAsia="Consolas" w:hAnsi="Consolas"/>
          <w:sz w:val="16"/>
        </w:rPr>
        <w:br/>
        <w:t xml:space="preserve">        interception_layer='multipart_header_parser',</w:t>
      </w:r>
      <w:r>
        <w:rPr>
          <w:rFonts w:ascii="Consolas" w:eastAsia="Consolas" w:hAnsi="Consolas"/>
          <w:sz w:val="16"/>
        </w:rPr>
        <w:br/>
        <w:t xml:space="preserve">        fallback_layer='mime_tree_validation',</w:t>
      </w:r>
      <w:r>
        <w:rPr>
          <w:rFonts w:ascii="Consolas" w:eastAsia="Consolas" w:hAnsi="Consolas"/>
          <w:sz w:val="16"/>
        </w:rPr>
        <w:br/>
        <w:t xml:space="preserve">    )</w:t>
      </w:r>
    </w:p>
    <w:sectPr w:rsidR="00035316">
      <w:pgSz w:w="11906" w:h="16838"/>
      <w:pgMar w:top="1440" w:right="1466" w:bottom="1440" w:left="16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25B19" w14:textId="77777777" w:rsidR="00355533" w:rsidRDefault="00355533">
      <w:r>
        <w:separator/>
      </w:r>
    </w:p>
  </w:endnote>
  <w:endnote w:type="continuationSeparator" w:id="0">
    <w:p w14:paraId="758F281D" w14:textId="77777777" w:rsidR="00355533" w:rsidRDefault="003555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DFKai-SB">
    <w:altName w:val="Microsoft JhengHei Light"/>
    <w:charset w:val="88"/>
    <w:family w:val="script"/>
    <w:pitch w:val="default"/>
    <w:sig w:usb0="00000000" w:usb1="00000000" w:usb2="00000016" w:usb3="00000000" w:csb0="0010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193D3" w14:textId="77777777" w:rsidR="00035316" w:rsidRDefault="00831B25">
    <w:pPr>
      <w:pStyle w:val="a3"/>
      <w:framePr w:wrap="around"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rPr>
      <w:t>42</w:t>
    </w:r>
    <w:r>
      <w:rPr>
        <w:rStyle w:val="a8"/>
      </w:rPr>
      <w:fldChar w:fldCharType="end"/>
    </w:r>
  </w:p>
  <w:p w14:paraId="6EF0D0CE" w14:textId="77777777" w:rsidR="00035316" w:rsidRDefault="00035316">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F8DA0" w14:textId="77777777" w:rsidR="00355533" w:rsidRDefault="00355533">
      <w:r>
        <w:separator/>
      </w:r>
    </w:p>
  </w:footnote>
  <w:footnote w:type="continuationSeparator" w:id="0">
    <w:p w14:paraId="2E8B1893" w14:textId="77777777" w:rsidR="00355533" w:rsidRDefault="0035553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zNjMDFlOGIyZTljZjIzYzRmYmM3YTdjYzkyZmRjNTgifQ=="/>
  </w:docVars>
  <w:rsids>
    <w:rsidRoot w:val="00840819"/>
    <w:rsid w:val="00035316"/>
    <w:rsid w:val="00036DAB"/>
    <w:rsid w:val="00073EEA"/>
    <w:rsid w:val="000902F2"/>
    <w:rsid w:val="000A6A38"/>
    <w:rsid w:val="000B295B"/>
    <w:rsid w:val="0012253A"/>
    <w:rsid w:val="0014378A"/>
    <w:rsid w:val="001B67F9"/>
    <w:rsid w:val="001F4517"/>
    <w:rsid w:val="00201BE5"/>
    <w:rsid w:val="00247DF0"/>
    <w:rsid w:val="00275F44"/>
    <w:rsid w:val="00283AEB"/>
    <w:rsid w:val="002D2B37"/>
    <w:rsid w:val="002D2C68"/>
    <w:rsid w:val="002D78DE"/>
    <w:rsid w:val="00355533"/>
    <w:rsid w:val="003B30E9"/>
    <w:rsid w:val="003E28F4"/>
    <w:rsid w:val="004017A4"/>
    <w:rsid w:val="00404C1B"/>
    <w:rsid w:val="00407270"/>
    <w:rsid w:val="00424691"/>
    <w:rsid w:val="004C302D"/>
    <w:rsid w:val="004C3E11"/>
    <w:rsid w:val="004E405B"/>
    <w:rsid w:val="004F142C"/>
    <w:rsid w:val="004F303F"/>
    <w:rsid w:val="005011AC"/>
    <w:rsid w:val="005706DD"/>
    <w:rsid w:val="00575B69"/>
    <w:rsid w:val="00594406"/>
    <w:rsid w:val="005C00A0"/>
    <w:rsid w:val="00614673"/>
    <w:rsid w:val="006173FD"/>
    <w:rsid w:val="00626450"/>
    <w:rsid w:val="00676CF0"/>
    <w:rsid w:val="00685973"/>
    <w:rsid w:val="00696535"/>
    <w:rsid w:val="006D00F8"/>
    <w:rsid w:val="006E4B47"/>
    <w:rsid w:val="0071394D"/>
    <w:rsid w:val="00735E04"/>
    <w:rsid w:val="007438F9"/>
    <w:rsid w:val="007863FB"/>
    <w:rsid w:val="007A0845"/>
    <w:rsid w:val="007B4605"/>
    <w:rsid w:val="007E7F65"/>
    <w:rsid w:val="00802BF6"/>
    <w:rsid w:val="00804CF0"/>
    <w:rsid w:val="008233AA"/>
    <w:rsid w:val="00831B25"/>
    <w:rsid w:val="00840819"/>
    <w:rsid w:val="00847112"/>
    <w:rsid w:val="0087039D"/>
    <w:rsid w:val="00882AD1"/>
    <w:rsid w:val="00883C7D"/>
    <w:rsid w:val="008D5AB6"/>
    <w:rsid w:val="009543CE"/>
    <w:rsid w:val="009A0979"/>
    <w:rsid w:val="009C1255"/>
    <w:rsid w:val="009C5E3E"/>
    <w:rsid w:val="009F377B"/>
    <w:rsid w:val="00A247AB"/>
    <w:rsid w:val="00A75EFF"/>
    <w:rsid w:val="00A77804"/>
    <w:rsid w:val="00B33CD8"/>
    <w:rsid w:val="00B36150"/>
    <w:rsid w:val="00B4751C"/>
    <w:rsid w:val="00B52F25"/>
    <w:rsid w:val="00B62FE5"/>
    <w:rsid w:val="00B74C5D"/>
    <w:rsid w:val="00BB4589"/>
    <w:rsid w:val="00BD34E2"/>
    <w:rsid w:val="00BE16EA"/>
    <w:rsid w:val="00C47836"/>
    <w:rsid w:val="00C56672"/>
    <w:rsid w:val="00CE5C25"/>
    <w:rsid w:val="00D362FB"/>
    <w:rsid w:val="00D442AD"/>
    <w:rsid w:val="00D570F5"/>
    <w:rsid w:val="00D906B5"/>
    <w:rsid w:val="00DC1EF7"/>
    <w:rsid w:val="00E47070"/>
    <w:rsid w:val="00E94B67"/>
    <w:rsid w:val="00EB12B1"/>
    <w:rsid w:val="00F55BD1"/>
    <w:rsid w:val="00F72284"/>
    <w:rsid w:val="00F7709C"/>
    <w:rsid w:val="00F85321"/>
    <w:rsid w:val="00F913E8"/>
    <w:rsid w:val="00FD51ED"/>
    <w:rsid w:val="00FF347E"/>
    <w:rsid w:val="011E03C3"/>
    <w:rsid w:val="02DE157B"/>
    <w:rsid w:val="054519AB"/>
    <w:rsid w:val="0AC71B45"/>
    <w:rsid w:val="0ACE309D"/>
    <w:rsid w:val="0D022DAA"/>
    <w:rsid w:val="0E465ACA"/>
    <w:rsid w:val="11F76ABC"/>
    <w:rsid w:val="19090078"/>
    <w:rsid w:val="197A1D0A"/>
    <w:rsid w:val="1B4B3664"/>
    <w:rsid w:val="1EC41121"/>
    <w:rsid w:val="238B5CFB"/>
    <w:rsid w:val="29D87370"/>
    <w:rsid w:val="343447A0"/>
    <w:rsid w:val="381A18D8"/>
    <w:rsid w:val="38DF20AC"/>
    <w:rsid w:val="3F355AC8"/>
    <w:rsid w:val="4A9A12C0"/>
    <w:rsid w:val="4F441016"/>
    <w:rsid w:val="59AC1835"/>
    <w:rsid w:val="5BF81B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0E6605"/>
  <w15:docId w15:val="{BACCB28B-C52E-4976-AD84-087D64747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lang w:val="zh-CN"/>
    </w:rPr>
  </w:style>
  <w:style w:type="paragraph" w:styleId="a5">
    <w:name w:val="header"/>
    <w:basedOn w:val="a"/>
    <w:link w:val="a6"/>
    <w:qFormat/>
    <w:pPr>
      <w:pBdr>
        <w:bottom w:val="single" w:sz="6" w:space="1" w:color="auto"/>
      </w:pBdr>
      <w:tabs>
        <w:tab w:val="center" w:pos="4153"/>
        <w:tab w:val="right" w:pos="8306"/>
      </w:tabs>
      <w:snapToGrid w:val="0"/>
      <w:jc w:val="center"/>
    </w:pPr>
    <w:rPr>
      <w:sz w:val="18"/>
      <w:szCs w:val="18"/>
      <w:lang w:val="zh-CN"/>
    </w:rPr>
  </w:style>
  <w:style w:type="paragraph" w:styleId="TOC1">
    <w:name w:val="toc 1"/>
    <w:basedOn w:val="a"/>
    <w:next w:val="a"/>
    <w:uiPriority w:val="39"/>
    <w:qFormat/>
    <w:rPr>
      <w:rFonts w:ascii="黑体" w:eastAsia="黑体" w:hAnsi="黑体" w:hint="eastAsia"/>
      <w:color w:val="000000"/>
      <w:sz w:val="28"/>
    </w:rPr>
  </w:style>
  <w:style w:type="paragraph" w:styleId="TOC2">
    <w:name w:val="toc 2"/>
    <w:basedOn w:val="a"/>
    <w:next w:val="a"/>
    <w:uiPriority w:val="39"/>
    <w:qFormat/>
    <w:pPr>
      <w:ind w:leftChars="200" w:left="420"/>
    </w:pPr>
    <w:rPr>
      <w:rFonts w:ascii="黑体" w:eastAsia="黑体" w:hAnsi="黑体" w:hint="eastAsia"/>
      <w:color w:val="000000"/>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0"/>
    <w:qFormat/>
  </w:style>
  <w:style w:type="character" w:styleId="a9">
    <w:name w:val="Hyperlink"/>
    <w:uiPriority w:val="99"/>
    <w:qFormat/>
    <w:rPr>
      <w:color w:val="000000"/>
      <w:u w:val="none"/>
    </w:rPr>
  </w:style>
  <w:style w:type="character" w:customStyle="1" w:styleId="a6">
    <w:name w:val="页眉 字符"/>
    <w:link w:val="a5"/>
    <w:qFormat/>
    <w:rPr>
      <w:kern w:val="2"/>
      <w:sz w:val="18"/>
      <w:szCs w:val="18"/>
    </w:rPr>
  </w:style>
  <w:style w:type="character" w:customStyle="1" w:styleId="a4">
    <w:name w:val="页脚 字符"/>
    <w:link w:val="a3"/>
    <w:qFormat/>
    <w:rPr>
      <w:kern w:val="2"/>
      <w:sz w:val="18"/>
      <w:szCs w:val="18"/>
    </w:rPr>
  </w:style>
  <w:style w:type="character" w:customStyle="1" w:styleId="10">
    <w:name w:val="标题 1 字符"/>
    <w:link w:val="1"/>
    <w:qFormat/>
    <w:rPr>
      <w:b/>
      <w:bCs/>
      <w:kern w:val="44"/>
      <w:sz w:val="44"/>
      <w:szCs w:val="44"/>
    </w:rPr>
  </w:style>
  <w:style w:type="paragraph" w:customStyle="1" w:styleId="11">
    <w:name w:val="正文1"/>
    <w:basedOn w:val="a"/>
    <w:qFormat/>
    <w:pPr>
      <w:ind w:firstLineChars="200" w:firstLine="420"/>
    </w:pPr>
    <w:rPr>
      <w:szCs w:val="20"/>
    </w:rPr>
  </w:style>
  <w:style w:type="paragraph" w:styleId="TOC3">
    <w:name w:val="toc 3"/>
    <w:basedOn w:val="a"/>
    <w:next w:val="a"/>
    <w:autoRedefine/>
    <w:uiPriority w:val="39"/>
    <w:rsid w:val="007863FB"/>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localhost"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EA83B-8138-47F9-9BC9-779B2DCA4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8675</Words>
  <Characters>49451</Characters>
  <Application>Microsoft Office Word</Application>
  <DocSecurity>0</DocSecurity>
  <Lines>412</Lines>
  <Paragraphs>116</Paragraphs>
  <ScaleCrop>false</ScaleCrop>
  <Company/>
  <LinksUpToDate>false</LinksUpToDate>
  <CharactersWithSpaces>58010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lukeyoyo</dc:creator>
  <cp:lastModifiedBy>浩嘉 申</cp:lastModifiedBy>
  <cp:revision>16</cp:revision>
  <dcterms:created xsi:type="dcterms:W3CDTF">2024-04-05T12:59:00Z</dcterms:created>
  <dcterms:modified xsi:type="dcterms:W3CDTF">2026-05-29T15:25:00Z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33745453A69549B59CC2F159366E11F4_13</vt:lpwstr>
  </property>
  <property fmtid="{D5CDD505-2E9C-101B-9397-08002B2CF9AE}" pid="4" name="KSOTemplateDocerSaveRecord">
    <vt:lpwstr>eyJoZGlkIjoiNDkxN2E2M2U1YjY4ZGQwMzM3OTkwOTFlYmVhOGQzYzQiLCJ1c2VySWQiOiIxMjY2MjgyODU3In0=</vt:lpwstr>
  </property>
</Properties>
</file>