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400"/>
        <w:jc w:val="center"/>
      </w:pPr>
      <w:r>
        <w:rPr>
          <w:rFonts w:ascii="黑体" w:hAnsi="黑体" w:eastAsia="黑体"/>
          <w:b w:val="0"/>
          <w:sz w:val="52"/>
        </w:rPr>
        <w:t>2025年全国大学生信息安全竞赛</w:t>
      </w:r>
    </w:p>
    <w:p>
      <w:pPr>
        <w:spacing w:line="360" w:lineRule="auto" w:after="800"/>
        <w:jc w:val="center"/>
      </w:pPr>
      <w:r>
        <w:rPr>
          <w:rFonts w:ascii="黑体" w:hAnsi="黑体" w:eastAsia="黑体"/>
          <w:b w:val="0"/>
          <w:sz w:val="52"/>
        </w:rPr>
        <w:t>作品报告</w:t>
      </w:r>
    </w:p>
    <w:p>
      <w:pPr>
        <w:spacing w:line="360" w:lineRule="auto" w:after="200"/>
      </w:pPr>
      <w:r>
        <w:rPr>
          <w:rFonts w:ascii="黑体" w:hAnsi="黑体" w:eastAsia="黑体"/>
          <w:b w:val="0"/>
          <w:sz w:val="32"/>
        </w:rPr>
        <w:t>作品名称：Transshield：基于MPC的隐私保护视觉推理框架</w:t>
      </w:r>
    </w:p>
    <w:p>
      <w:pPr>
        <w:spacing w:line="360" w:lineRule="auto" w:after="200"/>
      </w:pPr>
      <w:r>
        <w:rPr>
          <w:rFonts w:ascii="黑体" w:hAnsi="黑体" w:eastAsia="黑体"/>
          <w:b w:val="0"/>
          <w:sz w:val="32"/>
        </w:rPr>
        <w:t>电子邮箱：</w:t>
      </w:r>
    </w:p>
    <w:p>
      <w:pPr>
        <w:spacing w:line="360" w:lineRule="auto" w:after="600"/>
      </w:pPr>
      <w:r>
        <w:rPr>
          <w:rFonts w:ascii="黑体" w:hAnsi="黑体" w:eastAsia="黑体"/>
          <w:b w:val="0"/>
          <w:sz w:val="32"/>
        </w:rPr>
        <w:t>提交日期：2025年5月</w:t>
      </w:r>
    </w:p>
    <w:p>
      <w:r>
        <w:br w:type="page"/>
      </w:r>
    </w:p>
    <w:p>
      <w:pPr>
        <w:spacing w:line="360" w:lineRule="auto" w:after="400"/>
        <w:jc w:val="center"/>
      </w:pPr>
      <w:r>
        <w:rPr>
          <w:rFonts w:ascii="黑体" w:hAnsi="黑体" w:eastAsia="黑体"/>
          <w:b w:val="0"/>
          <w:sz w:val="32"/>
        </w:rPr>
        <w:t>目     录</w:t>
      </w:r>
    </w:p>
    <w:p>
      <w:pPr>
        <w:spacing w:line="360" w:lineRule="auto" w:after="100"/>
      </w:pPr>
      <w:r>
        <w:rPr>
          <w:rFonts w:ascii="宋体" w:hAnsi="宋体" w:eastAsia="宋体"/>
          <w:b w:val="0"/>
          <w:sz w:val="32"/>
        </w:rPr>
        <w:t>摘要</w:t>
      </w:r>
    </w:p>
    <w:p>
      <w:pPr>
        <w:spacing w:line="360" w:lineRule="auto" w:after="100"/>
      </w:pPr>
      <w:r>
        <w:rPr>
          <w:rFonts w:ascii="宋体" w:hAnsi="宋体" w:eastAsia="宋体"/>
          <w:b w:val="0"/>
          <w:sz w:val="32"/>
        </w:rPr>
        <w:t>第一章 作品概述</w:t>
      </w:r>
    </w:p>
    <w:p>
      <w:pPr>
        <w:spacing w:line="360" w:lineRule="auto" w:after="100"/>
      </w:pPr>
      <w:r>
        <w:rPr>
          <w:rFonts w:ascii="宋体" w:hAnsi="宋体" w:eastAsia="宋体"/>
          <w:b w:val="0"/>
          <w:sz w:val="32"/>
        </w:rPr>
        <w:t>第二章 作品设计与实现</w:t>
      </w:r>
    </w:p>
    <w:p>
      <w:pPr>
        <w:spacing w:line="360" w:lineRule="auto" w:after="100"/>
      </w:pPr>
      <w:r>
        <w:rPr>
          <w:rFonts w:ascii="宋体" w:hAnsi="宋体" w:eastAsia="宋体"/>
          <w:b w:val="0"/>
          <w:sz w:val="32"/>
        </w:rPr>
        <w:t>第三章 作品测试与分析</w:t>
      </w:r>
    </w:p>
    <w:p>
      <w:pPr>
        <w:spacing w:line="360" w:lineRule="auto" w:after="100"/>
      </w:pPr>
      <w:r>
        <w:rPr>
          <w:rFonts w:ascii="宋体" w:hAnsi="宋体" w:eastAsia="宋体"/>
          <w:b w:val="0"/>
          <w:sz w:val="32"/>
        </w:rPr>
        <w:t>第四章 创新性说明</w:t>
      </w:r>
    </w:p>
    <w:p>
      <w:pPr>
        <w:spacing w:line="360" w:lineRule="auto" w:after="100"/>
      </w:pPr>
      <w:r>
        <w:rPr>
          <w:rFonts w:ascii="宋体" w:hAnsi="宋体" w:eastAsia="宋体"/>
          <w:b w:val="0"/>
          <w:sz w:val="32"/>
        </w:rPr>
        <w:t>第五章 总结</w:t>
      </w:r>
    </w:p>
    <w:p>
      <w:pPr>
        <w:spacing w:line="360" w:lineRule="auto" w:after="100"/>
      </w:pPr>
      <w:r>
        <w:rPr>
          <w:rFonts w:ascii="宋体" w:hAnsi="宋体" w:eastAsia="宋体"/>
          <w:b w:val="0"/>
          <w:sz w:val="32"/>
        </w:rPr>
        <w:t>参考文献</w:t>
      </w:r>
    </w:p>
    <w:p>
      <w:r>
        <w:br w:type="page"/>
      </w:r>
    </w:p>
    <w:p>
      <w:pPr>
        <w:spacing w:line="360" w:lineRule="auto" w:after="200"/>
      </w:pPr>
      <w:r>
        <w:rPr>
          <w:rFonts w:ascii="黑体" w:hAnsi="黑体" w:eastAsia="黑体"/>
          <w:b/>
          <w:sz w:val="32"/>
        </w:rPr>
        <w:t>摘要</w:t>
      </w:r>
    </w:p>
    <w:p>
      <w:pPr>
        <w:spacing w:line="360" w:lineRule="auto" w:after="200"/>
      </w:pPr>
      <w:r>
        <w:t>随着医疗影像和金融数据的广泛应用，数据隐私保护成为亟待解决的关键问题。本文提出Transshield，一个基于安全多方计算（MPC）的隐私保护视觉推理框架。本作品的动机在于解决医疗和金融领域中数据共享与隐私保护的矛盾。</w:t>
        <w:br/>
        <w:br/>
        <w:t>核心功能包括：（1）双向隐私保护，服务器看不到客户端图片，客户端获取不到模型参数；（2）端到端安全推理，基于DynamicViT实现完整的MPC安全前向传播；（3）双领域统一，医疗影像和金融风控使用相同技术栈。</w:t>
        <w:br/>
        <w:br/>
        <w:t>本作品具有5个核心创新点：Pruning Boundary协议友好重写、端到端隐私保护SPU Forward、Bitonic Sort安全Top-K、MPC-Friendly算子族、LUT GELU高精度激活函数。其中LUT GELU实现97.33%分类精度，相比fixed_square提升20.61个百分点。</w:t>
        <w:br/>
        <w:br/>
        <w:t>实用性方面，本框架支持城市三甲医院、县级医院、乡村医院等不同场景的部署方案，单样本推理时间从69秒到150秒不等，满足实际应用需求。</w:t>
      </w:r>
    </w:p>
    <w:p>
      <w:r>
        <w:br w:type="page"/>
      </w:r>
    </w:p>
    <w:p>
      <w:pPr>
        <w:spacing w:line="360" w:lineRule="auto" w:after="200"/>
      </w:pPr>
      <w:r>
        <w:rPr>
          <w:rFonts w:ascii="黑体" w:hAnsi="黑体" w:eastAsia="黑体"/>
          <w:b/>
          <w:sz w:val="32"/>
        </w:rPr>
        <w:t>第一章 作品概述</w:t>
      </w:r>
    </w:p>
    <w:p>
      <w:pPr>
        <w:spacing w:line="360" w:lineRule="auto" w:after="200"/>
      </w:pPr>
      <w:r>
        <w:rPr>
          <w:rFonts w:ascii="黑体" w:hAnsi="黑体" w:eastAsia="黑体"/>
          <w:b/>
          <w:sz w:val="28"/>
        </w:rPr>
        <w:t>1.1 背景分析</w:t>
      </w:r>
    </w:p>
    <w:p>
      <w:pPr>
        <w:spacing w:line="360" w:lineRule="auto" w:after="200"/>
      </w:pPr>
      <w:r>
        <w:rPr>
          <w:rFonts w:ascii="宋体" w:hAnsi="宋体" w:eastAsia="宋体"/>
          <w:b w:val="0"/>
          <w:sz w:val="24"/>
        </w:rPr>
        <w:t>在医疗领域，医院需要借助AI模型辅助诊断，但患者隐私数据（如X光片）不能直接传输给第三方服务器。在金融领域，银行需要利用AI模型进行欺诈检测，但交易数据涉及商业机密。传统方案要么牺牲隐私（上传明文数据），要么牺牲效率（使用同态加密等高开销方案）。</w:t>
        <w:br/>
        <w:br/>
        <w:t>安全多方计算（MPC）提供了一种平衡方案：多方在不暴露各自输入的前提下共同计算函数结果。然而，将现有的视觉模型（如ViT）部署到MPC环境面临巨大挑战：标准算子（softmax、GELU等）在MPC下计算开销极高，动态shape操作无法直接映射到静态计算图。</w:t>
      </w:r>
    </w:p>
    <w:p>
      <w:pPr>
        <w:spacing w:line="360" w:lineRule="auto" w:after="200"/>
      </w:pPr>
      <w:r>
        <w:rPr>
          <w:rFonts w:ascii="黑体" w:hAnsi="黑体" w:eastAsia="黑体"/>
          <w:b/>
          <w:sz w:val="28"/>
        </w:rPr>
        <w:t>1.2 相关工作</w:t>
      </w:r>
    </w:p>
    <w:p>
      <w:pPr>
        <w:spacing w:line="360" w:lineRule="auto" w:after="200"/>
      </w:pPr>
      <w:r>
        <w:rPr>
          <w:rFonts w:ascii="宋体" w:hAnsi="宋体" w:eastAsia="宋体"/>
          <w:b w:val="0"/>
          <w:sz w:val="24"/>
        </w:rPr>
        <w:t>当前隐私保护推理的主要方案包括：</w:t>
        <w:br/>
        <w:br/>
        <w:t>（1）同态加密（HE）：计算开销极高，单张图片推理可能需要数小时；</w:t>
        <w:br/>
        <w:t>（2）安全多方计算（MPC）：如ABY、ABY3等框架，支持算术/布尔/姚氏三种秘密共享形式；</w:t>
        <w:br/>
        <w:t>（3）可信执行环境（TEE）：如Intel SGX，依赖硬件安全，存在侧信道攻击风险；</w:t>
        <w:br/>
        <w:t>（4）差分隐私：提供统计隐私保证，但无法保护单个样本。</w:t>
        <w:br/>
        <w:br/>
        <w:t>本项目基于SPU（Secure Processing Unit）框架实现MPC安全推理，SPU底层支持ABY3和Cheetah两种协议，能够高效执行矩阵运算和比较操作。</w:t>
      </w:r>
    </w:p>
    <w:p>
      <w:pPr>
        <w:spacing w:line="360" w:lineRule="auto" w:after="200"/>
      </w:pPr>
      <w:r>
        <w:rPr>
          <w:rFonts w:ascii="黑体" w:hAnsi="黑体" w:eastAsia="黑体"/>
          <w:b/>
          <w:sz w:val="28"/>
        </w:rPr>
        <w:t>1.3 特色描述</w:t>
      </w:r>
    </w:p>
    <w:p>
      <w:pPr>
        <w:spacing w:line="360" w:lineRule="auto" w:after="200"/>
      </w:pPr>
      <w:r>
        <w:rPr>
          <w:rFonts w:ascii="宋体" w:hAnsi="宋体" w:eastAsia="宋体"/>
          <w:b w:val="0"/>
          <w:sz w:val="24"/>
        </w:rPr>
        <w:t>本作品的核心特色：</w:t>
        <w:br/>
        <w:br/>
        <w:t>（1）双向隐私保护：不仅保护患者/客户数据隐私，还保护模型提供方的知识产权；</w:t>
        <w:br/>
        <w:t>（2）端到端安全推理：从输入到输出全程加密，无需任何明文中间结果；</w:t>
        <w:br/>
        <w:t>（3）双领域统一：医疗和金融使用相同的技术栈，降低开发和维护成本；</w:t>
        <w:br/>
        <w:t>（4）灵活部署：支持不同性能服务器的多种配置方案；</w:t>
        <w:br/>
        <w:t>（5）高精度：安全推理精度与明文推理基本持平，部分配置甚至优于baseline。</w:t>
      </w:r>
    </w:p>
    <w:p>
      <w:r>
        <w:br w:type="page"/>
      </w:r>
    </w:p>
    <w:p>
      <w:pPr>
        <w:spacing w:line="360" w:lineRule="auto" w:after="200"/>
      </w:pPr>
      <w:r>
        <w:rPr>
          <w:rFonts w:ascii="黑体" w:hAnsi="黑体" w:eastAsia="黑体"/>
          <w:b/>
          <w:sz w:val="32"/>
        </w:rPr>
        <w:t>第二章 作品设计与实现</w:t>
      </w:r>
    </w:p>
    <w:p>
      <w:pPr>
        <w:spacing w:line="360" w:lineRule="auto" w:after="200"/>
      </w:pPr>
      <w:r>
        <w:rPr>
          <w:rFonts w:ascii="黑体" w:hAnsi="黑体" w:eastAsia="黑体"/>
          <w:b/>
          <w:sz w:val="28"/>
        </w:rPr>
        <w:t>2.1 系统方案</w:t>
      </w:r>
    </w:p>
    <w:p>
      <w:pPr>
        <w:spacing w:line="360" w:lineRule="auto" w:after="200"/>
      </w:pPr>
      <w:r>
        <w:rPr>
          <w:rFonts w:ascii="宋体" w:hAnsi="宋体" w:eastAsia="宋体"/>
          <w:b w:val="0"/>
          <w:sz w:val="24"/>
        </w:rPr>
        <w:t>Transshield系统由以下组件构成：</w:t>
        <w:br/>
        <w:br/>
        <w:t>（1）客户端（数据使用方）：负责图像预处理、秘密分享生成、结果接收；</w:t>
        <w:br/>
        <w:t>（2）SPU服务端（模型提供方）：部署SPU运行时，执行安全推理；</w:t>
        <w:br/>
        <w:t>（3）模型层：基于DeiT-Small架构的DynamicViT，支持token pruning；</w:t>
        <w:br/>
        <w:t>（4）安全层：SPU MPC运行时，支持secret share和secure computation。</w:t>
        <w:br/>
        <w:br/>
        <w:t>系统工作流程：</w:t>
        <w:br/>
        <w:t>1. 客户端将图像预处理为tensor，生成两份秘密分享份额；</w:t>
        <w:br/>
        <w:t>2. 两份份额分别发送给SPU的两个虚拟参与方（P0和P1）；</w:t>
        <w:br/>
        <w:t>3. SPU在密文上执行完整的Transformer前向传播；</w:t>
        <w:br/>
        <w:t>4. 最终logits结果返回客户端，客户端解密得到分类结果。</w:t>
      </w:r>
    </w:p>
    <w:p>
      <w:pPr>
        <w:spacing w:line="360" w:lineRule="auto" w:after="200"/>
      </w:pPr>
      <w:r>
        <w:rPr>
          <w:rFonts w:ascii="黑体" w:hAnsi="黑体" w:eastAsia="黑体"/>
          <w:b/>
          <w:sz w:val="28"/>
        </w:rPr>
        <w:t>2.2 核心实现</w:t>
      </w:r>
    </w:p>
    <w:p>
      <w:pPr>
        <w:spacing w:line="360" w:lineRule="auto" w:after="200"/>
      </w:pPr>
      <w:r>
        <w:rPr>
          <w:rFonts w:ascii="宋体" w:hAnsi="宋体" w:eastAsia="宋体"/>
          <w:b w:val="0"/>
          <w:sz w:val="24"/>
        </w:rPr>
        <w:t>核心实现包括以下关键技术：</w:t>
        <w:br/>
        <w:br/>
        <w:t>（1）Pruning Boundary协议友好重写</w:t>
        <w:br/>
        <w:t>将DynamicViT的token pruning从"删除式表达"改写为"masking-friendly表达"：</w:t>
        <w:br/>
        <w:t xml:space="preserve">  - masking → F_mux：token keep/drop的掩码操作改写为MPC友好的多路选择函数</w:t>
        <w:br/>
        <w:t xml:space="preserve">  - threshold compare → F_less：pruning threshold比较改写为MPC友好的安全比较函数</w:t>
        <w:br/>
        <w:br/>
        <w:t>（2）Encoded-Key Bitonic Sort</w:t>
        <w:br/>
        <w:t>实现MPC友好的Top-K选择，用于token pruning决策：</w:t>
        <w:br/>
        <w:t xml:space="preserve">  - encoded_key = score - index * 1e-6，保证tie-breaking语义</w:t>
        <w:br/>
        <w:t xml:space="preserve">  - bitonic sort O(n log²n)复杂度，支持并行比较</w:t>
        <w:br/>
        <w:t xml:space="preserve">  - 全jnp.where条件赋值，消除boolean fancy indexing</w:t>
        <w:br/>
        <w:br/>
        <w:t>（3）MPC-Friendly算子族</w:t>
        <w:br/>
        <w:t xml:space="preserve">  - Attention：uniform attention（mean pooling）替代softmax</w:t>
        <w:br/>
        <w:t xml:space="preserve">  - Activation：fixed_square（x²）替代GELU</w:t>
        <w:br/>
        <w:t xml:space="preserve">  - LayerNorm：exact LayerNorm保持数值稳定性</w:t>
        <w:br/>
        <w:br/>
        <w:t>（4）静态剪枝（深度截断）</w:t>
        <w:br/>
        <w:t xml:space="preserve">  - depth=12 → depth=10，减少16.7%计算量</w:t>
        <w:br/>
        <w:t xml:space="preserve">  - 3.07倍推理加速，argmax精度+3.24pp</w:t>
        <w:br/>
        <w:br/>
        <w:t>（5）SVD低秩分解</w:t>
        <w:br/>
        <w:t xml:space="preserve">  - 线性层SVD分解，rank=192</w:t>
        <w:br/>
        <w:t xml:space="preserve">  - 参数量压缩至68.39%</w:t>
        <w:br/>
        <w:t xml:space="preserve">  - SPU merged模式下保持单次matmul</w:t>
      </w:r>
    </w:p>
    <w:p>
      <w:r>
        <w:br w:type="page"/>
      </w:r>
    </w:p>
    <w:p>
      <w:pPr>
        <w:spacing w:line="360" w:lineRule="auto" w:after="200"/>
      </w:pPr>
      <w:r>
        <w:rPr>
          <w:rFonts w:ascii="黑体" w:hAnsi="黑体" w:eastAsia="黑体"/>
          <w:b/>
          <w:sz w:val="32"/>
        </w:rPr>
        <w:t>第三章 作品测试与分析</w:t>
      </w:r>
    </w:p>
    <w:p>
      <w:pPr>
        <w:spacing w:line="360" w:lineRule="auto" w:after="200"/>
      </w:pPr>
      <w:r>
        <w:rPr>
          <w:rFonts w:ascii="黑体" w:hAnsi="黑体" w:eastAsia="黑体"/>
          <w:b/>
          <w:sz w:val="28"/>
        </w:rPr>
        <w:t>3.1 测试环境</w:t>
      </w:r>
    </w:p>
    <w:p>
      <w:pPr>
        <w:spacing w:line="360" w:lineRule="auto" w:after="200"/>
      </w:pPr>
      <w:r>
        <w:rPr>
          <w:rFonts w:ascii="宋体" w:hAnsi="宋体" w:eastAsia="宋体"/>
          <w:b w:val="0"/>
          <w:sz w:val="24"/>
        </w:rPr>
        <w:t>测试环境配置：</w:t>
        <w:br/>
        <w:br/>
        <w:t>（1）硬件环境：服务器（Intel Xeon, 128GB RAM）</w:t>
        <w:br/>
        <w:t>（2）软件环境：Ubuntu 20.04, Python 3.10, JAX 0.4.x, SPU 0.9.x</w:t>
        <w:br/>
        <w:t>（3）数据集：</w:t>
        <w:br/>
        <w:t xml:space="preserve">  - 医疗：PneumoniaMNIST（524张胸部X光图像，2类分类）</w:t>
        <w:br/>
        <w:t xml:space="preserve">  - 金融：finance_fraud_v3（200张交易图像，2类分类）</w:t>
        <w:br/>
        <w:t>（4）模型：DeiT-Small (embed_dim=384, num_heads=6)</w:t>
        <w:br/>
        <w:t>（5）安全配置：SPU FM64, fxp=16, secret mode</w:t>
      </w:r>
    </w:p>
    <w:p>
      <w:pPr>
        <w:spacing w:line="360" w:lineRule="auto" w:after="200"/>
      </w:pPr>
      <w:r>
        <w:rPr>
          <w:rFonts w:ascii="黑体" w:hAnsi="黑体" w:eastAsia="黑体"/>
          <w:b/>
          <w:sz w:val="28"/>
        </w:rPr>
        <w:t>3.2 医疗模型测试结果</w:t>
      </w:r>
    </w:p>
    <w:p>
      <w:pPr>
        <w:spacing w:line="360" w:lineRule="auto" w:after="200"/>
      </w:pPr>
      <w:r>
        <w:rPr>
          <w:rFonts w:ascii="宋体" w:hAnsi="宋体" w:eastAsia="宋体"/>
          <w:b w:val="0"/>
          <w:sz w:val="24"/>
        </w:rPr>
        <w:t>医疗模型（PneumoniaMNIST）测试结果：</w:t>
        <w:br/>
        <w:br/>
        <w:t>Baseline（depth=12）：</w:t>
        <w:br/>
        <w:t xml:space="preserve">  - 单样本推理时间：213.9秒</w:t>
        <w:br/>
        <w:t xml:space="preserve">  - argmax accuracy：76.72% (fixed_square)</w:t>
        <w:br/>
        <w:t xml:space="preserve">  - threshold accuracy：79.96%</w:t>
        <w:br/>
        <w:br/>
        <w:t>最优配置（depth=10 + batch12 + LRD rank=192）：</w:t>
        <w:br/>
        <w:t xml:space="preserve">  - 单样本推理时间：69.57秒（3.07倍加速）</w:t>
        <w:br/>
        <w:t xml:space="preserve">  - argmax accuracy：97.33%（校准后）</w:t>
        <w:br/>
        <w:t xml:space="preserve">  - threshold accuracy：92.44%</w:t>
        <w:br/>
        <w:t xml:space="preserve">  - 参数量：68.39%（LRD压缩后）</w:t>
        <w:br/>
        <w:br/>
        <w:t>部署方案对比：</w:t>
        <w:br/>
        <w:t>| 方案 | 配置 | 推理时间 | 精度 |</w:t>
        <w:br/>
        <w:t>|------|------|----------|------|</w:t>
        <w:br/>
        <w:t>| A（城市三甲） | depth10+batch12 | 69.57s | 97.33% |</w:t>
        <w:br/>
        <w:t>| B（县级医院） | depth10+batch8 | ~100s | ~90% |</w:t>
        <w:br/>
        <w:t>| C（乡村医院） | depth10+batch4 | ~150s | ~88% |</w:t>
      </w:r>
    </w:p>
    <w:p>
      <w:pPr>
        <w:spacing w:line="360" w:lineRule="auto" w:after="200"/>
      </w:pPr>
      <w:r>
        <w:rPr>
          <w:rFonts w:ascii="黑体" w:hAnsi="黑体" w:eastAsia="黑体"/>
          <w:b/>
          <w:sz w:val="28"/>
        </w:rPr>
        <w:t>3.3 金融模型测试结果</w:t>
      </w:r>
    </w:p>
    <w:p>
      <w:pPr>
        <w:spacing w:line="360" w:lineRule="auto" w:after="200"/>
      </w:pPr>
      <w:r>
        <w:rPr>
          <w:rFonts w:ascii="宋体" w:hAnsi="宋体" w:eastAsia="宋体"/>
          <w:b w:val="0"/>
          <w:sz w:val="24"/>
        </w:rPr>
        <w:t>金融模型（finance_fraud_v3）测试结果：</w:t>
        <w:br/>
        <w:br/>
        <w:t>Baseline（depth=12）：</w:t>
        <w:br/>
        <w:t xml:space="preserve">  - 单样本推理时间：~200秒</w:t>
        <w:br/>
        <w:t xml:space="preserve">  - accuracy：100%</w:t>
        <w:br/>
        <w:br/>
        <w:t>最优配置（depth=12 + LRD rank=192）：</w:t>
        <w:br/>
        <w:t xml:space="preserve">  - 单样本推理时间：24.55秒</w:t>
        <w:br/>
        <w:t xml:space="preserve">  - accuracy：100%</w:t>
        <w:br/>
        <w:t xml:space="preserve">  - 参数量：68.39%（LRD压缩后）</w:t>
        <w:br/>
        <w:br/>
        <w:t>金融模型精度保持100%，主要因为数据集较小（200样本）且分类任务相对简单。</w:t>
      </w:r>
    </w:p>
    <w:p>
      <w:pPr>
        <w:spacing w:line="360" w:lineRule="auto" w:after="200"/>
      </w:pPr>
      <w:r>
        <w:rPr>
          <w:rFonts w:ascii="黑体" w:hAnsi="黑体" w:eastAsia="黑体"/>
          <w:b/>
          <w:sz w:val="28"/>
        </w:rPr>
        <w:t>3.4 隐私保护验证</w:t>
      </w:r>
    </w:p>
    <w:p>
      <w:pPr>
        <w:spacing w:line="360" w:lineRule="auto" w:after="200"/>
      </w:pPr>
      <w:r>
        <w:rPr>
          <w:rFonts w:ascii="宋体" w:hAnsi="宋体" w:eastAsia="宋体"/>
          <w:b w:val="0"/>
          <w:sz w:val="24"/>
        </w:rPr>
        <w:t>隐私保护验证结果：</w:t>
        <w:br/>
        <w:br/>
        <w:t>（1）服务器看不到客户端图片：</w:t>
        <w:br/>
        <w:t xml:space="preserve">  - host_plaintext_pixel_values_materialized = false</w:t>
        <w:br/>
        <w:t xml:space="preserve">  - 客户端图片通过秘密分享分散，服务器只能看到加密份额</w:t>
        <w:br/>
        <w:br/>
        <w:t>（2）客户端获取不到模型参数：</w:t>
        <w:br/>
        <w:t xml:space="preserve">  - host_model_params_materialized = false</w:t>
        <w:br/>
        <w:t xml:space="preserve">  - 模型参数在SPU内部以secret share形式执行</w:t>
        <w:br/>
        <w:t xml:space="preserve">  - 客户端只能获取最终logits，无法获取模型权重</w:t>
        <w:br/>
        <w:br/>
        <w:t>（3）只暴露最终结果：</w:t>
        <w:br/>
        <w:t xml:space="preserve">  - reveal_policy = final_logits_only</w:t>
        <w:br/>
        <w:t xml:space="preserve">  - 中间特征、pruning决策等均不暴露</w:t>
      </w:r>
    </w:p>
    <w:p>
      <w:r>
        <w:br w:type="page"/>
      </w:r>
    </w:p>
    <w:p>
      <w:pPr>
        <w:spacing w:line="360" w:lineRule="auto" w:after="200"/>
      </w:pPr>
      <w:r>
        <w:rPr>
          <w:rFonts w:ascii="黑体" w:hAnsi="黑体" w:eastAsia="黑体"/>
          <w:b/>
          <w:sz w:val="32"/>
        </w:rPr>
        <w:t>第四章 创新性说明</w:t>
      </w:r>
    </w:p>
    <w:p>
      <w:pPr>
        <w:spacing w:line="360" w:lineRule="auto" w:after="200"/>
      </w:pPr>
      <w:r>
        <w:t>本作品具有5个核心创新点，形成完整的技术闭环：</w:t>
      </w:r>
    </w:p>
    <w:p>
      <w:pPr>
        <w:spacing w:line="360" w:lineRule="auto" w:after="100"/>
      </w:pPr>
      <w:r>
        <w:rPr>
          <w:rFonts w:ascii="黑体" w:hAnsi="黑体" w:eastAsia="黑体"/>
          <w:b/>
          <w:sz w:val="24"/>
        </w:rPr>
        <w:t>创新点1：DynamicViT Pruning Boundary的协议友好重写</w:t>
      </w:r>
    </w:p>
    <w:p>
      <w:pPr>
        <w:spacing w:line="360" w:lineRule="auto" w:after="200"/>
      </w:pPr>
      <w:r>
        <w:rPr>
          <w:rFonts w:ascii="宋体" w:hAnsi="宋体" w:eastAsia="宋体"/>
          <w:b w:val="0"/>
          <w:sz w:val="24"/>
        </w:rPr>
        <w:t>将原始DynamicViT的token pruning决策边界从删除式表达重写为MPC友好的F_mux/F_less接口。首次将DynamicViT的pruning boundary显式映射到MPC友好的接口，解决了动态shape在MPC环境中的兼容性问题。验证：boundary_kth_check_passed=true，max_abs_error=1.28e-05。</w:t>
      </w:r>
    </w:p>
    <w:p>
      <w:pPr>
        <w:spacing w:line="360" w:lineRule="auto" w:after="100"/>
      </w:pPr>
      <w:r>
        <w:rPr>
          <w:rFonts w:ascii="黑体" w:hAnsi="黑体" w:eastAsia="黑体"/>
          <w:b/>
          <w:sz w:val="24"/>
        </w:rPr>
        <w:t>创新点2：端到端隐私保护的SPU Forward实现</w:t>
      </w:r>
    </w:p>
    <w:p>
      <w:pPr>
        <w:spacing w:line="360" w:lineRule="auto" w:after="200"/>
      </w:pPr>
      <w:r>
        <w:rPr>
          <w:rFonts w:ascii="宋体" w:hAnsi="宋体" w:eastAsia="宋体"/>
          <w:b w:val="0"/>
          <w:sz w:val="24"/>
        </w:rPr>
        <w:t>实现完整的SPU forward路径，PredictorLG在SPU内部安全执行，满足双向隐私约束。首次在DynamicViT上实现PredictorLG完全在SPU内部执行的端到端隐私推理。验证：host_model_params_materialized=false，heldout238 accuracy=92.44%。</w:t>
      </w:r>
    </w:p>
    <w:p>
      <w:pPr>
        <w:spacing w:line="360" w:lineRule="auto" w:after="100"/>
      </w:pPr>
      <w:r>
        <w:rPr>
          <w:rFonts w:ascii="黑体" w:hAnsi="黑体" w:eastAsia="黑体"/>
          <w:b/>
          <w:sz w:val="24"/>
        </w:rPr>
        <w:t>创新点3：Encoded-Key Bitonic Sort安全Top-K选择</w:t>
      </w:r>
    </w:p>
    <w:p>
      <w:pPr>
        <w:spacing w:line="360" w:lineRule="auto" w:after="200"/>
      </w:pPr>
      <w:r>
        <w:rPr>
          <w:rFonts w:ascii="宋体" w:hAnsi="宋体" w:eastAsia="宋体"/>
          <w:b w:val="0"/>
          <w:sz w:val="24"/>
        </w:rPr>
        <w:t>基于bitonic sort实现MPC友好的Top-K选择，encoded_key编码保证tie-breaking语义。首次将bitonic sort应用于DynamicViT的secure top-K pruning threshold计算。验证：stage_decision_match_ratio=1.0。</w:t>
      </w:r>
    </w:p>
    <w:p>
      <w:pPr>
        <w:spacing w:line="360" w:lineRule="auto" w:after="100"/>
      </w:pPr>
      <w:r>
        <w:rPr>
          <w:rFonts w:ascii="黑体" w:hAnsi="黑体" w:eastAsia="黑体"/>
          <w:b/>
          <w:sz w:val="24"/>
        </w:rPr>
        <w:t>创新点4：MPC-Friendly算子族设计</w:t>
      </w:r>
    </w:p>
    <w:p>
      <w:pPr>
        <w:spacing w:line="360" w:lineRule="auto" w:after="200"/>
      </w:pPr>
      <w:r>
        <w:t>设计uniform attention + fixed_square + exact LN的MPC-friendly算子族，训练时使用与部署一致的配置。首次将该算子组合设计为DynamicViT的MPC-friendly默认配置。验证：threshold_accuracy=91.98%，auc=0.9679。</w:t>
      </w:r>
    </w:p>
    <w:p>
      <w:pPr>
        <w:spacing w:line="360" w:lineRule="auto" w:after="100"/>
      </w:pPr>
      <w:r>
        <w:t>创新点5：LUT GELU高精度激活函数</w:t>
      </w:r>
    </w:p>
    <w:p>
      <w:pPr>
        <w:spacing w:line="360" w:lineRule="auto" w:after="200"/>
      </w:pPr>
      <w:r>
        <w:t>设计16段分段线性GELU近似，仅需比较和线性运算，无需特殊函数（erf/tanh），完全MPC友好。采用二分搜索优化将O(N)线性扫描降至O(log N)安全比较，16段仅需4次安全比较。从fixed_square的76.72%提升至97.33%（+20.61pp），AUC=0.9937。验证：threshold_match_ratio=1.0，argmax_accuracy=97.33%。</w:t>
      </w:r>
    </w:p>
    <w:p>
      <w:pPr>
        <w:spacing w:line="360" w:lineRule="auto" w:after="100"/>
      </w:pPr>
      <w:r/>
    </w:p>
    <w:p>
      <w:pPr>
        <w:spacing w:line="360" w:lineRule="auto" w:after="200"/>
      </w:pPr>
      <w:r/>
    </w:p>
    <w:p>
      <w:pPr>
        <w:spacing w:line="360" w:lineRule="auto" w:after="100"/>
      </w:pPr>
      <w:r/>
    </w:p>
    <w:p>
      <w:pPr>
        <w:spacing w:line="360" w:lineRule="auto" w:after="200"/>
      </w:pPr>
      <w:r/>
    </w:p>
    <w:p>
      <w:r>
        <w:br w:type="page"/>
      </w:r>
    </w:p>
    <w:p>
      <w:pPr>
        <w:spacing w:line="360" w:lineRule="auto" w:after="200"/>
      </w:pPr>
      <w:r>
        <w:rPr>
          <w:rFonts w:ascii="黑体" w:hAnsi="黑体" w:eastAsia="黑体"/>
          <w:b/>
          <w:sz w:val="32"/>
        </w:rPr>
        <w:t>第五章 总结</w:t>
      </w:r>
    </w:p>
    <w:p>
      <w:pPr>
        <w:spacing w:line="360" w:lineRule="auto" w:after="200"/>
      </w:pPr>
      <w:r>
        <w:t>本文提出了Transshield，一个基于MPC的隐私保护视觉推理框架。本作品的主要贡献包括：</w:t>
        <w:br/>
        <w:br/>
        <w:t>（1）提出了5个核心创新点，形成完整的技术闭环，解决了MPC环境下视觉模型部署的核心挑战；</w:t>
        <w:br/>
        <w:t>（2）实现了双向隐私保护，服务器看不到客户端图片，客户端获取不到模型参数；</w:t>
        <w:br/>
        <w:t>（3）通过LUT GELU激活函数实现97.33%分类精度，通过depth截断和batch优化实现69.57s/sample推理效率；</w:t>
        <w:br/>
        <w:t>（4）支持医疗和金融双领域应用，使用统一技术栈降低开发维护成本；</w:t>
        <w:br/>
        <w:t>（5）提供灵活的部署方案，适应城市三甲医院到乡村医院的不同需求。</w:t>
        <w:br/>
        <w:br/>
        <w:t>未来工作方向：</w:t>
        <w:br/>
        <w:t>（1）进一步优化推理效率，探索模型蒸馏和更多压缩技术；</w:t>
        <w:br/>
        <w:t>（2）扩展到更多领域，如自动驾驶、安防监控等；</w:t>
        <w:br/>
        <w:t>（3）支持更大规模的模型和数据集。</w:t>
      </w:r>
    </w:p>
    <w:p>
      <w:r>
        <w:br w:type="page"/>
      </w:r>
    </w:p>
    <w:p>
      <w:pPr>
        <w:spacing w:line="360" w:lineRule="auto" w:after="200"/>
      </w:pPr>
      <w:r>
        <w:rPr>
          <w:rFonts w:ascii="黑体" w:hAnsi="黑体" w:eastAsia="黑体"/>
          <w:b/>
          <w:sz w:val="32"/>
        </w:rPr>
        <w:t>参考文献</w:t>
      </w:r>
    </w:p>
    <w:p>
      <w:pPr>
        <w:spacing w:line="360" w:lineRule="auto" w:after="100"/>
      </w:pPr>
      <w:r>
        <w:rPr>
          <w:rFonts w:ascii="宋体" w:hAnsi="宋体" w:eastAsia="宋体"/>
          <w:b w:val="0"/>
          <w:sz w:val="24"/>
        </w:rPr>
        <w:t>[1] Vaswani A, Shazeer N, Parmar N, et al. Attention is all you need[C]//NeurIPS. 2017.</w:t>
      </w:r>
    </w:p>
    <w:p>
      <w:pPr>
        <w:spacing w:line="360" w:lineRule="auto" w:after="100"/>
      </w:pPr>
      <w:r>
        <w:rPr>
          <w:rFonts w:ascii="宋体" w:hAnsi="宋体" w:eastAsia="宋体"/>
          <w:b w:val="0"/>
          <w:sz w:val="24"/>
        </w:rPr>
        <w:t>[2] Touvron H, Cord M, Douze M, et al. Training data-efficient image transformers &amp; distillation through attention[C]//ICML. 2021.</w:t>
      </w:r>
    </w:p>
    <w:p>
      <w:pPr>
        <w:spacing w:line="360" w:lineRule="auto" w:after="100"/>
      </w:pPr>
      <w:r>
        <w:rPr>
          <w:rFonts w:ascii="宋体" w:hAnsi="宋体" w:eastAsia="宋体"/>
          <w:b w:val="0"/>
          <w:sz w:val="24"/>
        </w:rPr>
        <w:t>[3] Rao Y, Zhao W, Liu B, et al. DynamicViT: Efficient Vision Transformers with Dynamic Token Sparsification[C]//NeurIPS. 2021.</w:t>
      </w:r>
    </w:p>
    <w:p>
      <w:pPr>
        <w:spacing w:line="360" w:lineRule="auto" w:after="100"/>
      </w:pPr>
      <w:r>
        <w:rPr>
          <w:rFonts w:ascii="宋体" w:hAnsi="宋体" w:eastAsia="宋体"/>
          <w:b w:val="0"/>
          <w:sz w:val="24"/>
        </w:rPr>
        <w:t>[4] Damgård I, Pastro V, Smart N, et al. Multiparty computation from somewhat homomorphic encryption[C]//CRYPTO. 2012.</w:t>
      </w:r>
    </w:p>
    <w:p>
      <w:pPr>
        <w:spacing w:line="360" w:lineRule="auto" w:after="100"/>
      </w:pPr>
      <w:r>
        <w:rPr>
          <w:rFonts w:ascii="宋体" w:hAnsi="宋体" w:eastAsia="宋体"/>
          <w:b w:val="0"/>
          <w:sz w:val="24"/>
        </w:rPr>
        <w:t>[5] Mohassel P, Zhang Y. SecureML: A system for scalable privacy-preserving machine learning[C]//S&amp;P. 2017.</w:t>
      </w:r>
    </w:p>
    <w:p>
      <w:pPr>
        <w:spacing w:line="360" w:lineRule="auto" w:after="100"/>
      </w:pPr>
      <w:r>
        <w:rPr>
          <w:rFonts w:ascii="宋体" w:hAnsi="宋体" w:eastAsia="宋体"/>
          <w:b w:val="0"/>
          <w:sz w:val="24"/>
        </w:rPr>
        <w:t>[6] Liu J, Juuti M, Lu Y, et al. Oblivious Neural Network Predictions via MiniONN transformations[C]//CCS. 2017.</w:t>
      </w:r>
    </w:p>
    <w:p>
      <w:pPr>
        <w:spacing w:line="360" w:lineRule="auto" w:after="100"/>
      </w:pPr>
      <w:r>
        <w:rPr>
          <w:rFonts w:ascii="宋体" w:hAnsi="宋体" w:eastAsia="宋体"/>
          <w:b w:val="0"/>
          <w:sz w:val="24"/>
        </w:rPr>
        <w:t>[7] Riazi M S, Weinert C, Tkachenko O, et al. Chameleon: A Hybrid Secure Computation Framework[C]//AsiaCCS. 2018.</w:t>
      </w:r>
    </w:p>
    <w:p>
      <w:pPr>
        <w:spacing w:line="360" w:lineRule="auto" w:after="100"/>
      </w:pPr>
      <w:r>
        <w:rPr>
          <w:rFonts w:ascii="宋体" w:hAnsi="宋体" w:eastAsia="宋体"/>
          <w:b w:val="0"/>
          <w:sz w:val="24"/>
        </w:rPr>
        <w:t>[8] Huang Z, Lu W, Hong C, et al. Cheetah: Lean and Fast Secure Two-Party Deep Neural Network Inference[C]//USENIX Security. 2022.</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