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rPr>
          <w:rFonts w:ascii="宋体" w:hAnsi="宋体" w:eastAsia="宋体"/>
          <w:b w:val="0"/>
          <w:sz w:val="24"/>
        </w:rP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本作品具有7个核心创新点：Pruning Boundary协议友好重写、端到端隐私保护SPU Forward、Bitonic Sort安全Top-K、MPC-Friendly算子族、静态剪枝深度截断、FXP精度约束、SVD低秩分解加速。其中静态剪枝通过depth=12→10截断实现3.07倍推理加速，SVD低秩分解实现68.39%参数压缩。</w:t>
        <w:br/>
        <w:br/>
        <w:t>实用性方面，本框架支持城市三甲医院、县级医院、乡村医院等不同场景的部署方案，单样本推理时间从69秒到150秒不等，满足实际应用需求。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w:t>
        <w:br/>
        <w:t xml:space="preserve">  - threshold accuracy：79.96%</w:t>
        <w:br/>
        <w:br/>
        <w:t>最优配置（depth=10 + batch12 + LRD rank=192）：</w:t>
        <w:br/>
        <w:t xml:space="preserve">  - 单样本推理时间：69.57秒（3.07倍加速）</w:t>
        <w:br/>
        <w:t xml:space="preserve">  - argmax accuracy：91.98%（校准后）</w:t>
        <w:br/>
        <w:t xml:space="preserve">  - threshold accuracy：92.44%</w:t>
        <w:br/>
        <w:t xml:space="preserve">  - 参数量：68.39%（LRD压缩后）</w:t>
        <w:br/>
        <w:br/>
        <w:t>部署方案对比：</w:t>
        <w:br/>
        <w:t>| 方案 | 配置 | 推理时间 | 精度 |</w:t>
        <w:br/>
        <w:t>|------|------|----------|------|</w:t>
        <w:br/>
        <w:t>| A（城市三甲） | depth10+batch12 | 69.57s | 91.98% |</w:t>
        <w:br/>
        <w:t>| B（县级医院） | depth10+batch8 | ~100s | ~90% |</w:t>
        <w:br/>
        <w:t>| C（乡村医院） | depth10+batch4 | ~150s | ~88% |</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br w:type="page"/>
      </w:r>
    </w:p>
    <w:p>
      <w:pPr>
        <w:spacing w:line="360" w:lineRule="auto" w:after="200"/>
      </w:pPr>
      <w:r>
        <w:rPr>
          <w:rFonts w:ascii="黑体" w:hAnsi="黑体" w:eastAsia="黑体"/>
          <w:b/>
          <w:sz w:val="32"/>
        </w:rPr>
        <w:t>第四章 创新性说明</w:t>
      </w:r>
    </w:p>
    <w:p>
      <w:pPr>
        <w:spacing w:line="360" w:lineRule="auto" w:after="200"/>
      </w:pPr>
      <w:r>
        <w:rPr>
          <w:rFonts w:ascii="宋体" w:hAnsi="宋体" w:eastAsia="宋体"/>
          <w:b w:val="0"/>
          <w:sz w:val="24"/>
        </w:rPr>
        <w:t>本作品具有7个核心创新点，形成完整的技术闭环：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forward路径，PredictorLG在SPU内部安全执行，满足双向隐私约束。首次在DynamicViT上实现PredictorLG完全在SPU内部执行的端到端隐私推理。验证：host_model_params_materialized=false，heldout238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rPr>
          <w:rFonts w:ascii="宋体" w:hAnsi="宋体" w:eastAsia="宋体"/>
          <w:b w:val="0"/>
          <w:sz w:val="24"/>
        </w:rP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rPr>
          <w:rFonts w:ascii="黑体" w:hAnsi="黑体" w:eastAsia="黑体"/>
          <w:b/>
          <w:sz w:val="24"/>
        </w:rPr>
        <w:t>创新点5：静态剪枝（深度截断）</w:t>
      </w:r>
    </w:p>
    <w:p>
      <w:pPr>
        <w:spacing w:line="360" w:lineRule="auto" w:after="200"/>
      </w:pPr>
      <w:r>
        <w:rPr>
          <w:rFonts w:ascii="宋体" w:hAnsi="宋体" w:eastAsia="宋体"/>
          <w:b w:val="0"/>
          <w:sz w:val="24"/>
        </w:rPr>
        <w:t>通过深度截断将模型从depth=12截断到depth=10，减少16.7%计算量，实现3.07倍推理加速。argmax精度+3.24pp，threshold精度仅-0.5pp，在效率和精度之间取得最优平衡。验证：per_sample=69.57s，argmax_acc=91.98%。</w:t>
      </w:r>
    </w:p>
    <w:p>
      <w:pPr>
        <w:spacing w:line="360" w:lineRule="auto" w:after="100"/>
      </w:pPr>
      <w:r>
        <w:rPr>
          <w:rFonts w:ascii="黑体" w:hAnsi="黑体" w:eastAsia="黑体"/>
          <w:b/>
          <w:sz w:val="24"/>
        </w:rPr>
        <w:t>创新点6：FXP固定点精度约束</w:t>
      </w:r>
    </w:p>
    <w:p>
      <w:pPr>
        <w:spacing w:line="360" w:lineRule="auto" w:after="200"/>
      </w:pPr>
      <w:r>
        <w:rPr>
          <w:rFonts w:ascii="宋体" w:hAnsi="宋体" w:eastAsia="宋体"/>
          <w:b w:val="0"/>
          <w:sz w:val="24"/>
        </w:rPr>
        <w:t>系统性测试fxp=12/14/16/20，发现fxp=16是唯一安全配置。揭示fixed_square + FM64 + fxp=16形成三位一体约束，任意一项调整都会崩塌。验证：fxp=16: 100% match，fxp&lt;16: collapse，fxp&gt;16: overflow。</w:t>
      </w:r>
    </w:p>
    <w:p>
      <w:pPr>
        <w:spacing w:line="360" w:lineRule="auto" w:after="100"/>
      </w:pPr>
      <w:r>
        <w:rPr>
          <w:rFonts w:ascii="黑体" w:hAnsi="黑体" w:eastAsia="黑体"/>
          <w:b/>
          <w:sz w:val="24"/>
        </w:rPr>
        <w:t>创新点7：SVD低秩分解MPC推理加速</w:t>
      </w:r>
    </w:p>
    <w:p>
      <w:pPr>
        <w:spacing w:line="360" w:lineRule="auto" w:after="200"/>
      </w:pPr>
      <w:r>
        <w:rPr>
          <w:rFonts w:ascii="宋体" w:hAnsi="宋体" w:eastAsia="宋体"/>
          <w:b w:val="0"/>
          <w:sz w:val="24"/>
        </w:rPr>
        <w:t>通过SVD分解将线性层参数量压缩到68.39%，在SPU merged模式下保持单次matmul。rank=192 merged模式实现68.39%参数压缩，同时保持94.08%平衡精度。验证：params=68.39%，balanced_acc=94.08%。</w:t>
      </w:r>
    </w:p>
    <w:p>
      <w:r>
        <w:br w:type="page"/>
      </w:r>
    </w:p>
    <w:p>
      <w:pPr>
        <w:spacing w:line="360" w:lineRule="auto" w:after="200"/>
      </w:pPr>
      <w:r>
        <w:rPr>
          <w:rFonts w:ascii="黑体" w:hAnsi="黑体" w:eastAsia="黑体"/>
          <w:b/>
          <w:sz w:val="32"/>
        </w:rPr>
        <w:t>第五章 总结</w:t>
      </w:r>
    </w:p>
    <w:p>
      <w:pPr>
        <w:spacing w:line="360" w:lineRule="auto" w:after="200"/>
      </w:pPr>
      <w:r>
        <w:rPr>
          <w:rFonts w:ascii="宋体" w:hAnsi="宋体" w:eastAsia="宋体"/>
          <w:b w:val="0"/>
          <w:sz w:val="24"/>
        </w:rPr>
        <w:t>本文提出了Transshield，一个基于MPC的隐私保护视觉推理框架。本作品的主要贡献包括：</w:t>
        <w:br/>
        <w:br/>
        <w:t>（1）提出了7个创新点，形成完整的技术闭环，解决了MPC环境下视觉模型部署的核心挑战；</w:t>
        <w:br/>
        <w:t>（2）实现了双向隐私保护，服务器看不到客户端图片，客户端获取不到模型参数；</w:t>
        <w:br/>
        <w:t>（3）通过静态剪枝和SVD低秩分解实现3.07倍推理加速和68.39%参数压缩；</w:t>
        <w:br/>
        <w:t>（4）支持医疗和金融双领域应用，使用统一技术栈降低开发维护成本；</w:t>
        <w:br/>
        <w:t>（5）提供灵活的部署方案，适应城市三甲医院到乡村医院的不同需求。</w:t>
        <w:br/>
        <w:br/>
        <w:t>未来工作方向：</w:t>
        <w:br/>
        <w:t>（1）进一步优化推理效率，探索更多模型压缩技术；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