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BA2AC" w14:textId="1104F0CC" w:rsidR="0007387B" w:rsidRPr="00E47CEA" w:rsidRDefault="0007387B" w:rsidP="009E6DBA">
      <w:pPr>
        <w:spacing w:line="320" w:lineRule="atLeast"/>
        <w:rPr>
          <w:rFonts w:ascii="Times New Roman" w:hAnsi="Times New Roman" w:cs="Times New Roman"/>
          <w:b/>
          <w:bCs/>
        </w:rPr>
      </w:pPr>
      <w:r w:rsidRPr="00E47CEA">
        <w:rPr>
          <w:rFonts w:ascii="Times New Roman" w:hAnsi="Times New Roman" w:cs="Times New Roman"/>
          <w:b/>
          <w:bCs/>
        </w:rPr>
        <w:t xml:space="preserve">A Budget Impact </w:t>
      </w:r>
      <w:r w:rsidRPr="00E47CEA">
        <w:rPr>
          <w:rFonts w:ascii="Times New Roman" w:hAnsi="Times New Roman" w:cs="Times New Roman"/>
          <w:b/>
          <w:bCs/>
        </w:rPr>
        <w:t>Analysis</w:t>
      </w:r>
      <w:r w:rsidRPr="00E47CEA">
        <w:rPr>
          <w:rFonts w:ascii="Times New Roman" w:hAnsi="Times New Roman" w:cs="Times New Roman"/>
          <w:b/>
          <w:bCs/>
        </w:rPr>
        <w:t xml:space="preserve"> on Immunisation Coverage: Evidence from UNICEF Global Immunization Budget Database in LMICs (2021–2025)</w:t>
      </w:r>
    </w:p>
    <w:p w14:paraId="1EF9DBC5" w14:textId="77777777" w:rsidR="00E80103" w:rsidRPr="00B052C6" w:rsidRDefault="00E80103" w:rsidP="009E6DBA">
      <w:pPr>
        <w:spacing w:line="320" w:lineRule="atLeast"/>
        <w:rPr>
          <w:rFonts w:ascii="Times New Roman" w:hAnsi="Times New Roman" w:cs="Times New Roman"/>
        </w:rPr>
      </w:pPr>
    </w:p>
    <w:p w14:paraId="6FB3408C" w14:textId="6DFE4B6A" w:rsidR="003C7594" w:rsidRPr="00742F19" w:rsidRDefault="003C7594" w:rsidP="009E6DBA">
      <w:pPr>
        <w:spacing w:line="320" w:lineRule="atLeast"/>
        <w:rPr>
          <w:rFonts w:ascii="Times New Roman" w:hAnsi="Times New Roman" w:cs="Times New Roman"/>
          <w:vertAlign w:val="superscript"/>
        </w:rPr>
      </w:pPr>
      <w:r w:rsidRPr="00B052C6">
        <w:rPr>
          <w:rFonts w:ascii="Times New Roman" w:hAnsi="Times New Roman" w:cs="Times New Roman" w:hint="eastAsia"/>
        </w:rPr>
        <w:t>Hao-Kai Tseng</w:t>
      </w:r>
      <w:r w:rsidR="00742F19">
        <w:rPr>
          <w:rFonts w:ascii="Times New Roman" w:hAnsi="Times New Roman" w:cs="Times New Roman"/>
          <w:vertAlign w:val="superscript"/>
        </w:rPr>
        <w:t>1</w:t>
      </w:r>
    </w:p>
    <w:p w14:paraId="74B87320" w14:textId="53787C1A" w:rsidR="003C7594" w:rsidRPr="00B052C6" w:rsidRDefault="008A6556" w:rsidP="009E6DBA">
      <w:pPr>
        <w:spacing w:line="320" w:lineRule="atLeast"/>
        <w:rPr>
          <w:rFonts w:ascii="Times New Roman" w:hAnsi="Times New Roman" w:cs="Times New Roman"/>
        </w:rPr>
      </w:pPr>
      <w:r w:rsidRPr="00B052C6">
        <w:rPr>
          <w:rFonts w:ascii="Times New Roman" w:hAnsi="Times New Roman" w:cs="Times New Roman" w:hint="eastAsia"/>
        </w:rPr>
        <w:t xml:space="preserve">*1 Epidemic Intelligence Center, </w:t>
      </w:r>
      <w:r w:rsidR="003C7594" w:rsidRPr="00B052C6">
        <w:rPr>
          <w:rFonts w:ascii="Times New Roman" w:hAnsi="Times New Roman" w:cs="Times New Roman" w:hint="eastAsia"/>
        </w:rPr>
        <w:t>Taiwan Centers for Disease Control</w:t>
      </w:r>
      <w:r w:rsidR="00324426" w:rsidRPr="00B052C6">
        <w:rPr>
          <w:rFonts w:ascii="Times New Roman" w:hAnsi="Times New Roman" w:cs="Times New Roman" w:hint="eastAsia"/>
        </w:rPr>
        <w:t>, Taipei, Taiwan</w:t>
      </w:r>
    </w:p>
    <w:p w14:paraId="279716D6" w14:textId="77777777" w:rsidR="003D0F64" w:rsidRDefault="003D0F64" w:rsidP="009E6DBA">
      <w:pPr>
        <w:spacing w:after="120" w:line="320" w:lineRule="atLeast"/>
        <w:rPr>
          <w:rFonts w:ascii="Times New Roman" w:hAnsi="Times New Roman" w:cs="Times New Roman"/>
          <w:b/>
          <w:bCs/>
        </w:rPr>
      </w:pPr>
    </w:p>
    <w:p w14:paraId="251D8C95" w14:textId="1D89E14D" w:rsidR="009271C8" w:rsidRDefault="009C417A" w:rsidP="009E6DBA">
      <w:pPr>
        <w:spacing w:after="120" w:line="320" w:lineRule="atLeast"/>
        <w:rPr>
          <w:rFonts w:ascii="Times New Roman" w:hAnsi="Times New Roman" w:cs="Times New Roman"/>
        </w:rPr>
      </w:pPr>
      <w:r w:rsidRPr="009C417A">
        <w:rPr>
          <w:rFonts w:ascii="Times New Roman" w:hAnsi="Times New Roman" w:cs="Times New Roman"/>
          <w:b/>
          <w:bCs/>
        </w:rPr>
        <w:t>Background:</w:t>
      </w:r>
      <w:r w:rsidR="008A6556">
        <w:rPr>
          <w:rFonts w:ascii="Times New Roman" w:hAnsi="Times New Roman" w:cs="Times New Roman" w:hint="eastAsia"/>
          <w:b/>
          <w:bCs/>
        </w:rPr>
        <w:t xml:space="preserve"> </w:t>
      </w:r>
      <w:r w:rsidR="008308F3">
        <w:rPr>
          <w:rFonts w:ascii="Times New Roman" w:hAnsi="Times New Roman" w:cs="Times New Roman"/>
        </w:rPr>
        <w:t>Budgeting is essential to the continuity and effectiveness of immunisation programme</w:t>
      </w:r>
      <w:r w:rsidR="002E60FB">
        <w:rPr>
          <w:rFonts w:ascii="Times New Roman" w:hAnsi="Times New Roman" w:cs="Times New Roman"/>
        </w:rPr>
        <w:t>s</w:t>
      </w:r>
      <w:r w:rsidR="003C703E" w:rsidRPr="003C703E">
        <w:rPr>
          <w:rFonts w:ascii="Times New Roman" w:hAnsi="Times New Roman" w:cs="Times New Roman"/>
        </w:rPr>
        <w:t xml:space="preserve">, </w:t>
      </w:r>
      <w:r w:rsidR="000A040C">
        <w:rPr>
          <w:rFonts w:ascii="Times New Roman" w:hAnsi="Times New Roman" w:cs="Times New Roman"/>
        </w:rPr>
        <w:t>but</w:t>
      </w:r>
      <w:r w:rsidR="003C703E" w:rsidRPr="003C703E">
        <w:rPr>
          <w:rFonts w:ascii="Times New Roman" w:hAnsi="Times New Roman" w:cs="Times New Roman"/>
        </w:rPr>
        <w:t xml:space="preserve"> accessing government financial data has been challenging. Since June 2025, UNICEF’s Global Immunization Budget Database (GIBD) has addressed this by using </w:t>
      </w:r>
      <w:r w:rsidR="000C42DA" w:rsidRPr="009271C8">
        <w:rPr>
          <w:rFonts w:ascii="Times New Roman" w:hAnsi="Times New Roman" w:cs="Times New Roman"/>
        </w:rPr>
        <w:t xml:space="preserve">artificial intelligence </w:t>
      </w:r>
      <w:r w:rsidR="003C703E" w:rsidRPr="003C703E">
        <w:rPr>
          <w:rFonts w:ascii="Times New Roman" w:hAnsi="Times New Roman" w:cs="Times New Roman"/>
        </w:rPr>
        <w:t xml:space="preserve">to extract and classify budget data. </w:t>
      </w:r>
      <w:r w:rsidR="002D1EFC" w:rsidRPr="002D1EFC">
        <w:rPr>
          <w:rFonts w:ascii="Times New Roman" w:hAnsi="Times New Roman" w:cs="Times New Roman"/>
        </w:rPr>
        <w:t>This study evaluates how changes in immunisation budgets impact vaccination coverage</w:t>
      </w:r>
      <w:r w:rsidR="002D1EFC">
        <w:rPr>
          <w:rFonts w:ascii="Times New Roman" w:hAnsi="Times New Roman" w:cs="Times New Roman"/>
        </w:rPr>
        <w:t>.</w:t>
      </w:r>
    </w:p>
    <w:p w14:paraId="17E2A92B" w14:textId="4A3DDBCD" w:rsidR="00034DD0" w:rsidRDefault="009C417A" w:rsidP="009E6DBA">
      <w:pPr>
        <w:spacing w:after="120" w:line="320" w:lineRule="atLeast"/>
        <w:rPr>
          <w:rFonts w:ascii="Times New Roman" w:hAnsi="Times New Roman" w:cs="Times New Roman"/>
        </w:rPr>
      </w:pPr>
      <w:r w:rsidRPr="009C417A">
        <w:rPr>
          <w:rFonts w:ascii="Times New Roman" w:hAnsi="Times New Roman" w:cs="Times New Roman"/>
          <w:b/>
          <w:bCs/>
        </w:rPr>
        <w:t>Methods:</w:t>
      </w:r>
      <w:r w:rsidR="008A6556">
        <w:rPr>
          <w:rFonts w:ascii="Times New Roman" w:hAnsi="Times New Roman" w:cs="Times New Roman" w:hint="eastAsia"/>
          <w:b/>
          <w:bCs/>
        </w:rPr>
        <w:t xml:space="preserve"> </w:t>
      </w:r>
      <w:r w:rsidR="00B532D5">
        <w:rPr>
          <w:rFonts w:ascii="Times New Roman" w:hAnsi="Times New Roman" w:cs="Times New Roman" w:hint="eastAsia"/>
        </w:rPr>
        <w:t xml:space="preserve">A series of </w:t>
      </w:r>
      <w:r w:rsidR="000E57C1" w:rsidRPr="000E57C1">
        <w:rPr>
          <w:rFonts w:ascii="Times New Roman" w:hAnsi="Times New Roman" w:cs="Times New Roman"/>
        </w:rPr>
        <w:t xml:space="preserve">Bayesian temporal models </w:t>
      </w:r>
      <w:r w:rsidR="00357FD0">
        <w:rPr>
          <w:rFonts w:ascii="Times New Roman" w:hAnsi="Times New Roman" w:cs="Times New Roman" w:hint="eastAsia"/>
        </w:rPr>
        <w:t xml:space="preserve">are </w:t>
      </w:r>
      <w:r w:rsidR="000E57C1" w:rsidRPr="000E57C1">
        <w:rPr>
          <w:rFonts w:ascii="Times New Roman" w:hAnsi="Times New Roman" w:cs="Times New Roman"/>
        </w:rPr>
        <w:t>fitted using the Integrated Nested Laplace Approximation (INLA) framework</w:t>
      </w:r>
      <w:r w:rsidR="00357FD0">
        <w:rPr>
          <w:rFonts w:ascii="Times New Roman" w:hAnsi="Times New Roman" w:cs="Times New Roman" w:hint="eastAsia"/>
        </w:rPr>
        <w:t>.</w:t>
      </w:r>
      <w:r w:rsidR="003A6DD1">
        <w:rPr>
          <w:rFonts w:ascii="Times New Roman" w:hAnsi="Times New Roman" w:cs="Times New Roman" w:hint="eastAsia"/>
        </w:rPr>
        <w:t xml:space="preserve"> </w:t>
      </w:r>
      <w:r w:rsidR="00C02CD9">
        <w:rPr>
          <w:rFonts w:ascii="Times New Roman" w:hAnsi="Times New Roman" w:cs="Times New Roman" w:hint="eastAsia"/>
        </w:rPr>
        <w:t xml:space="preserve">The </w:t>
      </w:r>
      <w:r w:rsidR="001A340E">
        <w:rPr>
          <w:rFonts w:ascii="Times New Roman" w:hAnsi="Times New Roman" w:cs="Times New Roman" w:hint="eastAsia"/>
        </w:rPr>
        <w:t xml:space="preserve">fixed-effect </w:t>
      </w:r>
      <w:r w:rsidR="00C02CD9">
        <w:rPr>
          <w:rFonts w:ascii="Times New Roman" w:hAnsi="Times New Roman" w:cs="Times New Roman" w:hint="eastAsia"/>
        </w:rPr>
        <w:t>p</w:t>
      </w:r>
      <w:r w:rsidR="007629B4">
        <w:rPr>
          <w:rFonts w:ascii="Times New Roman" w:hAnsi="Times New Roman" w:cs="Times New Roman" w:hint="eastAsia"/>
        </w:rPr>
        <w:t xml:space="preserve">redictor </w:t>
      </w:r>
      <w:r w:rsidR="00C02CD9">
        <w:rPr>
          <w:rFonts w:ascii="Times New Roman" w:hAnsi="Times New Roman" w:cs="Times New Roman" w:hint="eastAsia"/>
        </w:rPr>
        <w:t>is</w:t>
      </w:r>
      <w:r w:rsidR="007629B4">
        <w:rPr>
          <w:rFonts w:ascii="Times New Roman" w:hAnsi="Times New Roman" w:cs="Times New Roman" w:hint="eastAsia"/>
        </w:rPr>
        <w:t xml:space="preserve"> </w:t>
      </w:r>
      <w:r w:rsidR="00C02CD9">
        <w:rPr>
          <w:rFonts w:ascii="Times New Roman" w:hAnsi="Times New Roman" w:cs="Times New Roman" w:hint="eastAsia"/>
        </w:rPr>
        <w:t xml:space="preserve">the </w:t>
      </w:r>
      <w:r w:rsidR="00AE62AD" w:rsidRPr="009C417A">
        <w:rPr>
          <w:rFonts w:ascii="Times New Roman" w:hAnsi="Times New Roman" w:cs="Times New Roman"/>
        </w:rPr>
        <w:t xml:space="preserve">annualized percentage change </w:t>
      </w:r>
      <w:r w:rsidR="004966B5">
        <w:rPr>
          <w:rFonts w:ascii="Times New Roman" w:hAnsi="Times New Roman" w:cs="Times New Roman" w:hint="eastAsia"/>
        </w:rPr>
        <w:t xml:space="preserve">in </w:t>
      </w:r>
      <w:r w:rsidR="00F8038A">
        <w:rPr>
          <w:rFonts w:ascii="Times New Roman" w:hAnsi="Times New Roman" w:cs="Times New Roman" w:hint="eastAsia"/>
        </w:rPr>
        <w:t>n</w:t>
      </w:r>
      <w:r w:rsidRPr="009C417A">
        <w:rPr>
          <w:rFonts w:ascii="Times New Roman" w:hAnsi="Times New Roman" w:cs="Times New Roman"/>
        </w:rPr>
        <w:t>ational immunisation budget allocations (nominal US$)</w:t>
      </w:r>
      <w:r w:rsidR="003B5B74">
        <w:rPr>
          <w:rFonts w:ascii="Times New Roman" w:hAnsi="Times New Roman" w:cs="Times New Roman"/>
        </w:rPr>
        <w:t xml:space="preserve"> </w:t>
      </w:r>
      <w:r w:rsidR="00FC7EF5">
        <w:rPr>
          <w:rFonts w:ascii="Times New Roman" w:hAnsi="Times New Roman" w:cs="Times New Roman"/>
        </w:rPr>
        <w:t xml:space="preserve">in function </w:t>
      </w:r>
      <w:r w:rsidR="003A6079">
        <w:rPr>
          <w:rFonts w:ascii="Times New Roman" w:hAnsi="Times New Roman" w:cs="Times New Roman"/>
        </w:rPr>
        <w:t xml:space="preserve">level </w:t>
      </w:r>
      <w:r w:rsidR="00FB39FC">
        <w:rPr>
          <w:rFonts w:ascii="Times New Roman" w:hAnsi="Times New Roman" w:cs="Times New Roman"/>
        </w:rPr>
        <w:t>1 (</w:t>
      </w:r>
      <w:r w:rsidR="00FC7EF5">
        <w:rPr>
          <w:rFonts w:ascii="Times New Roman" w:hAnsi="Times New Roman" w:cs="Times New Roman"/>
        </w:rPr>
        <w:t>L1</w:t>
      </w:r>
      <w:r w:rsidR="00FB39FC">
        <w:rPr>
          <w:rFonts w:ascii="Times New Roman" w:hAnsi="Times New Roman" w:cs="Times New Roman"/>
        </w:rPr>
        <w:t>)</w:t>
      </w:r>
      <w:r w:rsidR="00F8038A">
        <w:rPr>
          <w:rFonts w:ascii="Times New Roman" w:hAnsi="Times New Roman" w:cs="Times New Roman" w:hint="eastAsia"/>
        </w:rPr>
        <w:t>,</w:t>
      </w:r>
      <w:r w:rsidRPr="009C417A">
        <w:rPr>
          <w:rFonts w:ascii="Times New Roman" w:hAnsi="Times New Roman" w:cs="Times New Roman"/>
        </w:rPr>
        <w:t xml:space="preserve"> obtained from UNICEF GIBD</w:t>
      </w:r>
      <w:r w:rsidR="005E7BBA">
        <w:rPr>
          <w:rFonts w:ascii="Times New Roman" w:hAnsi="Times New Roman" w:cs="Times New Roman" w:hint="eastAsia"/>
        </w:rPr>
        <w:t>, covering the years</w:t>
      </w:r>
      <w:r w:rsidRPr="009C417A">
        <w:rPr>
          <w:rFonts w:ascii="Times New Roman" w:hAnsi="Times New Roman" w:cs="Times New Roman"/>
        </w:rPr>
        <w:t xml:space="preserve"> 202</w:t>
      </w:r>
      <w:r w:rsidR="00683DE4">
        <w:rPr>
          <w:rFonts w:ascii="Times New Roman" w:hAnsi="Times New Roman" w:cs="Times New Roman" w:hint="eastAsia"/>
        </w:rPr>
        <w:t>1</w:t>
      </w:r>
      <w:r w:rsidRPr="009C417A">
        <w:rPr>
          <w:rFonts w:ascii="Times New Roman" w:hAnsi="Times New Roman" w:cs="Times New Roman"/>
        </w:rPr>
        <w:t xml:space="preserve"> to 202</w:t>
      </w:r>
      <w:r w:rsidR="00F97F43">
        <w:rPr>
          <w:rFonts w:ascii="Times New Roman" w:hAnsi="Times New Roman" w:cs="Times New Roman"/>
        </w:rPr>
        <w:t>4</w:t>
      </w:r>
      <w:r w:rsidR="00C07A8F">
        <w:rPr>
          <w:rFonts w:ascii="Times New Roman" w:hAnsi="Times New Roman" w:cs="Times New Roman" w:hint="eastAsia"/>
        </w:rPr>
        <w:t xml:space="preserve"> in low income and lower middle income countries (</w:t>
      </w:r>
      <w:r w:rsidR="00C07A8F" w:rsidRPr="00A87756">
        <w:rPr>
          <w:rFonts w:ascii="Times New Roman" w:hAnsi="Times New Roman" w:cs="Times New Roman"/>
        </w:rPr>
        <w:t>LMICs</w:t>
      </w:r>
      <w:r w:rsidR="00C07A8F">
        <w:rPr>
          <w:rFonts w:ascii="Times New Roman" w:hAnsi="Times New Roman" w:cs="Times New Roman" w:hint="eastAsia"/>
        </w:rPr>
        <w:t>)</w:t>
      </w:r>
      <w:r w:rsidR="00DF62C3">
        <w:rPr>
          <w:rFonts w:ascii="Times New Roman" w:hAnsi="Times New Roman" w:cs="Times New Roman"/>
        </w:rPr>
        <w:t xml:space="preserve"> </w:t>
      </w:r>
      <w:r w:rsidR="00DF62C3" w:rsidRPr="00DF62C3">
        <w:rPr>
          <w:rFonts w:ascii="Times New Roman" w:hAnsi="Times New Roman" w:cs="Times New Roman"/>
        </w:rPr>
        <w:t xml:space="preserve">with at least three years of </w:t>
      </w:r>
      <w:r w:rsidR="00547635">
        <w:rPr>
          <w:rFonts w:ascii="Times New Roman" w:hAnsi="Times New Roman" w:cs="Times New Roman"/>
        </w:rPr>
        <w:t>identified</w:t>
      </w:r>
      <w:r w:rsidR="00DF62C3" w:rsidRPr="00DF62C3">
        <w:rPr>
          <w:rFonts w:ascii="Times New Roman" w:hAnsi="Times New Roman" w:cs="Times New Roman"/>
        </w:rPr>
        <w:t xml:space="preserve"> data</w:t>
      </w:r>
      <w:r w:rsidR="00F97F43">
        <w:rPr>
          <w:rFonts w:ascii="Times New Roman" w:hAnsi="Times New Roman" w:cs="Times New Roman"/>
        </w:rPr>
        <w:t>.</w:t>
      </w:r>
      <w:r w:rsidRPr="009C417A">
        <w:rPr>
          <w:rFonts w:ascii="Times New Roman" w:hAnsi="Times New Roman" w:cs="Times New Roman"/>
        </w:rPr>
        <w:t xml:space="preserve"> </w:t>
      </w:r>
      <w:r w:rsidR="001B1292">
        <w:rPr>
          <w:rFonts w:ascii="Times New Roman" w:hAnsi="Times New Roman" w:cs="Times New Roman" w:hint="eastAsia"/>
        </w:rPr>
        <w:t>I</w:t>
      </w:r>
      <w:r w:rsidR="001B1292" w:rsidRPr="00066612">
        <w:rPr>
          <w:rFonts w:ascii="Times New Roman" w:hAnsi="Times New Roman" w:cs="Times New Roman"/>
        </w:rPr>
        <w:t>n each model</w:t>
      </w:r>
      <w:r w:rsidR="001B1292">
        <w:rPr>
          <w:rFonts w:ascii="Times New Roman" w:hAnsi="Times New Roman" w:cs="Times New Roman" w:hint="eastAsia"/>
        </w:rPr>
        <w:t>,</w:t>
      </w:r>
      <w:r w:rsidR="001B1292" w:rsidRPr="00066612">
        <w:rPr>
          <w:rFonts w:ascii="Times New Roman" w:hAnsi="Times New Roman" w:cs="Times New Roman"/>
        </w:rPr>
        <w:t xml:space="preserve"> </w:t>
      </w:r>
      <w:r w:rsidR="001B1292">
        <w:rPr>
          <w:rFonts w:ascii="Times New Roman" w:hAnsi="Times New Roman" w:cs="Times New Roman" w:hint="eastAsia"/>
        </w:rPr>
        <w:t>t</w:t>
      </w:r>
      <w:r w:rsidR="00066612" w:rsidRPr="00066612">
        <w:rPr>
          <w:rFonts w:ascii="Times New Roman" w:hAnsi="Times New Roman" w:cs="Times New Roman"/>
        </w:rPr>
        <w:t xml:space="preserve">he outcome variable </w:t>
      </w:r>
      <w:r w:rsidR="001B339D">
        <w:rPr>
          <w:rFonts w:ascii="Times New Roman" w:hAnsi="Times New Roman" w:cs="Times New Roman" w:hint="eastAsia"/>
        </w:rPr>
        <w:t>is</w:t>
      </w:r>
      <w:r w:rsidR="00066612" w:rsidRPr="00066612">
        <w:rPr>
          <w:rFonts w:ascii="Times New Roman" w:hAnsi="Times New Roman" w:cs="Times New Roman"/>
        </w:rPr>
        <w:t xml:space="preserve"> the percentage change in </w:t>
      </w:r>
      <w:r w:rsidR="008909BA">
        <w:rPr>
          <w:rFonts w:ascii="Times New Roman" w:hAnsi="Times New Roman" w:cs="Times New Roman" w:hint="eastAsia"/>
        </w:rPr>
        <w:t xml:space="preserve">vaccine </w:t>
      </w:r>
      <w:r w:rsidR="00066612" w:rsidRPr="00066612">
        <w:rPr>
          <w:rFonts w:ascii="Times New Roman" w:hAnsi="Times New Roman" w:cs="Times New Roman"/>
        </w:rPr>
        <w:t xml:space="preserve">coverage for a </w:t>
      </w:r>
      <w:r w:rsidR="00066612" w:rsidRPr="00E90260">
        <w:rPr>
          <w:rFonts w:ascii="Times New Roman" w:hAnsi="Times New Roman" w:cs="Times New Roman"/>
        </w:rPr>
        <w:t>single</w:t>
      </w:r>
      <w:r w:rsidR="00066612" w:rsidRPr="00066612">
        <w:rPr>
          <w:rFonts w:ascii="Times New Roman" w:hAnsi="Times New Roman" w:cs="Times New Roman"/>
        </w:rPr>
        <w:t xml:space="preserve"> antigen-dose combination, </w:t>
      </w:r>
      <w:r w:rsidR="000B22DB">
        <w:rPr>
          <w:rFonts w:ascii="Times New Roman" w:hAnsi="Times New Roman" w:cs="Times New Roman" w:hint="eastAsia"/>
        </w:rPr>
        <w:t>based on</w:t>
      </w:r>
      <w:r w:rsidR="00066612" w:rsidRPr="00066612">
        <w:rPr>
          <w:rFonts w:ascii="Times New Roman" w:hAnsi="Times New Roman" w:cs="Times New Roman"/>
        </w:rPr>
        <w:t xml:space="preserve"> the WHO and UNICEF Estimates of National Immunization Coverage (WUENIC)</w:t>
      </w:r>
      <w:r w:rsidR="009623B2">
        <w:rPr>
          <w:rFonts w:ascii="Times New Roman" w:hAnsi="Times New Roman" w:cs="Times New Roman" w:hint="eastAsia"/>
        </w:rPr>
        <w:t xml:space="preserve">, </w:t>
      </w:r>
      <w:r w:rsidR="001D295A">
        <w:rPr>
          <w:rFonts w:ascii="Times New Roman" w:hAnsi="Times New Roman" w:cs="Times New Roman" w:hint="eastAsia"/>
        </w:rPr>
        <w:t>including</w:t>
      </w:r>
      <w:r w:rsidRPr="009C417A">
        <w:rPr>
          <w:rFonts w:ascii="Times New Roman" w:hAnsi="Times New Roman" w:cs="Times New Roman"/>
        </w:rPr>
        <w:t xml:space="preserve"> measles-containing vaccine</w:t>
      </w:r>
      <w:r w:rsidR="00A60C97">
        <w:rPr>
          <w:rFonts w:ascii="Times New Roman" w:hAnsi="Times New Roman" w:cs="Times New Roman"/>
        </w:rPr>
        <w:t xml:space="preserve"> </w:t>
      </w:r>
      <w:r w:rsidR="00E960B3" w:rsidRPr="009C417A">
        <w:rPr>
          <w:rFonts w:ascii="Times New Roman" w:hAnsi="Times New Roman" w:cs="Times New Roman"/>
        </w:rPr>
        <w:t>(MCV</w:t>
      </w:r>
      <w:r w:rsidR="00E960B3">
        <w:rPr>
          <w:rFonts w:ascii="Times New Roman" w:hAnsi="Times New Roman" w:cs="Times New Roman"/>
        </w:rPr>
        <w:t>1/MCV2)</w:t>
      </w:r>
      <w:r w:rsidRPr="009C417A">
        <w:rPr>
          <w:rFonts w:ascii="Times New Roman" w:hAnsi="Times New Roman" w:cs="Times New Roman"/>
        </w:rPr>
        <w:t>, diphtheria-tetanus-pertussis</w:t>
      </w:r>
      <w:r w:rsidR="00E16386">
        <w:rPr>
          <w:rFonts w:ascii="Times New Roman" w:hAnsi="Times New Roman" w:cs="Times New Roman"/>
        </w:rPr>
        <w:t xml:space="preserve"> containing vaccine</w:t>
      </w:r>
      <w:r w:rsidRPr="009C417A">
        <w:rPr>
          <w:rFonts w:ascii="Times New Roman" w:hAnsi="Times New Roman" w:cs="Times New Roman"/>
        </w:rPr>
        <w:t xml:space="preserve"> (DTP</w:t>
      </w:r>
      <w:r w:rsidR="009056D0">
        <w:rPr>
          <w:rFonts w:ascii="Times New Roman" w:hAnsi="Times New Roman" w:cs="Times New Roman"/>
        </w:rPr>
        <w:t>CV</w:t>
      </w:r>
      <w:r w:rsidRPr="009C417A">
        <w:rPr>
          <w:rFonts w:ascii="Times New Roman" w:hAnsi="Times New Roman" w:cs="Times New Roman"/>
        </w:rPr>
        <w:t>1</w:t>
      </w:r>
      <w:r w:rsidR="00837860">
        <w:rPr>
          <w:rFonts w:ascii="Times New Roman" w:hAnsi="Times New Roman" w:cs="Times New Roman"/>
        </w:rPr>
        <w:t>/DTP</w:t>
      </w:r>
      <w:r w:rsidR="009056D0">
        <w:rPr>
          <w:rFonts w:ascii="Times New Roman" w:hAnsi="Times New Roman" w:cs="Times New Roman"/>
        </w:rPr>
        <w:t>CV</w:t>
      </w:r>
      <w:r w:rsidR="00837860">
        <w:rPr>
          <w:rFonts w:ascii="Times New Roman" w:hAnsi="Times New Roman" w:cs="Times New Roman"/>
        </w:rPr>
        <w:t>2</w:t>
      </w:r>
      <w:r w:rsidRPr="009C417A">
        <w:rPr>
          <w:rFonts w:ascii="Times New Roman" w:hAnsi="Times New Roman" w:cs="Times New Roman"/>
        </w:rPr>
        <w:t>), Bacillus Calmette</w:t>
      </w:r>
      <w:r w:rsidR="00DD2B47">
        <w:rPr>
          <w:rFonts w:ascii="Times New Roman" w:hAnsi="Times New Roman" w:cs="Times New Roman" w:hint="eastAsia"/>
        </w:rPr>
        <w:t>-</w:t>
      </w:r>
      <w:r w:rsidRPr="009C417A">
        <w:rPr>
          <w:rFonts w:ascii="Times New Roman" w:hAnsi="Times New Roman" w:cs="Times New Roman"/>
        </w:rPr>
        <w:t xml:space="preserve">Guérin (BCG), </w:t>
      </w:r>
      <w:r w:rsidR="00CF09BD">
        <w:rPr>
          <w:rFonts w:ascii="Times New Roman" w:hAnsi="Times New Roman" w:cs="Times New Roman"/>
        </w:rPr>
        <w:t>p</w:t>
      </w:r>
      <w:r w:rsidR="00EA108A" w:rsidRPr="00EA108A">
        <w:rPr>
          <w:rFonts w:ascii="Times New Roman" w:hAnsi="Times New Roman" w:cs="Times New Roman"/>
        </w:rPr>
        <w:t xml:space="preserve">oliomyelitis-containing vaccine </w:t>
      </w:r>
      <w:r w:rsidRPr="009C417A">
        <w:rPr>
          <w:rFonts w:ascii="Times New Roman" w:hAnsi="Times New Roman" w:cs="Times New Roman"/>
        </w:rPr>
        <w:t>(</w:t>
      </w:r>
      <w:r w:rsidR="00E8653C">
        <w:rPr>
          <w:rFonts w:ascii="Times New Roman" w:hAnsi="Times New Roman" w:cs="Times New Roman"/>
        </w:rPr>
        <w:t>IPV1/IPV2/POL3</w:t>
      </w:r>
      <w:r w:rsidRPr="009C417A">
        <w:rPr>
          <w:rFonts w:ascii="Times New Roman" w:hAnsi="Times New Roman" w:cs="Times New Roman"/>
        </w:rPr>
        <w:t>), and pneumococcal conjugate vaccine (PCV</w:t>
      </w:r>
      <w:r w:rsidR="00776D75">
        <w:rPr>
          <w:rFonts w:ascii="Times New Roman" w:hAnsi="Times New Roman" w:cs="Times New Roman"/>
        </w:rPr>
        <w:t>3</w:t>
      </w:r>
      <w:r w:rsidRPr="009C417A">
        <w:rPr>
          <w:rFonts w:ascii="Times New Roman" w:hAnsi="Times New Roman" w:cs="Times New Roman"/>
        </w:rPr>
        <w:t xml:space="preserve">). </w:t>
      </w:r>
      <w:r w:rsidR="00034DD0" w:rsidRPr="00034DD0">
        <w:rPr>
          <w:rFonts w:ascii="Times New Roman" w:hAnsi="Times New Roman" w:cs="Times New Roman"/>
        </w:rPr>
        <w:t xml:space="preserve">95% credible interval (CrI) </w:t>
      </w:r>
      <w:r w:rsidR="00E82899">
        <w:rPr>
          <w:rFonts w:ascii="Times New Roman" w:hAnsi="Times New Roman" w:cs="Times New Roman" w:hint="eastAsia"/>
        </w:rPr>
        <w:t xml:space="preserve">for the predictor </w:t>
      </w:r>
      <w:r w:rsidR="00D86B3C">
        <w:rPr>
          <w:rFonts w:ascii="Times New Roman" w:hAnsi="Times New Roman" w:cs="Times New Roman" w:hint="eastAsia"/>
        </w:rPr>
        <w:t>is</w:t>
      </w:r>
      <w:r w:rsidR="00C4546D">
        <w:rPr>
          <w:rFonts w:ascii="Times New Roman" w:hAnsi="Times New Roman" w:cs="Times New Roman" w:hint="eastAsia"/>
        </w:rPr>
        <w:t xml:space="preserve"> </w:t>
      </w:r>
      <w:r w:rsidR="00034DD0" w:rsidRPr="00034DD0">
        <w:rPr>
          <w:rFonts w:ascii="Times New Roman" w:hAnsi="Times New Roman" w:cs="Times New Roman"/>
        </w:rPr>
        <w:t xml:space="preserve">computed to assess statistical significance. </w:t>
      </w:r>
      <w:r w:rsidR="00003982" w:rsidRPr="00003982">
        <w:rPr>
          <w:rFonts w:ascii="Times New Roman" w:hAnsi="Times New Roman" w:cs="Times New Roman"/>
        </w:rPr>
        <w:t xml:space="preserve">Significant models are </w:t>
      </w:r>
      <w:r w:rsidR="007F0B97">
        <w:rPr>
          <w:rFonts w:ascii="Times New Roman" w:hAnsi="Times New Roman" w:cs="Times New Roman"/>
        </w:rPr>
        <w:t xml:space="preserve">fitted </w:t>
      </w:r>
      <w:r w:rsidR="00003982" w:rsidRPr="00003982">
        <w:rPr>
          <w:rFonts w:ascii="Times New Roman" w:hAnsi="Times New Roman" w:cs="Times New Roman"/>
        </w:rPr>
        <w:t>to project 2025 coverage where budget data are available.</w:t>
      </w:r>
    </w:p>
    <w:p w14:paraId="0C6F2352" w14:textId="2A6FD3B7" w:rsidR="005F2CD0" w:rsidRDefault="009C417A" w:rsidP="009E6DBA">
      <w:pPr>
        <w:spacing w:after="120" w:line="320" w:lineRule="atLeast"/>
        <w:rPr>
          <w:rFonts w:ascii="Times New Roman" w:hAnsi="Times New Roman" w:cs="Times New Roman"/>
        </w:rPr>
      </w:pPr>
      <w:r w:rsidRPr="009C417A">
        <w:rPr>
          <w:rFonts w:ascii="Times New Roman" w:hAnsi="Times New Roman" w:cs="Times New Roman"/>
          <w:b/>
          <w:bCs/>
        </w:rPr>
        <w:t>Results:</w:t>
      </w:r>
      <w:r w:rsidR="008A6556">
        <w:rPr>
          <w:rFonts w:ascii="Times New Roman" w:hAnsi="Times New Roman" w:cs="Times New Roman" w:hint="eastAsia"/>
          <w:b/>
          <w:bCs/>
        </w:rPr>
        <w:t xml:space="preserve"> </w:t>
      </w:r>
      <w:r w:rsidR="00E5679A" w:rsidRPr="00E5679A">
        <w:rPr>
          <w:rFonts w:ascii="Times New Roman" w:hAnsi="Times New Roman" w:cs="Times New Roman"/>
        </w:rPr>
        <w:t>In</w:t>
      </w:r>
      <w:r w:rsidR="00E5679A">
        <w:rPr>
          <w:rFonts w:ascii="Times New Roman" w:hAnsi="Times New Roman" w:cs="Times New Roman"/>
        </w:rPr>
        <w:t xml:space="preserve"> 19 selected LMICs, t</w:t>
      </w:r>
      <w:r w:rsidRPr="009C417A">
        <w:rPr>
          <w:rFonts w:ascii="Times New Roman" w:hAnsi="Times New Roman" w:cs="Times New Roman"/>
        </w:rPr>
        <w:t xml:space="preserve">he median (IQR) budget allocation was </w:t>
      </w:r>
      <w:r w:rsidR="00185A14">
        <w:rPr>
          <w:rFonts w:ascii="Times New Roman" w:hAnsi="Times New Roman" w:cs="Times New Roman"/>
        </w:rPr>
        <w:t>US$</w:t>
      </w:r>
      <w:r w:rsidR="001E3629" w:rsidRPr="001E3629">
        <w:rPr>
          <w:rFonts w:ascii="Times New Roman" w:hAnsi="Times New Roman" w:cs="Times New Roman"/>
        </w:rPr>
        <w:t>5</w:t>
      </w:r>
      <w:r w:rsidR="00185A14">
        <w:rPr>
          <w:rFonts w:ascii="Times New Roman" w:hAnsi="Times New Roman" w:cs="Times New Roman"/>
        </w:rPr>
        <w:t>,</w:t>
      </w:r>
      <w:r w:rsidR="001E3629" w:rsidRPr="001E3629">
        <w:rPr>
          <w:rFonts w:ascii="Times New Roman" w:hAnsi="Times New Roman" w:cs="Times New Roman"/>
        </w:rPr>
        <w:t>400</w:t>
      </w:r>
      <w:r w:rsidR="00185A14">
        <w:rPr>
          <w:rFonts w:ascii="Times New Roman" w:hAnsi="Times New Roman" w:cs="Times New Roman"/>
        </w:rPr>
        <w:t>,</w:t>
      </w:r>
      <w:r w:rsidR="001E3629" w:rsidRPr="001E3629">
        <w:rPr>
          <w:rFonts w:ascii="Times New Roman" w:hAnsi="Times New Roman" w:cs="Times New Roman"/>
        </w:rPr>
        <w:t>762</w:t>
      </w:r>
      <w:r w:rsidR="00967872">
        <w:rPr>
          <w:rFonts w:ascii="Times New Roman" w:hAnsi="Times New Roman" w:cs="Times New Roman"/>
        </w:rPr>
        <w:t xml:space="preserve"> (</w:t>
      </w:r>
      <w:r w:rsidR="001E3629" w:rsidRPr="001E3629">
        <w:rPr>
          <w:rFonts w:ascii="Times New Roman" w:hAnsi="Times New Roman" w:cs="Times New Roman"/>
        </w:rPr>
        <w:t>1</w:t>
      </w:r>
      <w:r w:rsidR="00967872">
        <w:rPr>
          <w:rFonts w:ascii="Times New Roman" w:hAnsi="Times New Roman" w:cs="Times New Roman"/>
        </w:rPr>
        <w:t>,</w:t>
      </w:r>
      <w:r w:rsidR="001E3629" w:rsidRPr="001E3629">
        <w:rPr>
          <w:rFonts w:ascii="Times New Roman" w:hAnsi="Times New Roman" w:cs="Times New Roman"/>
        </w:rPr>
        <w:t>852</w:t>
      </w:r>
      <w:r w:rsidR="00967872">
        <w:rPr>
          <w:rFonts w:ascii="Times New Roman" w:hAnsi="Times New Roman" w:cs="Times New Roman"/>
        </w:rPr>
        <w:t>,</w:t>
      </w:r>
      <w:r w:rsidR="001E3629" w:rsidRPr="001E3629">
        <w:rPr>
          <w:rFonts w:ascii="Times New Roman" w:hAnsi="Times New Roman" w:cs="Times New Roman"/>
        </w:rPr>
        <w:t>953</w:t>
      </w:r>
      <w:r w:rsidR="00CD6BCB">
        <w:rPr>
          <w:rFonts w:ascii="Times New Roman" w:hAnsi="Times New Roman" w:cs="Times New Roman"/>
        </w:rPr>
        <w:t xml:space="preserve"> </w:t>
      </w:r>
      <w:r w:rsidR="00456960">
        <w:rPr>
          <w:rFonts w:ascii="Times New Roman" w:hAnsi="Times New Roman" w:cs="Times New Roman" w:hint="eastAsia"/>
        </w:rPr>
        <w:t>to</w:t>
      </w:r>
      <w:r w:rsidR="00CD6BCB">
        <w:rPr>
          <w:rFonts w:ascii="Times New Roman" w:hAnsi="Times New Roman" w:cs="Times New Roman"/>
        </w:rPr>
        <w:t xml:space="preserve"> </w:t>
      </w:r>
      <w:r w:rsidR="001E3629" w:rsidRPr="001E3629">
        <w:rPr>
          <w:rFonts w:ascii="Times New Roman" w:hAnsi="Times New Roman" w:cs="Times New Roman"/>
        </w:rPr>
        <w:t>12</w:t>
      </w:r>
      <w:r w:rsidR="00967872">
        <w:rPr>
          <w:rFonts w:ascii="Times New Roman" w:hAnsi="Times New Roman" w:cs="Times New Roman"/>
        </w:rPr>
        <w:t>,</w:t>
      </w:r>
      <w:r w:rsidR="001E3629" w:rsidRPr="001E3629">
        <w:rPr>
          <w:rFonts w:ascii="Times New Roman" w:hAnsi="Times New Roman" w:cs="Times New Roman"/>
        </w:rPr>
        <w:t>974</w:t>
      </w:r>
      <w:r w:rsidR="00967872">
        <w:rPr>
          <w:rFonts w:ascii="Times New Roman" w:hAnsi="Times New Roman" w:cs="Times New Roman"/>
        </w:rPr>
        <w:t>,</w:t>
      </w:r>
      <w:r w:rsidR="001E3629" w:rsidRPr="001E3629">
        <w:rPr>
          <w:rFonts w:ascii="Times New Roman" w:hAnsi="Times New Roman" w:cs="Times New Roman"/>
        </w:rPr>
        <w:t>416</w:t>
      </w:r>
      <w:r w:rsidR="00967872">
        <w:rPr>
          <w:rFonts w:ascii="Times New Roman" w:hAnsi="Times New Roman" w:cs="Times New Roman"/>
        </w:rPr>
        <w:t>)</w:t>
      </w:r>
      <w:r w:rsidRPr="009C417A">
        <w:rPr>
          <w:rFonts w:ascii="Times New Roman" w:hAnsi="Times New Roman" w:cs="Times New Roman"/>
        </w:rPr>
        <w:t xml:space="preserve">, with a median increase rate of </w:t>
      </w:r>
      <w:r w:rsidR="00620710">
        <w:rPr>
          <w:rFonts w:ascii="Times New Roman" w:hAnsi="Times New Roman" w:cs="Times New Roman"/>
        </w:rPr>
        <w:t>1.17</w:t>
      </w:r>
      <w:r w:rsidRPr="009C417A">
        <w:rPr>
          <w:rFonts w:ascii="Times New Roman" w:hAnsi="Times New Roman" w:cs="Times New Roman"/>
        </w:rPr>
        <w:t>% (</w:t>
      </w:r>
      <w:r w:rsidR="00CB308C">
        <w:rPr>
          <w:rFonts w:ascii="Times New Roman" w:hAnsi="Times New Roman" w:cs="Times New Roman"/>
        </w:rPr>
        <w:t>-</w:t>
      </w:r>
      <w:r w:rsidR="00620710">
        <w:rPr>
          <w:rFonts w:ascii="Times New Roman" w:hAnsi="Times New Roman" w:cs="Times New Roman"/>
        </w:rPr>
        <w:t>24.9</w:t>
      </w:r>
      <w:r w:rsidRPr="009C417A">
        <w:rPr>
          <w:rFonts w:ascii="Times New Roman" w:hAnsi="Times New Roman" w:cs="Times New Roman"/>
        </w:rPr>
        <w:t>%</w:t>
      </w:r>
      <w:r w:rsidR="00CB308C">
        <w:rPr>
          <w:rFonts w:ascii="Times New Roman" w:hAnsi="Times New Roman" w:cs="Times New Roman"/>
        </w:rPr>
        <w:t xml:space="preserve"> </w:t>
      </w:r>
      <w:r w:rsidR="00456960">
        <w:rPr>
          <w:rFonts w:ascii="Times New Roman" w:hAnsi="Times New Roman" w:cs="Times New Roman" w:hint="eastAsia"/>
        </w:rPr>
        <w:t>to</w:t>
      </w:r>
      <w:r w:rsidR="00CB308C">
        <w:rPr>
          <w:rFonts w:ascii="Times New Roman" w:hAnsi="Times New Roman" w:cs="Times New Roman"/>
        </w:rPr>
        <w:t xml:space="preserve"> </w:t>
      </w:r>
      <w:r w:rsidR="00620710">
        <w:rPr>
          <w:rFonts w:ascii="Times New Roman" w:hAnsi="Times New Roman" w:cs="Times New Roman"/>
        </w:rPr>
        <w:t>29.9</w:t>
      </w:r>
      <w:r w:rsidRPr="009C417A">
        <w:rPr>
          <w:rFonts w:ascii="Times New Roman" w:hAnsi="Times New Roman" w:cs="Times New Roman"/>
        </w:rPr>
        <w:t xml:space="preserve">%). </w:t>
      </w:r>
      <w:r w:rsidR="0044660F" w:rsidRPr="0044660F">
        <w:rPr>
          <w:rFonts w:ascii="Times New Roman" w:hAnsi="Times New Roman" w:cs="Times New Roman"/>
        </w:rPr>
        <w:t xml:space="preserve">Positive posterior means </w:t>
      </w:r>
      <w:r w:rsidR="0081409E">
        <w:rPr>
          <w:rFonts w:ascii="Times New Roman" w:hAnsi="Times New Roman" w:cs="Times New Roman"/>
        </w:rPr>
        <w:t xml:space="preserve">are </w:t>
      </w:r>
      <w:r w:rsidR="0044660F" w:rsidRPr="0044660F">
        <w:rPr>
          <w:rFonts w:ascii="Times New Roman" w:hAnsi="Times New Roman" w:cs="Times New Roman"/>
        </w:rPr>
        <w:t xml:space="preserve">observed for all </w:t>
      </w:r>
      <w:r w:rsidR="0024410A">
        <w:rPr>
          <w:rFonts w:ascii="Times New Roman" w:hAnsi="Times New Roman" w:cs="Times New Roman"/>
        </w:rPr>
        <w:t>antigens</w:t>
      </w:r>
      <w:r w:rsidR="0044660F" w:rsidRPr="0044660F">
        <w:rPr>
          <w:rFonts w:ascii="Times New Roman" w:hAnsi="Times New Roman" w:cs="Times New Roman"/>
        </w:rPr>
        <w:t xml:space="preserve"> except MCV2 and IPV2</w:t>
      </w:r>
      <w:r w:rsidR="00164C4E">
        <w:rPr>
          <w:rFonts w:ascii="Times New Roman" w:hAnsi="Times New Roman" w:cs="Times New Roman"/>
        </w:rPr>
        <w:t xml:space="preserve">. </w:t>
      </w:r>
      <w:r w:rsidR="00C904A2">
        <w:rPr>
          <w:rFonts w:ascii="Times New Roman" w:hAnsi="Times New Roman" w:cs="Times New Roman"/>
        </w:rPr>
        <w:t xml:space="preserve">However, </w:t>
      </w:r>
      <w:r w:rsidR="00A62D5A">
        <w:rPr>
          <w:rFonts w:ascii="Times New Roman" w:hAnsi="Times New Roman" w:cs="Times New Roman"/>
        </w:rPr>
        <w:t>a</w:t>
      </w:r>
      <w:r w:rsidR="00C904A2" w:rsidRPr="00C904A2">
        <w:rPr>
          <w:rFonts w:ascii="Times New Roman" w:hAnsi="Times New Roman" w:cs="Times New Roman"/>
        </w:rPr>
        <w:t xml:space="preserve"> significant </w:t>
      </w:r>
      <w:r w:rsidR="005915CC">
        <w:rPr>
          <w:rFonts w:ascii="Times New Roman" w:hAnsi="Times New Roman" w:cs="Times New Roman"/>
        </w:rPr>
        <w:t xml:space="preserve">association </w:t>
      </w:r>
      <w:r w:rsidR="002509CC">
        <w:rPr>
          <w:rFonts w:ascii="Times New Roman" w:hAnsi="Times New Roman" w:cs="Times New Roman"/>
        </w:rPr>
        <w:t xml:space="preserve">between </w:t>
      </w:r>
      <w:r w:rsidR="00C904A2" w:rsidRPr="00C904A2">
        <w:rPr>
          <w:rFonts w:ascii="Times New Roman" w:hAnsi="Times New Roman" w:cs="Times New Roman"/>
        </w:rPr>
        <w:t>budget</w:t>
      </w:r>
      <w:r w:rsidR="002509CC">
        <w:rPr>
          <w:rFonts w:ascii="Times New Roman" w:hAnsi="Times New Roman" w:cs="Times New Roman"/>
        </w:rPr>
        <w:t xml:space="preserve"> increase to coverage improvement </w:t>
      </w:r>
      <w:r w:rsidR="00151D0F">
        <w:rPr>
          <w:rFonts w:ascii="Times New Roman" w:hAnsi="Times New Roman" w:cs="Times New Roman"/>
        </w:rPr>
        <w:t>i</w:t>
      </w:r>
      <w:r w:rsidR="00C904A2" w:rsidRPr="00C904A2">
        <w:rPr>
          <w:rFonts w:ascii="Times New Roman" w:hAnsi="Times New Roman" w:cs="Times New Roman"/>
        </w:rPr>
        <w:t>s identified only for DTPCV1 (posterior mean</w:t>
      </w:r>
      <w:r w:rsidR="00151D0F">
        <w:rPr>
          <w:rFonts w:ascii="Times New Roman" w:hAnsi="Times New Roman" w:cs="Times New Roman"/>
        </w:rPr>
        <w:t>:</w:t>
      </w:r>
      <w:r w:rsidR="00C904A2" w:rsidRPr="00C904A2">
        <w:rPr>
          <w:rFonts w:ascii="Times New Roman" w:hAnsi="Times New Roman" w:cs="Times New Roman"/>
        </w:rPr>
        <w:t xml:space="preserve"> 0.42</w:t>
      </w:r>
      <w:r w:rsidR="00250206">
        <w:rPr>
          <w:rFonts w:ascii="Times New Roman" w:hAnsi="Times New Roman" w:cs="Times New Roman"/>
        </w:rPr>
        <w:t>%</w:t>
      </w:r>
      <w:r w:rsidR="00C904A2" w:rsidRPr="00C904A2">
        <w:rPr>
          <w:rFonts w:ascii="Times New Roman" w:hAnsi="Times New Roman" w:cs="Times New Roman"/>
        </w:rPr>
        <w:t>, 95% CrI: 0.02</w:t>
      </w:r>
      <w:r w:rsidR="00250206">
        <w:rPr>
          <w:rFonts w:ascii="Times New Roman" w:hAnsi="Times New Roman" w:cs="Times New Roman"/>
        </w:rPr>
        <w:t>%</w:t>
      </w:r>
      <w:r w:rsidR="00C904A2" w:rsidRPr="00C904A2">
        <w:rPr>
          <w:rFonts w:ascii="Times New Roman" w:hAnsi="Times New Roman" w:cs="Times New Roman"/>
        </w:rPr>
        <w:t xml:space="preserve"> to 0.82</w:t>
      </w:r>
      <w:r w:rsidR="00250206">
        <w:rPr>
          <w:rFonts w:ascii="Times New Roman" w:hAnsi="Times New Roman" w:cs="Times New Roman"/>
        </w:rPr>
        <w:t>%</w:t>
      </w:r>
      <w:r w:rsidR="00C904A2" w:rsidRPr="00C904A2">
        <w:rPr>
          <w:rFonts w:ascii="Times New Roman" w:hAnsi="Times New Roman" w:cs="Times New Roman"/>
        </w:rPr>
        <w:t>).</w:t>
      </w:r>
      <w:r w:rsidR="00DD366F">
        <w:rPr>
          <w:rFonts w:ascii="Times New Roman" w:hAnsi="Times New Roman" w:cs="Times New Roman"/>
        </w:rPr>
        <w:t xml:space="preserve"> </w:t>
      </w:r>
      <w:r w:rsidR="00ED6082" w:rsidRPr="00ED6082">
        <w:rPr>
          <w:rFonts w:ascii="Times New Roman" w:hAnsi="Times New Roman" w:cs="Times New Roman"/>
        </w:rPr>
        <w:t>The 2025 outlook for DTPCV1 coverage in Kenya, Madagascar, Mali, Togo, and Zambia is an average increase of 0.5% (95% CrI: -4.6% to 5.5%)</w:t>
      </w:r>
      <w:r w:rsidR="005F2CD0" w:rsidRPr="005F2CD0">
        <w:rPr>
          <w:rFonts w:ascii="Times New Roman" w:hAnsi="Times New Roman" w:cs="Times New Roman"/>
        </w:rPr>
        <w:t xml:space="preserve">, corresponding to an </w:t>
      </w:r>
      <w:r w:rsidR="007D710A">
        <w:rPr>
          <w:rFonts w:ascii="Times New Roman" w:hAnsi="Times New Roman" w:cs="Times New Roman"/>
        </w:rPr>
        <w:t xml:space="preserve">expected </w:t>
      </w:r>
      <w:r w:rsidR="00E80B29">
        <w:rPr>
          <w:rFonts w:ascii="Times New Roman" w:hAnsi="Times New Roman" w:cs="Times New Roman"/>
        </w:rPr>
        <w:t xml:space="preserve">average </w:t>
      </w:r>
      <w:r w:rsidR="005F2CD0" w:rsidRPr="005F2CD0">
        <w:rPr>
          <w:rFonts w:ascii="Times New Roman" w:hAnsi="Times New Roman" w:cs="Times New Roman"/>
        </w:rPr>
        <w:t>coverage of 88.6% (95% CrI: 84.2% to 93.0%).</w:t>
      </w:r>
    </w:p>
    <w:p w14:paraId="5DFB5FDD" w14:textId="3CBDCA68" w:rsidR="009C417A" w:rsidRPr="007713A0" w:rsidRDefault="009C417A" w:rsidP="009E6DBA">
      <w:pPr>
        <w:spacing w:after="120" w:line="320" w:lineRule="atLeast"/>
        <w:rPr>
          <w:rFonts w:ascii="Times New Roman" w:hAnsi="Times New Roman" w:cs="Times New Roman"/>
        </w:rPr>
      </w:pPr>
      <w:r w:rsidRPr="009C417A">
        <w:rPr>
          <w:rFonts w:ascii="Times New Roman" w:hAnsi="Times New Roman" w:cs="Times New Roman"/>
          <w:b/>
          <w:bCs/>
        </w:rPr>
        <w:t>Conclusion:</w:t>
      </w:r>
      <w:r w:rsidR="008A6556" w:rsidRPr="00E922D3">
        <w:rPr>
          <w:rFonts w:ascii="Times New Roman" w:hAnsi="Times New Roman" w:cs="Times New Roman" w:hint="eastAsia"/>
        </w:rPr>
        <w:t xml:space="preserve"> </w:t>
      </w:r>
      <w:r w:rsidR="007D0283">
        <w:rPr>
          <w:rFonts w:ascii="Times New Roman" w:hAnsi="Times New Roman" w:cs="Times New Roman"/>
        </w:rPr>
        <w:t>I</w:t>
      </w:r>
      <w:r w:rsidR="00E922D3" w:rsidRPr="00E922D3">
        <w:rPr>
          <w:rFonts w:ascii="Times New Roman" w:hAnsi="Times New Roman" w:cs="Times New Roman"/>
        </w:rPr>
        <w:t xml:space="preserve">mmunisation </w:t>
      </w:r>
      <w:r w:rsidR="007F3F15">
        <w:rPr>
          <w:rFonts w:ascii="Times New Roman" w:hAnsi="Times New Roman" w:cs="Times New Roman"/>
        </w:rPr>
        <w:t xml:space="preserve">function L1 </w:t>
      </w:r>
      <w:r w:rsidR="00E922D3" w:rsidRPr="00E922D3">
        <w:rPr>
          <w:rFonts w:ascii="Times New Roman" w:hAnsi="Times New Roman" w:cs="Times New Roman"/>
        </w:rPr>
        <w:t xml:space="preserve">budget increases </w:t>
      </w:r>
      <w:r w:rsidR="001B5934">
        <w:rPr>
          <w:rFonts w:ascii="Times New Roman" w:hAnsi="Times New Roman" w:cs="Times New Roman"/>
        </w:rPr>
        <w:t>demonstrate</w:t>
      </w:r>
      <w:r w:rsidR="004543FA">
        <w:rPr>
          <w:rFonts w:ascii="Times New Roman" w:hAnsi="Times New Roman" w:cs="Times New Roman"/>
        </w:rPr>
        <w:t xml:space="preserve"> </w:t>
      </w:r>
      <w:r w:rsidR="00E922D3" w:rsidRPr="00E922D3">
        <w:rPr>
          <w:rFonts w:ascii="Times New Roman" w:hAnsi="Times New Roman" w:cs="Times New Roman"/>
        </w:rPr>
        <w:t xml:space="preserve">a small but consistent influence on DTPCV1 coverage in LMIC settings. Unlike lagging expenditure data, budget data are </w:t>
      </w:r>
      <w:r w:rsidR="008E6103">
        <w:rPr>
          <w:rFonts w:ascii="Times New Roman" w:hAnsi="Times New Roman" w:cs="Times New Roman"/>
        </w:rPr>
        <w:t>typically</w:t>
      </w:r>
      <w:r w:rsidR="00E922D3" w:rsidRPr="00E922D3">
        <w:rPr>
          <w:rFonts w:ascii="Times New Roman" w:hAnsi="Times New Roman" w:cs="Times New Roman"/>
        </w:rPr>
        <w:t xml:space="preserve"> available </w:t>
      </w:r>
      <w:r w:rsidR="008E6103">
        <w:rPr>
          <w:rFonts w:ascii="Times New Roman" w:hAnsi="Times New Roman" w:cs="Times New Roman"/>
        </w:rPr>
        <w:t xml:space="preserve">prior to </w:t>
      </w:r>
      <w:r w:rsidR="00E922D3" w:rsidRPr="00E922D3">
        <w:rPr>
          <w:rFonts w:ascii="Times New Roman" w:hAnsi="Times New Roman" w:cs="Times New Roman"/>
        </w:rPr>
        <w:t xml:space="preserve">programme implementation, </w:t>
      </w:r>
      <w:r w:rsidR="007F6322">
        <w:rPr>
          <w:rFonts w:ascii="Times New Roman" w:hAnsi="Times New Roman" w:cs="Times New Roman"/>
        </w:rPr>
        <w:t xml:space="preserve">making </w:t>
      </w:r>
      <w:r w:rsidR="00E922D3" w:rsidRPr="00E922D3">
        <w:rPr>
          <w:rFonts w:ascii="Times New Roman" w:hAnsi="Times New Roman" w:cs="Times New Roman"/>
        </w:rPr>
        <w:t>GIBD</w:t>
      </w:r>
      <w:r w:rsidR="002E09F8">
        <w:rPr>
          <w:rFonts w:ascii="Times New Roman" w:hAnsi="Times New Roman" w:cs="Times New Roman"/>
        </w:rPr>
        <w:t xml:space="preserve"> </w:t>
      </w:r>
      <w:r w:rsidR="00E922D3" w:rsidRPr="00E922D3">
        <w:rPr>
          <w:rFonts w:ascii="Times New Roman" w:hAnsi="Times New Roman" w:cs="Times New Roman"/>
        </w:rPr>
        <w:t xml:space="preserve">a valuable </w:t>
      </w:r>
      <w:r w:rsidR="00BE0D28">
        <w:rPr>
          <w:rFonts w:ascii="Times New Roman" w:hAnsi="Times New Roman" w:cs="Times New Roman"/>
        </w:rPr>
        <w:t>tool</w:t>
      </w:r>
      <w:r w:rsidR="002E09F8">
        <w:rPr>
          <w:rFonts w:ascii="Times New Roman" w:hAnsi="Times New Roman" w:cs="Times New Roman"/>
        </w:rPr>
        <w:t xml:space="preserve"> </w:t>
      </w:r>
      <w:r w:rsidR="00E922D3" w:rsidRPr="00E922D3">
        <w:rPr>
          <w:rFonts w:ascii="Times New Roman" w:hAnsi="Times New Roman" w:cs="Times New Roman"/>
        </w:rPr>
        <w:t xml:space="preserve">for early </w:t>
      </w:r>
      <w:r w:rsidR="006171C9">
        <w:rPr>
          <w:rFonts w:ascii="Times New Roman" w:hAnsi="Times New Roman" w:cs="Times New Roman"/>
        </w:rPr>
        <w:t xml:space="preserve">coverage </w:t>
      </w:r>
      <w:r w:rsidR="00E922D3" w:rsidRPr="00E922D3">
        <w:rPr>
          <w:rFonts w:ascii="Times New Roman" w:hAnsi="Times New Roman" w:cs="Times New Roman"/>
        </w:rPr>
        <w:t>outlooks</w:t>
      </w:r>
      <w:r w:rsidR="00565A0F">
        <w:rPr>
          <w:rFonts w:ascii="Times New Roman" w:hAnsi="Times New Roman" w:cs="Times New Roman"/>
        </w:rPr>
        <w:t xml:space="preserve">, </w:t>
      </w:r>
      <w:r w:rsidR="00C54334">
        <w:rPr>
          <w:rFonts w:ascii="Times New Roman" w:hAnsi="Times New Roman" w:cs="Times New Roman"/>
        </w:rPr>
        <w:t xml:space="preserve">particularly </w:t>
      </w:r>
      <w:r w:rsidR="008C67AD">
        <w:rPr>
          <w:rFonts w:ascii="Times New Roman" w:hAnsi="Times New Roman" w:cs="Times New Roman"/>
        </w:rPr>
        <w:t xml:space="preserve">in </w:t>
      </w:r>
      <w:r w:rsidR="00565A0F">
        <w:rPr>
          <w:rFonts w:ascii="Times New Roman" w:hAnsi="Times New Roman" w:cs="Times New Roman"/>
        </w:rPr>
        <w:t>outbreaks.</w:t>
      </w:r>
      <w:r w:rsidR="00E611FD">
        <w:rPr>
          <w:rFonts w:ascii="Times New Roman" w:hAnsi="Times New Roman" w:cs="Times New Roman"/>
        </w:rPr>
        <w:t xml:space="preserve"> </w:t>
      </w:r>
      <w:r w:rsidR="000F2F95" w:rsidRPr="000F2F95">
        <w:rPr>
          <w:rFonts w:ascii="Times New Roman" w:hAnsi="Times New Roman" w:cs="Times New Roman"/>
        </w:rPr>
        <w:t xml:space="preserve">Further exploration is needed on </w:t>
      </w:r>
      <w:r w:rsidR="00334171" w:rsidRPr="000F2F95">
        <w:rPr>
          <w:rFonts w:ascii="Times New Roman" w:hAnsi="Times New Roman" w:cs="Times New Roman"/>
        </w:rPr>
        <w:t>antigen-specific</w:t>
      </w:r>
      <w:r w:rsidR="000F2F95" w:rsidRPr="000F2F95">
        <w:rPr>
          <w:rFonts w:ascii="Times New Roman" w:hAnsi="Times New Roman" w:cs="Times New Roman"/>
        </w:rPr>
        <w:t xml:space="preserve"> immunisation function data</w:t>
      </w:r>
      <w:r w:rsidR="00BE5EAF">
        <w:rPr>
          <w:rFonts w:ascii="Times New Roman" w:hAnsi="Times New Roman" w:cs="Times New Roman"/>
        </w:rPr>
        <w:t xml:space="preserve"> </w:t>
      </w:r>
      <w:r w:rsidR="000F2F95" w:rsidRPr="000F2F95">
        <w:rPr>
          <w:rFonts w:ascii="Times New Roman" w:hAnsi="Times New Roman" w:cs="Times New Roman"/>
        </w:rPr>
        <w:t>and their links to health financing indicators</w:t>
      </w:r>
      <w:r w:rsidR="007E4073">
        <w:rPr>
          <w:rFonts w:ascii="Times New Roman" w:hAnsi="Times New Roman" w:cs="Times New Roman"/>
        </w:rPr>
        <w:t>.</w:t>
      </w:r>
    </w:p>
    <w:sectPr w:rsidR="009C417A" w:rsidRPr="0077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E0846"/>
    <w:multiLevelType w:val="multilevel"/>
    <w:tmpl w:val="A230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42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E4"/>
    <w:rsid w:val="00003982"/>
    <w:rsid w:val="00005F77"/>
    <w:rsid w:val="00007D77"/>
    <w:rsid w:val="00011EF7"/>
    <w:rsid w:val="00020643"/>
    <w:rsid w:val="00022746"/>
    <w:rsid w:val="00025658"/>
    <w:rsid w:val="00026235"/>
    <w:rsid w:val="00030473"/>
    <w:rsid w:val="00030C1D"/>
    <w:rsid w:val="000320E4"/>
    <w:rsid w:val="00034DD0"/>
    <w:rsid w:val="0003578F"/>
    <w:rsid w:val="00045F1A"/>
    <w:rsid w:val="0005217A"/>
    <w:rsid w:val="000645AE"/>
    <w:rsid w:val="000647D9"/>
    <w:rsid w:val="00065143"/>
    <w:rsid w:val="00065D4E"/>
    <w:rsid w:val="00066612"/>
    <w:rsid w:val="00072C87"/>
    <w:rsid w:val="0007387B"/>
    <w:rsid w:val="00084D17"/>
    <w:rsid w:val="000861DC"/>
    <w:rsid w:val="000919B1"/>
    <w:rsid w:val="000A040C"/>
    <w:rsid w:val="000A0EE4"/>
    <w:rsid w:val="000A4852"/>
    <w:rsid w:val="000B22DB"/>
    <w:rsid w:val="000B27BA"/>
    <w:rsid w:val="000C42DA"/>
    <w:rsid w:val="000C6185"/>
    <w:rsid w:val="000E46AA"/>
    <w:rsid w:val="000E57C1"/>
    <w:rsid w:val="000E5AB0"/>
    <w:rsid w:val="000E66EE"/>
    <w:rsid w:val="000F28C7"/>
    <w:rsid w:val="000F2F95"/>
    <w:rsid w:val="000F42FB"/>
    <w:rsid w:val="000F4A43"/>
    <w:rsid w:val="000F521A"/>
    <w:rsid w:val="000F7B4E"/>
    <w:rsid w:val="001018A6"/>
    <w:rsid w:val="00105B01"/>
    <w:rsid w:val="00111D9E"/>
    <w:rsid w:val="00112FA6"/>
    <w:rsid w:val="00113B37"/>
    <w:rsid w:val="00114E13"/>
    <w:rsid w:val="00115C57"/>
    <w:rsid w:val="00117BA0"/>
    <w:rsid w:val="00121187"/>
    <w:rsid w:val="0012327E"/>
    <w:rsid w:val="00126703"/>
    <w:rsid w:val="00130CE0"/>
    <w:rsid w:val="00135B3E"/>
    <w:rsid w:val="00141218"/>
    <w:rsid w:val="0014227F"/>
    <w:rsid w:val="00146205"/>
    <w:rsid w:val="00151D0F"/>
    <w:rsid w:val="00157257"/>
    <w:rsid w:val="00157602"/>
    <w:rsid w:val="00164C4E"/>
    <w:rsid w:val="00165E9D"/>
    <w:rsid w:val="00167DFD"/>
    <w:rsid w:val="00170765"/>
    <w:rsid w:val="00171170"/>
    <w:rsid w:val="0017155F"/>
    <w:rsid w:val="00171B43"/>
    <w:rsid w:val="00181EE8"/>
    <w:rsid w:val="0018353E"/>
    <w:rsid w:val="0018423B"/>
    <w:rsid w:val="0018488A"/>
    <w:rsid w:val="00185849"/>
    <w:rsid w:val="00185A14"/>
    <w:rsid w:val="00186994"/>
    <w:rsid w:val="00193DCB"/>
    <w:rsid w:val="001943BD"/>
    <w:rsid w:val="001962EB"/>
    <w:rsid w:val="00197429"/>
    <w:rsid w:val="001A014B"/>
    <w:rsid w:val="001A340E"/>
    <w:rsid w:val="001B1292"/>
    <w:rsid w:val="001B339D"/>
    <w:rsid w:val="001B5934"/>
    <w:rsid w:val="001B61DD"/>
    <w:rsid w:val="001C0673"/>
    <w:rsid w:val="001C07C7"/>
    <w:rsid w:val="001C330E"/>
    <w:rsid w:val="001C5B9F"/>
    <w:rsid w:val="001D0B3B"/>
    <w:rsid w:val="001D295A"/>
    <w:rsid w:val="001E03D4"/>
    <w:rsid w:val="001E0808"/>
    <w:rsid w:val="001E20DA"/>
    <w:rsid w:val="001E3629"/>
    <w:rsid w:val="001E7C16"/>
    <w:rsid w:val="002035AE"/>
    <w:rsid w:val="00205261"/>
    <w:rsid w:val="00205AF8"/>
    <w:rsid w:val="00206D76"/>
    <w:rsid w:val="00207778"/>
    <w:rsid w:val="00222033"/>
    <w:rsid w:val="002229EE"/>
    <w:rsid w:val="00226865"/>
    <w:rsid w:val="00233B1D"/>
    <w:rsid w:val="00234C61"/>
    <w:rsid w:val="00236B8D"/>
    <w:rsid w:val="00242319"/>
    <w:rsid w:val="0024410A"/>
    <w:rsid w:val="00250206"/>
    <w:rsid w:val="00250894"/>
    <w:rsid w:val="002509CC"/>
    <w:rsid w:val="002607C9"/>
    <w:rsid w:val="00260C29"/>
    <w:rsid w:val="002705C5"/>
    <w:rsid w:val="00271149"/>
    <w:rsid w:val="0027191C"/>
    <w:rsid w:val="00274AAB"/>
    <w:rsid w:val="00275187"/>
    <w:rsid w:val="00275EAC"/>
    <w:rsid w:val="00282395"/>
    <w:rsid w:val="00282970"/>
    <w:rsid w:val="002849E5"/>
    <w:rsid w:val="00290055"/>
    <w:rsid w:val="00292A59"/>
    <w:rsid w:val="00294817"/>
    <w:rsid w:val="002A1E76"/>
    <w:rsid w:val="002A32F5"/>
    <w:rsid w:val="002A7FD5"/>
    <w:rsid w:val="002B0D13"/>
    <w:rsid w:val="002B78AD"/>
    <w:rsid w:val="002C07FD"/>
    <w:rsid w:val="002C335F"/>
    <w:rsid w:val="002C34E1"/>
    <w:rsid w:val="002C710A"/>
    <w:rsid w:val="002C726F"/>
    <w:rsid w:val="002D1EFC"/>
    <w:rsid w:val="002E09F8"/>
    <w:rsid w:val="002E2A39"/>
    <w:rsid w:val="002E60FB"/>
    <w:rsid w:val="002E6BD7"/>
    <w:rsid w:val="00301D98"/>
    <w:rsid w:val="0031199D"/>
    <w:rsid w:val="00315567"/>
    <w:rsid w:val="00321355"/>
    <w:rsid w:val="00324426"/>
    <w:rsid w:val="00326075"/>
    <w:rsid w:val="00331BFE"/>
    <w:rsid w:val="00334171"/>
    <w:rsid w:val="00340921"/>
    <w:rsid w:val="003413FF"/>
    <w:rsid w:val="00346632"/>
    <w:rsid w:val="00353BC6"/>
    <w:rsid w:val="003553A8"/>
    <w:rsid w:val="003555B2"/>
    <w:rsid w:val="00357FD0"/>
    <w:rsid w:val="00360F1A"/>
    <w:rsid w:val="003755CE"/>
    <w:rsid w:val="00380E5D"/>
    <w:rsid w:val="00392479"/>
    <w:rsid w:val="003A6079"/>
    <w:rsid w:val="003A6DD1"/>
    <w:rsid w:val="003B4035"/>
    <w:rsid w:val="003B5B74"/>
    <w:rsid w:val="003C703E"/>
    <w:rsid w:val="003C7594"/>
    <w:rsid w:val="003D0F64"/>
    <w:rsid w:val="003D1285"/>
    <w:rsid w:val="003D283E"/>
    <w:rsid w:val="003D33F3"/>
    <w:rsid w:val="003D3AFD"/>
    <w:rsid w:val="003D6EA6"/>
    <w:rsid w:val="003D7536"/>
    <w:rsid w:val="003E2A3E"/>
    <w:rsid w:val="003F3850"/>
    <w:rsid w:val="003F3A54"/>
    <w:rsid w:val="003F513E"/>
    <w:rsid w:val="003F6455"/>
    <w:rsid w:val="003F6E45"/>
    <w:rsid w:val="00402214"/>
    <w:rsid w:val="004068F6"/>
    <w:rsid w:val="004069F4"/>
    <w:rsid w:val="00406FE3"/>
    <w:rsid w:val="0040700B"/>
    <w:rsid w:val="004239D1"/>
    <w:rsid w:val="00445BE1"/>
    <w:rsid w:val="0044660F"/>
    <w:rsid w:val="004543FA"/>
    <w:rsid w:val="00456960"/>
    <w:rsid w:val="00471025"/>
    <w:rsid w:val="00471F4A"/>
    <w:rsid w:val="00473799"/>
    <w:rsid w:val="00473F62"/>
    <w:rsid w:val="004747CC"/>
    <w:rsid w:val="004754EA"/>
    <w:rsid w:val="0048047B"/>
    <w:rsid w:val="004862EB"/>
    <w:rsid w:val="004962FE"/>
    <w:rsid w:val="004966B5"/>
    <w:rsid w:val="004A0760"/>
    <w:rsid w:val="004A2602"/>
    <w:rsid w:val="004A6669"/>
    <w:rsid w:val="004B4C9C"/>
    <w:rsid w:val="004B5603"/>
    <w:rsid w:val="004B6577"/>
    <w:rsid w:val="004B6E66"/>
    <w:rsid w:val="004C07AA"/>
    <w:rsid w:val="004C3211"/>
    <w:rsid w:val="004D0043"/>
    <w:rsid w:val="004D1B4D"/>
    <w:rsid w:val="004E71C8"/>
    <w:rsid w:val="004E74A7"/>
    <w:rsid w:val="004F30F2"/>
    <w:rsid w:val="004F4EC0"/>
    <w:rsid w:val="004F572F"/>
    <w:rsid w:val="004F762E"/>
    <w:rsid w:val="00500623"/>
    <w:rsid w:val="00503997"/>
    <w:rsid w:val="00504CDE"/>
    <w:rsid w:val="0050507F"/>
    <w:rsid w:val="0051044E"/>
    <w:rsid w:val="005143DB"/>
    <w:rsid w:val="00520B83"/>
    <w:rsid w:val="005268C2"/>
    <w:rsid w:val="005277DA"/>
    <w:rsid w:val="00533088"/>
    <w:rsid w:val="00534055"/>
    <w:rsid w:val="00534D50"/>
    <w:rsid w:val="00537575"/>
    <w:rsid w:val="00541849"/>
    <w:rsid w:val="00547635"/>
    <w:rsid w:val="00565A0F"/>
    <w:rsid w:val="00570BCB"/>
    <w:rsid w:val="00573BD2"/>
    <w:rsid w:val="00574796"/>
    <w:rsid w:val="00581320"/>
    <w:rsid w:val="00581CB6"/>
    <w:rsid w:val="00585034"/>
    <w:rsid w:val="00586332"/>
    <w:rsid w:val="005915CC"/>
    <w:rsid w:val="00591C72"/>
    <w:rsid w:val="005945CF"/>
    <w:rsid w:val="005972CE"/>
    <w:rsid w:val="005A0C11"/>
    <w:rsid w:val="005A5979"/>
    <w:rsid w:val="005B6E1D"/>
    <w:rsid w:val="005C21A7"/>
    <w:rsid w:val="005C2882"/>
    <w:rsid w:val="005D0775"/>
    <w:rsid w:val="005D1B3E"/>
    <w:rsid w:val="005D4D73"/>
    <w:rsid w:val="005E339C"/>
    <w:rsid w:val="005E5777"/>
    <w:rsid w:val="005E7BBA"/>
    <w:rsid w:val="005F1262"/>
    <w:rsid w:val="005F2CD0"/>
    <w:rsid w:val="005F32A0"/>
    <w:rsid w:val="005F5CE4"/>
    <w:rsid w:val="005F6E87"/>
    <w:rsid w:val="005F7BD6"/>
    <w:rsid w:val="0060710D"/>
    <w:rsid w:val="006114CD"/>
    <w:rsid w:val="00612597"/>
    <w:rsid w:val="00614017"/>
    <w:rsid w:val="006171C9"/>
    <w:rsid w:val="00617D86"/>
    <w:rsid w:val="0062035F"/>
    <w:rsid w:val="00620710"/>
    <w:rsid w:val="00620815"/>
    <w:rsid w:val="006209E2"/>
    <w:rsid w:val="00631B1F"/>
    <w:rsid w:val="00641352"/>
    <w:rsid w:val="00641FF2"/>
    <w:rsid w:val="00642327"/>
    <w:rsid w:val="00642B26"/>
    <w:rsid w:val="00643DAA"/>
    <w:rsid w:val="00646858"/>
    <w:rsid w:val="00660C98"/>
    <w:rsid w:val="0066544C"/>
    <w:rsid w:val="006716EB"/>
    <w:rsid w:val="00683DE4"/>
    <w:rsid w:val="006932CF"/>
    <w:rsid w:val="00697598"/>
    <w:rsid w:val="006A6B1B"/>
    <w:rsid w:val="006A7547"/>
    <w:rsid w:val="006C0D54"/>
    <w:rsid w:val="006D15C2"/>
    <w:rsid w:val="006D391F"/>
    <w:rsid w:val="006E04FB"/>
    <w:rsid w:val="006E09DF"/>
    <w:rsid w:val="006E0C47"/>
    <w:rsid w:val="006E2156"/>
    <w:rsid w:val="006E7A77"/>
    <w:rsid w:val="006F02B8"/>
    <w:rsid w:val="006F28B9"/>
    <w:rsid w:val="00711999"/>
    <w:rsid w:val="0072493A"/>
    <w:rsid w:val="00725476"/>
    <w:rsid w:val="00732B49"/>
    <w:rsid w:val="00736AEC"/>
    <w:rsid w:val="00737875"/>
    <w:rsid w:val="00737E97"/>
    <w:rsid w:val="00737F5D"/>
    <w:rsid w:val="00742F19"/>
    <w:rsid w:val="00752768"/>
    <w:rsid w:val="007629B4"/>
    <w:rsid w:val="00767CC1"/>
    <w:rsid w:val="0077057A"/>
    <w:rsid w:val="007713A0"/>
    <w:rsid w:val="00773129"/>
    <w:rsid w:val="00776B9C"/>
    <w:rsid w:val="00776D75"/>
    <w:rsid w:val="00780B24"/>
    <w:rsid w:val="0078592C"/>
    <w:rsid w:val="00790CB9"/>
    <w:rsid w:val="00793C19"/>
    <w:rsid w:val="00796760"/>
    <w:rsid w:val="0079701C"/>
    <w:rsid w:val="00797BE7"/>
    <w:rsid w:val="007A2306"/>
    <w:rsid w:val="007A2F8B"/>
    <w:rsid w:val="007B48B4"/>
    <w:rsid w:val="007B7F41"/>
    <w:rsid w:val="007C2C5F"/>
    <w:rsid w:val="007C5659"/>
    <w:rsid w:val="007D0283"/>
    <w:rsid w:val="007D710A"/>
    <w:rsid w:val="007D745D"/>
    <w:rsid w:val="007E4073"/>
    <w:rsid w:val="007E77E3"/>
    <w:rsid w:val="007E7DD4"/>
    <w:rsid w:val="007F0B97"/>
    <w:rsid w:val="007F12C6"/>
    <w:rsid w:val="007F3BF2"/>
    <w:rsid w:val="007F3F15"/>
    <w:rsid w:val="007F5530"/>
    <w:rsid w:val="007F6322"/>
    <w:rsid w:val="00810CA6"/>
    <w:rsid w:val="00810E00"/>
    <w:rsid w:val="00813981"/>
    <w:rsid w:val="008139D1"/>
    <w:rsid w:val="0081409E"/>
    <w:rsid w:val="008176FB"/>
    <w:rsid w:val="00820EA6"/>
    <w:rsid w:val="008237C9"/>
    <w:rsid w:val="008250F5"/>
    <w:rsid w:val="00825452"/>
    <w:rsid w:val="008308F3"/>
    <w:rsid w:val="00831217"/>
    <w:rsid w:val="00837860"/>
    <w:rsid w:val="008412C4"/>
    <w:rsid w:val="008507C5"/>
    <w:rsid w:val="0085421E"/>
    <w:rsid w:val="008544D1"/>
    <w:rsid w:val="00854B67"/>
    <w:rsid w:val="00880A6E"/>
    <w:rsid w:val="008827CB"/>
    <w:rsid w:val="008869A6"/>
    <w:rsid w:val="00886EEA"/>
    <w:rsid w:val="008909BA"/>
    <w:rsid w:val="008927FA"/>
    <w:rsid w:val="008A2EFB"/>
    <w:rsid w:val="008A6556"/>
    <w:rsid w:val="008A67C2"/>
    <w:rsid w:val="008B2D91"/>
    <w:rsid w:val="008B52F0"/>
    <w:rsid w:val="008C1B4E"/>
    <w:rsid w:val="008C1D19"/>
    <w:rsid w:val="008C508A"/>
    <w:rsid w:val="008C67AD"/>
    <w:rsid w:val="008D6894"/>
    <w:rsid w:val="008E3D3D"/>
    <w:rsid w:val="008E6103"/>
    <w:rsid w:val="008F1EC8"/>
    <w:rsid w:val="008F30E4"/>
    <w:rsid w:val="008F4BB1"/>
    <w:rsid w:val="008F7A06"/>
    <w:rsid w:val="008F7E5B"/>
    <w:rsid w:val="00901667"/>
    <w:rsid w:val="009056D0"/>
    <w:rsid w:val="00912EEB"/>
    <w:rsid w:val="00920CEA"/>
    <w:rsid w:val="0092178B"/>
    <w:rsid w:val="00924DFE"/>
    <w:rsid w:val="009261CE"/>
    <w:rsid w:val="009271C8"/>
    <w:rsid w:val="0093076D"/>
    <w:rsid w:val="00935039"/>
    <w:rsid w:val="00940156"/>
    <w:rsid w:val="00942829"/>
    <w:rsid w:val="00946C75"/>
    <w:rsid w:val="00950583"/>
    <w:rsid w:val="009623B2"/>
    <w:rsid w:val="00962A1C"/>
    <w:rsid w:val="00962C7E"/>
    <w:rsid w:val="00967872"/>
    <w:rsid w:val="00972AD8"/>
    <w:rsid w:val="009749E6"/>
    <w:rsid w:val="009753BB"/>
    <w:rsid w:val="00975C74"/>
    <w:rsid w:val="0098115B"/>
    <w:rsid w:val="00984A5E"/>
    <w:rsid w:val="00985529"/>
    <w:rsid w:val="009962F8"/>
    <w:rsid w:val="009A6131"/>
    <w:rsid w:val="009A69B7"/>
    <w:rsid w:val="009B02A4"/>
    <w:rsid w:val="009B369D"/>
    <w:rsid w:val="009B7575"/>
    <w:rsid w:val="009C0F0F"/>
    <w:rsid w:val="009C417A"/>
    <w:rsid w:val="009C54C9"/>
    <w:rsid w:val="009D23A4"/>
    <w:rsid w:val="009D7BFB"/>
    <w:rsid w:val="009E1884"/>
    <w:rsid w:val="009E6DBA"/>
    <w:rsid w:val="009F290D"/>
    <w:rsid w:val="009F704C"/>
    <w:rsid w:val="00A02592"/>
    <w:rsid w:val="00A069E0"/>
    <w:rsid w:val="00A15A1B"/>
    <w:rsid w:val="00A2237B"/>
    <w:rsid w:val="00A24705"/>
    <w:rsid w:val="00A25C3F"/>
    <w:rsid w:val="00A33EDC"/>
    <w:rsid w:val="00A3703D"/>
    <w:rsid w:val="00A401A9"/>
    <w:rsid w:val="00A40C05"/>
    <w:rsid w:val="00A42639"/>
    <w:rsid w:val="00A50A5E"/>
    <w:rsid w:val="00A56225"/>
    <w:rsid w:val="00A57797"/>
    <w:rsid w:val="00A60C97"/>
    <w:rsid w:val="00A62D5A"/>
    <w:rsid w:val="00A678C0"/>
    <w:rsid w:val="00A70E05"/>
    <w:rsid w:val="00A7132F"/>
    <w:rsid w:val="00A72A1E"/>
    <w:rsid w:val="00A74C77"/>
    <w:rsid w:val="00A75FAA"/>
    <w:rsid w:val="00A84594"/>
    <w:rsid w:val="00A862B2"/>
    <w:rsid w:val="00A87756"/>
    <w:rsid w:val="00A92E11"/>
    <w:rsid w:val="00A93B31"/>
    <w:rsid w:val="00AA007D"/>
    <w:rsid w:val="00AA3E53"/>
    <w:rsid w:val="00AB5069"/>
    <w:rsid w:val="00AB544C"/>
    <w:rsid w:val="00AC4013"/>
    <w:rsid w:val="00AD0882"/>
    <w:rsid w:val="00AD66A1"/>
    <w:rsid w:val="00AD71DA"/>
    <w:rsid w:val="00AE1E12"/>
    <w:rsid w:val="00AE5CE2"/>
    <w:rsid w:val="00AE62AD"/>
    <w:rsid w:val="00AF199A"/>
    <w:rsid w:val="00AF3EFC"/>
    <w:rsid w:val="00AF7AEF"/>
    <w:rsid w:val="00B01CF5"/>
    <w:rsid w:val="00B052C6"/>
    <w:rsid w:val="00B07E28"/>
    <w:rsid w:val="00B13D84"/>
    <w:rsid w:val="00B14CA9"/>
    <w:rsid w:val="00B167E8"/>
    <w:rsid w:val="00B16FEA"/>
    <w:rsid w:val="00B24B5F"/>
    <w:rsid w:val="00B2582D"/>
    <w:rsid w:val="00B438ED"/>
    <w:rsid w:val="00B44A0E"/>
    <w:rsid w:val="00B532D5"/>
    <w:rsid w:val="00B5619A"/>
    <w:rsid w:val="00B62E78"/>
    <w:rsid w:val="00B6412D"/>
    <w:rsid w:val="00B677EE"/>
    <w:rsid w:val="00B86193"/>
    <w:rsid w:val="00B93FB2"/>
    <w:rsid w:val="00B951F5"/>
    <w:rsid w:val="00BA0AE4"/>
    <w:rsid w:val="00BA28BC"/>
    <w:rsid w:val="00BA342A"/>
    <w:rsid w:val="00BA7A80"/>
    <w:rsid w:val="00BA7E5E"/>
    <w:rsid w:val="00BA7F03"/>
    <w:rsid w:val="00BB22BD"/>
    <w:rsid w:val="00BB6A94"/>
    <w:rsid w:val="00BC067D"/>
    <w:rsid w:val="00BC7CEE"/>
    <w:rsid w:val="00BD06C1"/>
    <w:rsid w:val="00BE0D28"/>
    <w:rsid w:val="00BE5EAF"/>
    <w:rsid w:val="00BE644A"/>
    <w:rsid w:val="00BE7732"/>
    <w:rsid w:val="00BF46FC"/>
    <w:rsid w:val="00C020DE"/>
    <w:rsid w:val="00C02CD9"/>
    <w:rsid w:val="00C07A8F"/>
    <w:rsid w:val="00C139F5"/>
    <w:rsid w:val="00C329DA"/>
    <w:rsid w:val="00C41942"/>
    <w:rsid w:val="00C443C9"/>
    <w:rsid w:val="00C4546D"/>
    <w:rsid w:val="00C4591B"/>
    <w:rsid w:val="00C46E11"/>
    <w:rsid w:val="00C514C1"/>
    <w:rsid w:val="00C52C99"/>
    <w:rsid w:val="00C54334"/>
    <w:rsid w:val="00C5762F"/>
    <w:rsid w:val="00C616A8"/>
    <w:rsid w:val="00C71E25"/>
    <w:rsid w:val="00C90172"/>
    <w:rsid w:val="00C904A2"/>
    <w:rsid w:val="00C9450D"/>
    <w:rsid w:val="00C95D96"/>
    <w:rsid w:val="00CB23A9"/>
    <w:rsid w:val="00CB308C"/>
    <w:rsid w:val="00CD5422"/>
    <w:rsid w:val="00CD6BCB"/>
    <w:rsid w:val="00CE28D0"/>
    <w:rsid w:val="00CE2AEA"/>
    <w:rsid w:val="00CE6AF3"/>
    <w:rsid w:val="00CF09BD"/>
    <w:rsid w:val="00CF1E9D"/>
    <w:rsid w:val="00D01699"/>
    <w:rsid w:val="00D05FB1"/>
    <w:rsid w:val="00D13B55"/>
    <w:rsid w:val="00D246F8"/>
    <w:rsid w:val="00D3343A"/>
    <w:rsid w:val="00D343D8"/>
    <w:rsid w:val="00D44459"/>
    <w:rsid w:val="00D52955"/>
    <w:rsid w:val="00D540E3"/>
    <w:rsid w:val="00D55F68"/>
    <w:rsid w:val="00D65785"/>
    <w:rsid w:val="00D66FBC"/>
    <w:rsid w:val="00D67994"/>
    <w:rsid w:val="00D67CD5"/>
    <w:rsid w:val="00D758FD"/>
    <w:rsid w:val="00D84F03"/>
    <w:rsid w:val="00D8625C"/>
    <w:rsid w:val="00D86B3C"/>
    <w:rsid w:val="00DA3565"/>
    <w:rsid w:val="00DA38D5"/>
    <w:rsid w:val="00DA6204"/>
    <w:rsid w:val="00DA6B05"/>
    <w:rsid w:val="00DB4283"/>
    <w:rsid w:val="00DC2CCC"/>
    <w:rsid w:val="00DC4040"/>
    <w:rsid w:val="00DD283D"/>
    <w:rsid w:val="00DD2B47"/>
    <w:rsid w:val="00DD366F"/>
    <w:rsid w:val="00DD4A61"/>
    <w:rsid w:val="00DD563C"/>
    <w:rsid w:val="00DF0E68"/>
    <w:rsid w:val="00DF62C3"/>
    <w:rsid w:val="00E16386"/>
    <w:rsid w:val="00E23468"/>
    <w:rsid w:val="00E306E6"/>
    <w:rsid w:val="00E32EF8"/>
    <w:rsid w:val="00E33220"/>
    <w:rsid w:val="00E3658C"/>
    <w:rsid w:val="00E36AA3"/>
    <w:rsid w:val="00E40782"/>
    <w:rsid w:val="00E428CD"/>
    <w:rsid w:val="00E46EA1"/>
    <w:rsid w:val="00E47A26"/>
    <w:rsid w:val="00E47CEA"/>
    <w:rsid w:val="00E54BFD"/>
    <w:rsid w:val="00E55811"/>
    <w:rsid w:val="00E5679A"/>
    <w:rsid w:val="00E57470"/>
    <w:rsid w:val="00E57E8F"/>
    <w:rsid w:val="00E611FD"/>
    <w:rsid w:val="00E63F91"/>
    <w:rsid w:val="00E66917"/>
    <w:rsid w:val="00E7079C"/>
    <w:rsid w:val="00E70DC6"/>
    <w:rsid w:val="00E751F5"/>
    <w:rsid w:val="00E75AB6"/>
    <w:rsid w:val="00E77076"/>
    <w:rsid w:val="00E80103"/>
    <w:rsid w:val="00E8032A"/>
    <w:rsid w:val="00E80B29"/>
    <w:rsid w:val="00E82899"/>
    <w:rsid w:val="00E835CB"/>
    <w:rsid w:val="00E8653C"/>
    <w:rsid w:val="00E87329"/>
    <w:rsid w:val="00E90260"/>
    <w:rsid w:val="00E922D3"/>
    <w:rsid w:val="00E960B3"/>
    <w:rsid w:val="00E965F1"/>
    <w:rsid w:val="00E974EF"/>
    <w:rsid w:val="00EA108A"/>
    <w:rsid w:val="00EA230D"/>
    <w:rsid w:val="00EA48E1"/>
    <w:rsid w:val="00EA5D23"/>
    <w:rsid w:val="00EA7AF1"/>
    <w:rsid w:val="00EA7CFC"/>
    <w:rsid w:val="00EB5B88"/>
    <w:rsid w:val="00EB7A2A"/>
    <w:rsid w:val="00EC062F"/>
    <w:rsid w:val="00EC1383"/>
    <w:rsid w:val="00ED6082"/>
    <w:rsid w:val="00EF5870"/>
    <w:rsid w:val="00EF6318"/>
    <w:rsid w:val="00F0774D"/>
    <w:rsid w:val="00F07DAC"/>
    <w:rsid w:val="00F133E8"/>
    <w:rsid w:val="00F13DE7"/>
    <w:rsid w:val="00F238B4"/>
    <w:rsid w:val="00F37FFD"/>
    <w:rsid w:val="00F461E1"/>
    <w:rsid w:val="00F47994"/>
    <w:rsid w:val="00F551D9"/>
    <w:rsid w:val="00F638E6"/>
    <w:rsid w:val="00F64C17"/>
    <w:rsid w:val="00F76975"/>
    <w:rsid w:val="00F8038A"/>
    <w:rsid w:val="00F817F4"/>
    <w:rsid w:val="00F84733"/>
    <w:rsid w:val="00F85E4F"/>
    <w:rsid w:val="00F8606D"/>
    <w:rsid w:val="00F8677E"/>
    <w:rsid w:val="00F87761"/>
    <w:rsid w:val="00F9288A"/>
    <w:rsid w:val="00F97F43"/>
    <w:rsid w:val="00FA50C7"/>
    <w:rsid w:val="00FA65D9"/>
    <w:rsid w:val="00FB1243"/>
    <w:rsid w:val="00FB39FC"/>
    <w:rsid w:val="00FB76EE"/>
    <w:rsid w:val="00FC5B04"/>
    <w:rsid w:val="00FC5B23"/>
    <w:rsid w:val="00FC6582"/>
    <w:rsid w:val="00FC7EF5"/>
    <w:rsid w:val="00FD3B5D"/>
    <w:rsid w:val="00FD5754"/>
    <w:rsid w:val="00FD5F6E"/>
    <w:rsid w:val="00FE54F1"/>
    <w:rsid w:val="00FE6801"/>
    <w:rsid w:val="00FF217E"/>
    <w:rsid w:val="00FF2AB8"/>
    <w:rsid w:val="00FF4175"/>
    <w:rsid w:val="00FF607B"/>
    <w:rsid w:val="00FF7DB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4891"/>
  <w15:chartTrackingRefBased/>
  <w15:docId w15:val="{2A171741-786E-443F-8CCD-3A453220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Hao-Kai Tseng</dc:creator>
  <cp:keywords/>
  <dc:description/>
  <cp:lastModifiedBy>Hao-Kai Tseng</cp:lastModifiedBy>
  <cp:revision>1182</cp:revision>
  <dcterms:created xsi:type="dcterms:W3CDTF">2025-07-20T07:49:00Z</dcterms:created>
  <dcterms:modified xsi:type="dcterms:W3CDTF">2025-07-27T09:21:00Z</dcterms:modified>
</cp:coreProperties>
</file>