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Đề mẫu nanana</w:t>
      </w:r>
    </w:p>
    <w:p>
      <w:pPr>
        <w:keepNext w:val="0"/>
        <w:spacing w:after="100"/>
      </w:pPr>
      <w:r>
        <w:rPr>
          <w:sz w:val="19"/>
        </w:rPr>
        <w:t>Khởi nghiệp và đổi mới sáng tạo. Đề mẫu 10 điểm. Nội dung câu hỏi được giữ theo tệp nanana.docx; đã bỏ một ký hiệu “b.” bị lặp. Lời giải tham khảo bắt đầu từ trang sau.</w:t>
      </w:r>
    </w:p>
    <w:p>
      <w:pPr>
        <w:keepNext w:val="0"/>
        <w:spacing w:after="100" w:line="252" w:lineRule="auto"/>
      </w:pPr>
      <w:r>
        <w:rPr>
          <w:b/>
        </w:rPr>
        <w:t xml:space="preserve">Câu 1 (4 điểm): </w:t>
      </w:r>
    </w:p>
    <w:p>
      <w:pPr>
        <w:keepNext w:val="0"/>
        <w:spacing w:after="100" w:line="252" w:lineRule="auto"/>
      </w:pPr>
      <w:r>
        <w:t>a. Trình bày khái niệm khởi nghiệp và đổi mới sáng tạo. Phân tích mối quan hệ giữa khởi nghiệp và đổi mới sáng tạo. Vì sao một ý tưởng mới chưa chắc đã được xem là đổi mới sáng tạo? Nêu 02 điều kiện bắt buộc để một ý tưởng được công nhận là đổi mới sáng tạo (2,0 điểm).</w:t>
      </w:r>
    </w:p>
    <w:p>
      <w:pPr>
        <w:keepNext w:val="0"/>
        <w:spacing w:after="100" w:line="252" w:lineRule="auto"/>
      </w:pPr>
      <w:r>
        <w:t>b. Trình bày nội hàm triết lý Khởi nghiệp tinh gọn của Eric Ries. Phân tích cơ chế hoạt động của vòng lặp Xây dựng – Đo lường – Học hỏi (Build – Measure – Learn) (1 điểm).</w:t>
      </w:r>
    </w:p>
    <w:p>
      <w:pPr>
        <w:keepNext w:val="0"/>
        <w:spacing w:after="100" w:line="252" w:lineRule="auto"/>
      </w:pPr>
      <w:r>
        <w:t>c. Giải thích khái niệm Sản phẩm khả dụng tối thiểu (MVP). Phân biệt Low-fidelity MVP và High-fidelity MVP. Sai lầm phổ biến nhất của sinh viên khi thiết kế MVP là gì? (1 điểm).</w:t>
      </w:r>
    </w:p>
    <w:p>
      <w:pPr>
        <w:keepNext w:val="0"/>
        <w:spacing w:after="100" w:line="252" w:lineRule="auto"/>
      </w:pPr>
      <w:r>
        <w:rPr>
          <w:b/>
        </w:rPr>
        <w:t xml:space="preserve">Câu 2 (6 điểm): </w:t>
      </w:r>
    </w:p>
    <w:p>
      <w:pPr>
        <w:keepNext w:val="0"/>
        <w:spacing w:after="100" w:line="252" w:lineRule="auto"/>
      </w:pPr>
      <w:r>
        <w:t>Nhóm sinh viên nhận thấy sinh viên và Freelancer tại TP.HCM có nhu cầu tìm chỗ học tập/làm việc yên tĩnh vào khung giờ tối (18h00–22h00). Trong khi đó, nhiều quán cà phê phong cách văn phòng lại bị trống 50% số ghế vào khung giờ này. Nhóm thành lập dự án nền tảng "StudyQuiet", cho phép khách đặt trước chỗ ngồi yên tĩnh qua Zalo Mini App. Giá thuê 30.000 đồng/2 giờ (được tặng 1 nước uống cơ bản). Quán cà phê nhận 80% doanh thu, nhóm giữ 20% phí nền tảng.</w:t>
      </w:r>
    </w:p>
    <w:p>
      <w:pPr>
        <w:keepNext w:val="0"/>
        <w:spacing w:after="100" w:line="252" w:lineRule="auto"/>
      </w:pPr>
      <w:r>
        <w:t>1. Phân tích Khách hàng mục tiêu (2 vế của nền tảng đa phía: Người dùng và Quán cà phê) và Tuyên ngôn Giá trị cho từng bên. (1,5 điểm).</w:t>
      </w:r>
    </w:p>
    <w:p>
      <w:pPr>
        <w:keepNext w:val="0"/>
        <w:spacing w:after="100" w:line="252" w:lineRule="auto"/>
      </w:pPr>
      <w:r>
        <w:t>2. Phân tích mô hình kinh doanh BMC của Nền tảng đa phía của StudyQuiet (1,0 điểm)</w:t>
      </w:r>
    </w:p>
    <w:p>
      <w:pPr>
        <w:keepNext w:val="0"/>
        <w:spacing w:after="100" w:line="252" w:lineRule="auto"/>
      </w:pPr>
      <w:r>
        <w:t>3. Thiết kế một Low-fidelity MVP để kiểm chứng giả định rủi ro nhất về mức độ sẵn sàng hợp tác của các Quán cà phê trong 10 ngày. Nêu tiêu chí định lượng để xác nhận giả định đúng/sai. (2,0 điểm)</w:t>
      </w:r>
    </w:p>
    <w:p>
      <w:pPr>
        <w:keepNext w:val="0"/>
        <w:spacing w:after="100" w:line="252" w:lineRule="auto"/>
      </w:pPr>
      <w:r>
        <w:t>4. Giả sử sau thử nghiệm, có 10 quán cà phê đồng ý tham gia nhưng chỉ có 5% sinh viên quay lại đặt chỗ lần 2 vì "không gian quán chưa đủ yên tĩnh như cam kết". Anh/chị hãy đưa ra quyết định Xoay trục (Pivot) thích hợp và đề xuất điều chỉnh 02 khối thành tố BMC liên quan. (1,5 điểm)</w:t>
      </w:r>
    </w:p>
    <w:p>
      <w:pPr>
        <w:keepNext w:val="0"/>
        <w:spacing w:after="100" w:line="252" w:lineRule="auto"/>
      </w:pPr>
      <w:r>
        <w:rPr>
          <w:i/>
        </w:rPr>
        <w:t>Lưu ý: Không yêu cầu xây dựng đầy đủ 9 thành tố BMC. Sinh viên chỉ cần phân tích những thành tố liên quan trực tiếp đến tình huống.</w:t>
      </w:r>
    </w:p>
    <w:p>
      <w:r>
        <w:br w:type="page"/>
      </w:r>
    </w:p>
    <w:p>
      <w:pPr>
        <w:pStyle w:val="Heading1"/>
      </w:pPr>
      <w:r>
        <w:t>Lời giải câu 1a</w:t>
      </w:r>
    </w:p>
    <w:p>
      <w:pPr>
        <w:keepNext w:val="0"/>
      </w:pPr>
      <w:r>
        <w:t>Khái niệm và mối quan hệ giữa khởi nghiệp với đổi mới sáng tạo    2 điểm</w:t>
      </w:r>
    </w:p>
    <w:p>
      <w:pPr>
        <w:pStyle w:val="Heading2"/>
      </w:pPr>
      <w:r>
        <w:t>Khởi nghiệp</w:t>
      </w:r>
    </w:p>
    <w:p>
      <w:pPr>
        <w:keepNext w:val="0"/>
      </w:pPr>
      <w:r>
        <w:t>Khởi nghiệp là quá trình nhận diện và theo đuổi cơ hội trên thị trường, huy động nguồn lực, chấp nhận rủi ro để biến ý tưởng thành hoạt động kinh doanh. Trong khởi nghiệp đổi mới sáng tạo, người khởi nghiệp phát triển các ý tưởng hữu ích và đưa chúng vào thực tiễn.</w:t>
      </w:r>
    </w:p>
    <w:p>
      <w:pPr>
        <w:pStyle w:val="Heading2"/>
      </w:pPr>
      <w:r>
        <w:t>Đổi mới sáng tạo</w:t>
      </w:r>
    </w:p>
    <w:p>
      <w:pPr>
        <w:keepNext w:val="0"/>
      </w:pPr>
      <w:r>
        <w:t>Đổi mới sáng tạo là việc đưa sản phẩm, dịch vụ, quy trình hoặc phương thức kinh doanh mới hay được cải tiến đáng kể vào thực tế, nhằm giải quyết nhu cầu và tạo giá trị. Theo cách phân loại trong chương 1, có bốn dạng dưới đây.</w:t>
      </w:r>
    </w:p>
    <w:tbl>
      <w:tblPr>
        <w:tblW w:type="auto" w:w="0"/>
        <w:jc w:val="center"/>
        <w:tblLayout w:type="fixed"/>
        <w:tblLook w:firstColumn="1" w:firstRow="1" w:lastColumn="0" w:lastRow="0" w:noHBand="0" w:noVBand="1" w:val="04A0"/>
      </w:tblPr>
      <w:tblGrid>
        <w:gridCol w:w="2448"/>
        <w:gridCol w:w="7718"/>
      </w:tblGrid>
      <w:tr>
        <w:trPr>
          <w:cantSplit/>
          <w:tblHeader/>
        </w:trPr>
        <w:tc>
          <w:tcPr>
            <w:tcW w:type="dxa" w:w="2448"/>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Dạng đổi mới</w:t>
            </w:r>
          </w:p>
        </w:tc>
        <w:tc>
          <w:tcPr>
            <w:tcW w:type="dxa" w:w="7718"/>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Ví dụ minh họa</w:t>
            </w:r>
          </w:p>
        </w:tc>
      </w:tr>
      <w:tr>
        <w:trPr>
          <w:cantSplit/>
        </w:trPr>
        <w:tc>
          <w:tcPr>
            <w:tcW w:type="dxa" w:w="244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Sản phẩm hoặc dịch vụ</w:t>
            </w:r>
          </w:p>
        </w:tc>
        <w:tc>
          <w:tcPr>
            <w:tcW w:type="dxa" w:w="771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Dịch vụ đặt trước khu học tập yên tĩnh theo khung giờ.</w:t>
            </w:r>
          </w:p>
        </w:tc>
      </w:tr>
      <w:tr>
        <w:trPr>
          <w:cantSplit/>
        </w:trPr>
        <w:tc>
          <w:tcPr>
            <w:tcW w:type="dxa" w:w="244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Quy trình</w:t>
            </w:r>
          </w:p>
        </w:tc>
        <w:tc>
          <w:tcPr>
            <w:tcW w:type="dxa" w:w="771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Chuyển từ ghi sổ thủ công sang quản lý ghế trống và xác nhận đặt chỗ theo thời gian thực.</w:t>
            </w:r>
          </w:p>
        </w:tc>
      </w:tr>
      <w:tr>
        <w:trPr>
          <w:cantSplit/>
        </w:trPr>
        <w:tc>
          <w:tcPr>
            <w:tcW w:type="dxa" w:w="244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Tiếp thị</w:t>
            </w:r>
          </w:p>
        </w:tc>
        <w:tc>
          <w:tcPr>
            <w:tcW w:type="dxa" w:w="771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Áp dụng cách tiếp cận, phân phối hoặc định giá mới phù hợp với một phân khúc.</w:t>
            </w:r>
          </w:p>
        </w:tc>
      </w:tr>
      <w:tr>
        <w:trPr>
          <w:cantSplit/>
        </w:trPr>
        <w:tc>
          <w:tcPr>
            <w:tcW w:type="dxa" w:w="244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Tổ chức</w:t>
            </w:r>
          </w:p>
        </w:tc>
        <w:tc>
          <w:tcPr>
            <w:tcW w:type="dxa" w:w="771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Thay đổi đáng kể cách phân công công việc hoặc phối hợp với đối tác.</w:t>
            </w:r>
          </w:p>
        </w:tc>
      </w:tr>
    </w:tbl>
    <w:p>
      <w:pPr>
        <w:spacing w:after="0"/>
      </w:pPr>
    </w:p>
    <w:p>
      <w:pPr>
        <w:pStyle w:val="Heading2"/>
      </w:pPr>
      <w:r>
        <w:t>Mối quan hệ</w:t>
      </w:r>
    </w:p>
    <w:p>
      <w:pPr>
        <w:keepNext w:val="0"/>
      </w:pPr>
      <w:r>
        <w:t>Đổi mới sáng tạo cung cấp giải pháp khác biệt và lợi thế cạnh tranh cho dự án khởi nghiệp. Khởi nghiệp tổ chức nguồn lực, thử nghiệm và thương mại hóa để đưa giải pháp ấy đến người sử dụng. Phản hồi thị trường lại thúc đẩy cải tiến tiếp theo. Đổi mới cũng có thể diễn ra trong doanh nghiệp đang hoạt động; mở một cơ sở kinh doanh mới chưa tự động đồng nghĩa với đổi mới sáng tạo.</w:t>
      </w:r>
    </w:p>
    <w:p>
      <w:pPr>
        <w:pStyle w:val="Heading2"/>
      </w:pPr>
      <w:r>
        <w:t>Vì sao ý tưởng mới chưa đủ</w:t>
      </w:r>
    </w:p>
    <w:p>
      <w:pPr>
        <w:keepNext w:val="0"/>
      </w:pPr>
      <w:r>
        <w:t>Một ý tưởng có thể mới nhưng chưa được thực hiện, chưa giải quyết đúng vấn đề hoặc chưa tạo được lợi ích cho người sử dụng. Khi trình bày hai điều kiện, cần làm rõ:</w:t>
      </w:r>
    </w:p>
    <w:p>
      <w:pPr>
        <w:pStyle w:val="ListBullet"/>
        <w:spacing w:after="80" w:line="259" w:lineRule="auto"/>
      </w:pPr>
      <w:r>
        <w:t>Tính mới hoặc cải tiến đáng kể: có khác biệt có ý nghĩa so với giải pháp trước đó trong bối cảnh xét đến; không nhất thiết phải mới trên toàn thế giới.</w:t>
      </w:r>
    </w:p>
    <w:p>
      <w:pPr>
        <w:pStyle w:val="ListBullet"/>
        <w:spacing w:after="80" w:line="259" w:lineRule="auto"/>
      </w:pPr>
      <w:r>
        <w:t>Được triển khai thực tế để tạo giá trị: được đưa vào sử dụng hoặc cung cấp cho người dùng nhằm giải quyết nhu cầu; không dừng ở suy nghĩ hay bản phác thảo.</w:t>
      </w:r>
    </w:p>
    <w:p>
      <w:pPr>
        <w:keepNext w:val="0"/>
      </w:pPr>
      <w:r>
        <w:t>Ví dụ: ý tưởng đặt ghế qua Zalo mới là một đề xuất. Khi dịch vụ được triển khai, giúp người dùng có chỗ học phù hợp và giúp quán khai thác ghế trống, ý tưởng mới thể hiện được ứng dụng thực tế. Không cần đợi có lợi nhuận lớn mới gọi là đổi mới.</w:t>
      </w:r>
    </w:p>
    <w:p>
      <w:pPr>
        <w:keepNext w:val="0"/>
        <w:spacing w:after="100"/>
      </w:pPr>
      <w:r>
        <w:rPr>
          <w:sz w:val="19"/>
        </w:rPr>
        <w:t>Căn cứ: Chương 1.pdf, trang PDF 7, 9, 10. Hai điều kiện tính mới và triển khai được đối chiếu thêm với Oslo Manual 2018 của OECD/Eurostat. Lời giải này là tham khảo, chưa phải đáp án chính thức của giảng viên.</w:t>
      </w:r>
    </w:p>
    <w:p>
      <w:pPr>
        <w:spacing w:after="100"/>
      </w:pPr>
      <w:hyperlink r:id="rId10">
        <w:r>
          <w:rPr>
            <w:color w:val="155582"/>
          </w:rPr>
          <w:t>OECD và Eurostat về khái niệm đổi mới</w:t>
        </w:r>
      </w:hyperlink>
    </w:p>
    <w:p>
      <w:r>
        <w:br w:type="page"/>
      </w:r>
    </w:p>
    <w:p>
      <w:pPr>
        <w:pStyle w:val="Heading1"/>
      </w:pPr>
      <w:r>
        <w:t>Lời giải câu 1b và câu 1c</w:t>
      </w:r>
    </w:p>
    <w:p>
      <w:pPr>
        <w:pStyle w:val="Heading2"/>
      </w:pPr>
      <w:r>
        <w:t>Khởi nghiệp tinh gọn và vòng lặp học hỏi</w:t>
      </w:r>
    </w:p>
    <w:p>
      <w:pPr>
        <w:keepNext w:val="0"/>
      </w:pPr>
      <w:r>
        <w:t>Câu 1b    1 điểm</w:t>
      </w:r>
    </w:p>
    <w:p>
      <w:pPr>
        <w:keepNext w:val="0"/>
      </w:pPr>
      <w:r>
        <w:t>Theo Eric Ries, khởi nghiệp tinh gọn là cách phát triển dự án trong điều kiện bất định bằng việc liên tục đặt giả thuyết, thử nghiệm với khách hàng và học từ dữ liệu. Mục tiêu là học hỏi có kiểm chứng, giảm lãng phí và tìm mô hình kinh doanh phù hợp.</w:t>
      </w:r>
    </w:p>
    <w:p>
      <w:pPr>
        <w:pStyle w:val="ListBullet"/>
        <w:spacing w:after="80" w:line="259" w:lineRule="auto"/>
      </w:pPr>
      <w:r>
        <w:t>Xây dựng: chọn giả định rủi ro nhất rồi tạo MVP đủ để kiểm tra giả định đó. Ví dụ, dùng bản chào hợp tác và quy trình đặt chỗ thủ công để thử sự tham gia của quán.</w:t>
      </w:r>
    </w:p>
    <w:p>
      <w:pPr>
        <w:pStyle w:val="ListBullet"/>
        <w:spacing w:after="80" w:line="259" w:lineRule="auto"/>
      </w:pPr>
      <w:r>
        <w:t>Đo lường: ghi nhận hành vi và kết quả cụ thể như số quán cam kết, số lượt phục vụ, số người trả tiền hoặc tỷ lệ quay lại. Chọn chỉ số và ngưỡng đánh giá trước khi thử.</w:t>
      </w:r>
    </w:p>
    <w:p>
      <w:pPr>
        <w:pStyle w:val="ListBullet"/>
        <w:spacing w:after="80" w:line="259" w:lineRule="auto"/>
      </w:pPr>
      <w:r>
        <w:t>Học hỏi: đối chiếu dữ liệu với giả định, tìm nguyên nhân; tiếp tục khi có bằng chứng phù hợp hoặc xoay trục khi giả định quan trọng không được ủng hộ. Sau điều chỉnh, lặp lại chu trình.</w:t>
      </w:r>
    </w:p>
    <w:p>
      <w:pPr>
        <w:keepNext w:val="0"/>
      </w:pPr>
      <w:r>
        <w:t>Năm nguyên tắc cần nhớ: doanh nhân ở khắp nơi; khởi nghiệp là quản trị; học hỏi có kiểm chứng; Xây dựng - Đo lường - Học hỏi; đo lường tiến bộ đổi mới bằng chỉ số và mốc kiểm chứng.</w:t>
      </w:r>
    </w:p>
    <w:p>
      <w:pPr>
        <w:pStyle w:val="Heading2"/>
      </w:pPr>
      <w:r>
        <w:t>MVP và mức độ hoàn thiện</w:t>
      </w:r>
    </w:p>
    <w:p>
      <w:pPr>
        <w:keepNext w:val="0"/>
      </w:pPr>
      <w:r>
        <w:t>Câu 1c    1 điểm</w:t>
      </w:r>
    </w:p>
    <w:p>
      <w:pPr>
        <w:keepNext w:val="0"/>
      </w:pPr>
      <w:r>
        <w:t>MVP là phiên bản hoặc cách thử nghiệm tối thiểu, có đủ yếu tố cốt lõi để người dùng phản hồi và để nhóm kiểm chứng một giả định quan trọng với ít thời gian, chi phí. Chọn hình thức MVP theo điều cần học.</w:t>
      </w:r>
    </w:p>
    <w:tbl>
      <w:tblPr>
        <w:tblW w:type="auto" w:w="0"/>
        <w:jc w:val="center"/>
        <w:tblLayout w:type="fixed"/>
        <w:tblLook w:firstColumn="1" w:firstRow="1" w:lastColumn="0" w:lastRow="0" w:noHBand="0" w:noVBand="1" w:val="04A0"/>
      </w:tblPr>
      <w:tblGrid>
        <w:gridCol w:w="1440"/>
        <w:gridCol w:w="4363"/>
        <w:gridCol w:w="4363"/>
      </w:tblGrid>
      <w:tr>
        <w:trPr>
          <w:cantSplit/>
          <w:tblHeader/>
        </w:trPr>
        <w:tc>
          <w:tcPr>
            <w:tcW w:type="dxa" w:w="144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Tiêu chí</w:t>
            </w:r>
          </w:p>
        </w:tc>
        <w:tc>
          <w:tcPr>
            <w:tcW w:type="dxa" w:w="4363"/>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Low-fidelity MVP</w:t>
            </w:r>
          </w:p>
        </w:tc>
        <w:tc>
          <w:tcPr>
            <w:tcW w:type="dxa" w:w="4363"/>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High-fidelity MVP</w:t>
            </w:r>
          </w:p>
        </w:tc>
      </w:tr>
      <w:tr>
        <w:trPr>
          <w:cantSplit/>
        </w:trPr>
        <w:tc>
          <w:tcPr>
            <w:tcW w:type="dxa" w:w="144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Mức độ</w:t>
            </w:r>
          </w:p>
        </w:tc>
        <w:tc>
          <w:tcPr>
            <w:tcW w:type="dxa" w:w="4363"/>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Đơn giản, mô phỏng hoặc có nhiều bước vận hành thủ công.</w:t>
            </w:r>
          </w:p>
        </w:tc>
        <w:tc>
          <w:tcPr>
            <w:tcW w:type="dxa" w:w="4363"/>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Gần hơn với trải nghiệm sử dụng thực tế; có các chức năng cốt lõi hoạt động.</w:t>
            </w:r>
          </w:p>
        </w:tc>
      </w:tr>
      <w:tr>
        <w:trPr>
          <w:cantSplit/>
        </w:trPr>
        <w:tc>
          <w:tcPr>
            <w:tcW w:type="dxa" w:w="144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Mục đích</w:t>
            </w:r>
          </w:p>
        </w:tc>
        <w:tc>
          <w:tcPr>
            <w:tcW w:type="dxa" w:w="4363"/>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Kiểm tra vấn đề, mức quan tâm, sự chấp nhận đề xuất hoặc cam kết ban đầu.</w:t>
            </w:r>
          </w:p>
        </w:tc>
        <w:tc>
          <w:tcPr>
            <w:tcW w:type="dxa" w:w="4363"/>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Kiểm tra cách giải pháp hoạt động, mức dễ dùng và hành vi sử dụng sâu hơn.</w:t>
            </w:r>
          </w:p>
        </w:tc>
      </w:tr>
      <w:tr>
        <w:trPr>
          <w:cantSplit/>
        </w:trPr>
        <w:tc>
          <w:tcPr>
            <w:tcW w:type="dxa" w:w="144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StudyQuiet</w:t>
            </w:r>
          </w:p>
        </w:tc>
        <w:tc>
          <w:tcPr>
            <w:tcW w:type="dxa" w:w="4363"/>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Bản chào 1 trang, sơ đồ đặt ghế, Form và Zalo; nhóm xác nhận thủ công.</w:t>
            </w:r>
          </w:p>
        </w:tc>
        <w:tc>
          <w:tcPr>
            <w:tcW w:type="dxa" w:w="4363"/>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Mini App thử nghiệm cho phép xem ghế, đặt chỗ và nhận xác nhận.</w:t>
            </w:r>
          </w:p>
        </w:tc>
      </w:tr>
    </w:tbl>
    <w:p>
      <w:pPr>
        <w:spacing w:after="0"/>
      </w:pPr>
    </w:p>
    <w:p>
      <w:pPr>
        <w:keepNext w:val="0"/>
      </w:pPr>
      <w:r>
        <w:t>Sai lầm trọng tâm cần tránh: làm app hoàn chỉnh, thêm nhiều tính năng và chăm chút giao diện trước khi xác định giả định cần kiểm chứng. Một mẫu rất đẹp nhưng không tạo được dữ liệu hữu ích vẫn chưa hoàn thành mục tiêu của MVP.</w:t>
      </w:r>
    </w:p>
    <w:p>
      <w:pPr>
        <w:keepNext w:val="0"/>
        <w:spacing w:after="100"/>
      </w:pPr>
      <w:r>
        <w:rPr>
          <w:sz w:val="19"/>
        </w:rPr>
        <w:t>Đối chiếu bài giảng: slide 36, trang PDF 18 của chương 2 ghi “MVP cần phải có đầy đủ các tính năng mà ý tưởng đề ra”. Trong cách vận dụng Lean Startup, lời giải hiểu là đủ chức năng cốt lõi cho phép thử đang xét, không phải mọi tính năng của sản phẩm cuối cùng. Căn cứ: Chương 2.pdf, trang 16-19.</w:t>
      </w:r>
    </w:p>
    <w:p>
      <w:pPr>
        <w:spacing w:after="100"/>
      </w:pPr>
      <w:hyperlink r:id="rId11">
        <w:r>
          <w:rPr>
            <w:color w:val="155582"/>
          </w:rPr>
          <w:t>Đối chiếu Eric Ries về mục tiêu của MVP và học hỏi có kiểm chứng</w:t>
        </w:r>
      </w:hyperlink>
    </w:p>
    <w:p>
      <w:r>
        <w:br w:type="page"/>
      </w:r>
    </w:p>
    <w:p>
      <w:pPr>
        <w:pStyle w:val="Heading1"/>
      </w:pPr>
      <w:r>
        <w:t>Lời giải câu 2 phần 1</w:t>
      </w:r>
    </w:p>
    <w:p>
      <w:pPr>
        <w:pStyle w:val="Heading2"/>
      </w:pPr>
      <w:r>
        <w:t>Hai phía khách hàng và tuyên ngôn giá trị</w:t>
      </w:r>
    </w:p>
    <w:p>
      <w:pPr>
        <w:keepNext w:val="0"/>
      </w:pPr>
      <w:r>
        <w:t>Câu 2.1    1,5 điểm</w:t>
      </w:r>
    </w:p>
    <w:p>
      <w:pPr>
        <w:keepNext w:val="0"/>
      </w:pPr>
      <w:r>
        <w:t>Phía người dùng gồm sinh viên và freelancer tại TP.HCM cần tập trung học hoặc làm việc từ 18h đến 22h. Nhóm ưu tiên là người có nhu cầu thường xuyên, khó tập trung ở nhà, nhạy cảm về giá và cần biết chắc có chỗ ngồi khi đến. Các đặc điểm ưu tiên này là giả định phân khúc cần kiểm chứng.</w:t>
      </w:r>
    </w:p>
    <w:p>
      <w:pPr>
        <w:keepNext w:val="0"/>
      </w:pPr>
      <w:r>
        <w:t>Tuyên ngôn giá trị cho người dùng: “StudyQuiet giúp bạn đặt trước chỗ học hoặc làm việc yên tĩnh vào buổi tối, với giá 30.000 đồng cho 2 giờ kèm một nước cơ bản, để giảm thời gian tìm chỗ và chủ động kế hoạch.”</w:t>
      </w:r>
    </w:p>
    <w:p>
      <w:pPr>
        <w:keepNext w:val="0"/>
      </w:pPr>
      <w:r>
        <w:t>Phía quán gồm các quán cà phê phong cách văn phòng còn ghế trống buổi tối, có người quản lý sẵn sàng hợp tác và có khả năng tổ chức không gian phù hợp. Người cần tiếp cận là chủ quán hoặc người có quyền quyết định.</w:t>
      </w:r>
    </w:p>
    <w:p>
      <w:pPr>
        <w:keepNext w:val="0"/>
      </w:pPr>
      <w:r>
        <w:t>Tuyên ngôn giá trị cho quán: “StudyQuiet đưa thêm khách vào giờ còn ghế trống, hỗ trợ đặt chỗ và giữ lại cho quán 80% giá trị mỗi lượt, giúp khai thác cơ sở sẵn có.” Phần quán nhận là 24.000 đồng/lượt trước chi phí đồ uống và phục vụ; chưa thể kết luận đó là lợi nhuận.</w:t>
      </w:r>
    </w:p>
    <w:p>
      <w:pPr>
        <w:pStyle w:val="Heading2"/>
      </w:pPr>
      <w:r>
        <w:t>Phân tích lợi ích và trở ngại của từng phía</w:t>
      </w:r>
    </w:p>
    <w:tbl>
      <w:tblPr>
        <w:tblW w:type="auto" w:w="0"/>
        <w:jc w:val="center"/>
        <w:tblLayout w:type="fixed"/>
        <w:tblLook w:firstColumn="1" w:firstRow="1" w:lastColumn="0" w:lastRow="0" w:noHBand="0" w:noVBand="1" w:val="04A0"/>
      </w:tblPr>
      <w:tblGrid>
        <w:gridCol w:w="1800"/>
        <w:gridCol w:w="4176"/>
        <w:gridCol w:w="4190"/>
      </w:tblGrid>
      <w:tr>
        <w:trPr>
          <w:cantSplit/>
          <w:tblHeader/>
        </w:trPr>
        <w:tc>
          <w:tcPr>
            <w:tcW w:type="dxa" w:w="180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Tiêu chí</w:t>
            </w:r>
          </w:p>
        </w:tc>
        <w:tc>
          <w:tcPr>
            <w:tcW w:type="dxa" w:w="417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Người dùng</w:t>
            </w:r>
          </w:p>
        </w:tc>
        <w:tc>
          <w:tcPr>
            <w:tcW w:type="dxa" w:w="419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Quán cà phê</w:t>
            </w:r>
          </w:p>
        </w:tc>
      </w:tr>
      <w:tr>
        <w:trPr>
          <w:cantSplit/>
        </w:trPr>
        <w:tc>
          <w:tcPr>
            <w:tcW w:type="dxa" w:w="180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Nhu cầu</w:t>
            </w:r>
          </w:p>
        </w:tc>
        <w:tc>
          <w:tcPr>
            <w:tcW w:type="dxa" w:w="41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Có thể tập trung, có chỗ chắc chắn, mức giá rõ ràng.</w:t>
            </w:r>
          </w:p>
        </w:tc>
        <w:tc>
          <w:tcPr>
            <w:tcW w:type="dxa" w:w="419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Có thêm khách buổi tối và sử dụng được công suất nhàn rỗi.</w:t>
            </w:r>
          </w:p>
        </w:tc>
      </w:tr>
      <w:tr>
        <w:trPr>
          <w:cantSplit/>
        </w:trPr>
        <w:tc>
          <w:tcPr>
            <w:tcW w:type="dxa" w:w="180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Trở ngại cần kiểm chứng</w:t>
            </w:r>
          </w:p>
        </w:tc>
        <w:tc>
          <w:tcPr>
            <w:tcW w:type="dxa" w:w="417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Lo tiếng ồn, xa nơi ở, chất lượng thực tế khác cam kết.</w:t>
            </w:r>
          </w:p>
        </w:tc>
        <w:tc>
          <w:tcPr>
            <w:tcW w:type="dxa" w:w="419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Lo khách chiếm chỗ lâu, biên lợi nhuận đồ uống thấp, quy trình giữ ghế gây phiền.</w:t>
            </w:r>
          </w:p>
        </w:tc>
      </w:tr>
      <w:tr>
        <w:trPr>
          <w:cantSplit/>
        </w:trPr>
        <w:tc>
          <w:tcPr>
            <w:tcW w:type="dxa" w:w="180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Bằng chứng có giá trị</w:t>
            </w:r>
          </w:p>
        </w:tc>
        <w:tc>
          <w:tcPr>
            <w:tcW w:type="dxa" w:w="417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Trả tiền, dùng thật, đánh giá trải nghiệm và quay lại.</w:t>
            </w:r>
          </w:p>
        </w:tc>
        <w:tc>
          <w:tcPr>
            <w:tcW w:type="dxa" w:w="419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Đăng ký ca/ghế, phục vụ đúng gói và chia phí như đã thỏa thuận.</w:t>
            </w:r>
          </w:p>
        </w:tc>
      </w:tr>
    </w:tbl>
    <w:p>
      <w:pPr>
        <w:spacing w:after="0"/>
      </w:pPr>
    </w:p>
    <w:p>
      <w:pPr>
        <w:keepNext w:val="0"/>
      </w:pPr>
      <w:r>
        <w:t>Vì vậy, nền tảng phải thiết kế hai đề xuất giá trị riêng. Thông điệp “có thêm khách” phù hợp với quán, nhưng người sử dụng quan tâm trực tiếp đến sự tập trung, mức giá và độ tin cậy. Hai phía cùng tham gia thì giao dịch mới hình thành.</w:t>
      </w:r>
    </w:p>
    <w:p>
      <w:pPr>
        <w:keepNext w:val="0"/>
        <w:spacing w:after="100"/>
      </w:pPr>
      <w:r>
        <w:rPr>
          <w:sz w:val="19"/>
        </w:rPr>
        <w:t>Căn cứ: tình huống trong nanana.docx; Chương 3.pdf, trang PDF 8-10 về phân khúc và giá trị đề xuất. Những trở ngại chưa nêu trong đề là giả định phân tích cần kiểm chứng.</w:t>
      </w:r>
    </w:p>
    <w:p>
      <w:r>
        <w:br w:type="page"/>
      </w:r>
    </w:p>
    <w:p>
      <w:pPr>
        <w:pStyle w:val="Heading1"/>
      </w:pPr>
      <w:r>
        <w:t>Lời giải câu 2 phần 2</w:t>
      </w:r>
    </w:p>
    <w:p>
      <w:pPr>
        <w:pStyle w:val="Heading2"/>
      </w:pPr>
      <w:r>
        <w:t>Các thành tố BMC liên quan trực tiếp</w:t>
      </w:r>
    </w:p>
    <w:p>
      <w:pPr>
        <w:keepNext w:val="0"/>
      </w:pPr>
      <w:r>
        <w:t>Câu 2.2    1 điểm</w:t>
      </w:r>
    </w:p>
    <w:p>
      <w:pPr>
        <w:keepNext w:val="0"/>
      </w:pPr>
      <w:r>
        <w:t>StudyQuiet vận hành theo mô hình nền tảng hai phía: kết nối người có nhu cầu với quán cung cấp không gian. Nhóm tổ chức giao dịch và thu phí nền tảng; dữ kiện đề chưa cho thấy nhóm tự sở hữu hoặc thuê toàn bộ mặt bằng.</w:t>
      </w:r>
    </w:p>
    <w:tbl>
      <w:tblPr>
        <w:tblW w:type="auto" w:w="0"/>
        <w:jc w:val="center"/>
        <w:tblLayout w:type="fixed"/>
        <w:tblLook w:firstColumn="1" w:firstRow="1" w:lastColumn="0" w:lastRow="0" w:noHBand="0" w:noVBand="1" w:val="04A0"/>
      </w:tblPr>
      <w:tblGrid>
        <w:gridCol w:w="2160"/>
        <w:gridCol w:w="8006"/>
      </w:tblGrid>
      <w:tr>
        <w:trPr>
          <w:cantSplit/>
          <w:tblHeader/>
        </w:trPr>
        <w:tc>
          <w:tcPr>
            <w:tcW w:type="dxa" w:w="2160"/>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Thành tố</w:t>
            </w:r>
          </w:p>
        </w:tc>
        <w:tc>
          <w:tcPr>
            <w:tcW w:type="dxa" w:w="800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Áp dụng vào StudyQuiet</w:t>
            </w:r>
          </w:p>
        </w:tc>
      </w:tr>
      <w:tr>
        <w:trPr>
          <w:cantSplit/>
        </w:trPr>
        <w:tc>
          <w:tcPr>
            <w:tcW w:type="dxa" w:w="216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Phân khúc khách hàng</w:t>
            </w:r>
          </w:p>
        </w:tc>
        <w:tc>
          <w:tcPr>
            <w:tcW w:type="dxa" w:w="800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Hai nhóm khác nhau nhưng phụ thuộc lẫn nhau: người cần chỗ yên tĩnh và quán có chỗ phù hợp.</w:t>
            </w:r>
          </w:p>
        </w:tc>
      </w:tr>
      <w:tr>
        <w:trPr>
          <w:cantSplit/>
        </w:trPr>
        <w:tc>
          <w:tcPr>
            <w:tcW w:type="dxa" w:w="216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Giá trị đề xuất</w:t>
            </w:r>
          </w:p>
        </w:tc>
        <w:tc>
          <w:tcPr>
            <w:tcW w:type="dxa" w:w="800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Người dùng có chỗ được đặt trước; quán có thêm lượt sử dụng ghế trống. Cần bảo đảm lời hứa yên tĩnh.</w:t>
            </w:r>
          </w:p>
        </w:tc>
      </w:tr>
      <w:tr>
        <w:trPr>
          <w:cantSplit/>
        </w:trPr>
        <w:tc>
          <w:tcPr>
            <w:tcW w:type="dxa" w:w="216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Kênh</w:t>
            </w:r>
          </w:p>
        </w:tc>
        <w:tc>
          <w:tcPr>
            <w:tcW w:type="dxa" w:w="800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Zalo Mini App là kênh đặt chỗ trong mô hình dự kiến. Có thể tiếp cận người dùng qua cộng đồng sinh viên/freelancer và tiếp cận chủ quán trực tiếp.</w:t>
            </w:r>
          </w:p>
        </w:tc>
      </w:tr>
      <w:tr>
        <w:trPr>
          <w:cantSplit/>
        </w:trPr>
        <w:tc>
          <w:tcPr>
            <w:tcW w:type="dxa" w:w="216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Dòng doanh thu</w:t>
            </w:r>
          </w:p>
        </w:tc>
        <w:tc>
          <w:tcPr>
            <w:tcW w:type="dxa" w:w="800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30.000 × 20% = 6.000 đồng phí nền tảng/lượt. Quán nhận 24.000 đồng. Khoản 6.000 đồng chưa trừ chi phí vận hành của nhóm.</w:t>
            </w:r>
          </w:p>
        </w:tc>
      </w:tr>
      <w:tr>
        <w:trPr>
          <w:cantSplit/>
        </w:trPr>
        <w:tc>
          <w:tcPr>
            <w:tcW w:type="dxa" w:w="2160"/>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Hoạt động chính</w:t>
            </w:r>
          </w:p>
        </w:tc>
        <w:tc>
          <w:tcPr>
            <w:tcW w:type="dxa" w:w="800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Tuyển và kiểm tra quán; cập nhật ghế; ghép nhu cầu với chỗ; xác nhận đặt chỗ; xử lý phản hồi và đối soát tiền.</w:t>
            </w:r>
          </w:p>
        </w:tc>
      </w:tr>
      <w:tr>
        <w:trPr>
          <w:cantSplit/>
        </w:trPr>
        <w:tc>
          <w:tcPr>
            <w:tcW w:type="dxa" w:w="2160"/>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Đối tác chính</w:t>
            </w:r>
          </w:p>
        </w:tc>
        <w:tc>
          <w:tcPr>
            <w:tcW w:type="dxa" w:w="800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Quán cung cấp chỗ và nước uống. Quán vừa là phía cung của nền tảng, vừa là đối tác thực hiện dịch vụ.</w:t>
            </w:r>
          </w:p>
        </w:tc>
      </w:tr>
    </w:tbl>
    <w:p>
      <w:pPr>
        <w:spacing w:after="0"/>
      </w:pPr>
    </w:p>
    <w:p>
      <w:pPr>
        <w:keepNext w:val="0"/>
      </w:pPr>
      <w:r>
        <w:t>Đặc trưng đa phía: có thêm quán phù hợp thì người dùng có nhiều lựa chọn; có thêm người dùng thật thì quán có động lực tham gia. Hiệu ứng này chỉ có ích khi chất lượng đáp ứng nhu cầu. Tổng tiền giao dịch 30.000 đồng/lượt khác với phần phí 6.000 đồng nhóm giữ lại.</w:t>
      </w:r>
    </w:p>
    <w:p>
      <w:pPr>
        <w:keepNext w:val="0"/>
        <w:spacing w:after="100"/>
      </w:pPr>
      <w:r>
        <w:rPr>
          <w:sz w:val="19"/>
        </w:rPr>
        <w:t>Căn cứ: nanana.docx; Chương 3.pdf, trang PDF 3-5 và 9-18. Các kênh tiếp cận ngoài Mini App là gợi ý triển khai. Đề không yêu cầu đủ 9 ô BMC.</w:t>
      </w:r>
    </w:p>
    <w:p>
      <w:pPr>
        <w:pStyle w:val="Heading2"/>
      </w:pPr>
      <w:r>
        <w:t>Diễn giải dòng tiền cho một lượt đặt</w:t>
      </w:r>
    </w:p>
    <w:tbl>
      <w:tblPr>
        <w:tblW w:type="auto" w:w="0"/>
        <w:jc w:val="center"/>
        <w:tblLayout w:type="fixed"/>
        <w:tblLook w:firstColumn="1" w:firstRow="1" w:lastColumn="0" w:lastRow="0" w:noHBand="0" w:noVBand="1" w:val="04A0"/>
      </w:tblPr>
      <w:tblGrid>
        <w:gridCol w:w="2232"/>
        <w:gridCol w:w="1728"/>
        <w:gridCol w:w="6206"/>
      </w:tblGrid>
      <w:tr>
        <w:trPr>
          <w:cantSplit/>
          <w:tblHeader/>
        </w:trPr>
        <w:tc>
          <w:tcPr>
            <w:tcW w:type="dxa" w:w="2232"/>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Khoản mục</w:t>
            </w:r>
          </w:p>
        </w:tc>
        <w:tc>
          <w:tcPr>
            <w:tcW w:type="dxa" w:w="1728"/>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Số tiền</w:t>
            </w:r>
          </w:p>
        </w:tc>
        <w:tc>
          <w:tcPr>
            <w:tcW w:type="dxa" w:w="620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Ý nghĩa</w:t>
            </w:r>
          </w:p>
        </w:tc>
      </w:tr>
      <w:tr>
        <w:trPr>
          <w:cantSplit/>
        </w:trPr>
        <w:tc>
          <w:tcPr>
            <w:tcW w:type="dxa" w:w="223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Người dùng thanh toán</w:t>
            </w:r>
          </w:p>
        </w:tc>
        <w:tc>
          <w:tcPr>
            <w:tcW w:type="dxa" w:w="172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30.000 đồng</w:t>
            </w:r>
          </w:p>
        </w:tc>
        <w:tc>
          <w:tcPr>
            <w:tcW w:type="dxa" w:w="620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Giá gói 2 giờ kèm một nước cơ bản.</w:t>
            </w:r>
          </w:p>
        </w:tc>
      </w:tr>
      <w:tr>
        <w:trPr>
          <w:cantSplit/>
        </w:trPr>
        <w:tc>
          <w:tcPr>
            <w:tcW w:type="dxa" w:w="223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Phần quán nhận</w:t>
            </w:r>
          </w:p>
        </w:tc>
        <w:tc>
          <w:tcPr>
            <w:tcW w:type="dxa" w:w="172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24.000 đồng</w:t>
            </w:r>
          </w:p>
        </w:tc>
        <w:tc>
          <w:tcPr>
            <w:tcW w:type="dxa" w:w="620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80% × 30.000; quán còn phải chịu các chi phí phục vụ.</w:t>
            </w:r>
          </w:p>
        </w:tc>
      </w:tr>
      <w:tr>
        <w:trPr>
          <w:cantSplit/>
        </w:trPr>
        <w:tc>
          <w:tcPr>
            <w:tcW w:type="dxa" w:w="223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Phí nhóm giữ lại</w:t>
            </w:r>
          </w:p>
        </w:tc>
        <w:tc>
          <w:tcPr>
            <w:tcW w:type="dxa" w:w="172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6.000 đồng</w:t>
            </w:r>
          </w:p>
        </w:tc>
        <w:tc>
          <w:tcPr>
            <w:tcW w:type="dxa" w:w="620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20% × 30.000; nhóm còn phải trang trải chi phí nền tảng.</w:t>
            </w:r>
          </w:p>
        </w:tc>
      </w:tr>
    </w:tbl>
    <w:p>
      <w:pPr>
        <w:spacing w:after="0"/>
      </w:pPr>
    </w:p>
    <w:p>
      <w:pPr>
        <w:keepNext w:val="0"/>
      </w:pPr>
      <w:r>
        <w:t>Với 100 lượt đặt đúng điều kiện, tổng tiền giao dịch là 3.000.000 đồng, phần quán nhận là 2.400.000 đồng và phần phí nhóm giữ lại là 600.000 đồng. Chưa có dữ liệu chi phí nên không thể kết luận lợi nhuận. Ví dụ 100 lượt chỉ dùng để minh họa phép tính.</w:t>
      </w:r>
    </w:p>
    <w:p>
      <w:r>
        <w:br w:type="page"/>
      </w:r>
    </w:p>
    <w:p>
      <w:pPr>
        <w:pStyle w:val="Heading1"/>
      </w:pPr>
      <w:r>
        <w:t>Lời giải câu 2 phần 3</w:t>
      </w:r>
    </w:p>
    <w:p>
      <w:pPr>
        <w:keepNext w:val="0"/>
      </w:pPr>
      <w:r>
        <w:t>Câu 2.3    2 điểm</w:t>
      </w:r>
    </w:p>
    <w:p>
      <w:pPr>
        <w:pStyle w:val="Heading2"/>
      </w:pPr>
      <w:r>
        <w:t>Giả định rủi ro nhất và công cụ kiểm chứng</w:t>
      </w:r>
    </w:p>
    <w:p>
      <w:pPr>
        <w:keepNext w:val="0"/>
      </w:pPr>
      <w:r>
        <w:t>Giả định: có đủ quán sẵn sàng dành ghế buổi tối, cung cấp nước cơ bản, nhận khách theo giá 30.000 đồng/2 giờ và chấp nhận chia 20% cho nền tảng. Ghế đang trống chưa chứng minh chủ quán chấp nhận các điều kiện này.</w:t>
      </w:r>
    </w:p>
    <w:p>
      <w:pPr>
        <w:keepNext w:val="0"/>
      </w:pPr>
      <w:r>
        <w:t>Low-fidelity MVP đề xuất: một bản chào hợp tác 1 trang, hình mô phỏng cách đặt ghế, Google Form ghi cam kết và bảng quản lý ghế; nhóm trao đổi và xác nhận qua Zalo. Khi có khách, nhóm điều phối và đối soát thủ công. Giải pháp này kiểm tra được hành vi hợp tác mà chưa cần phát triển Mini App.</w:t>
      </w:r>
    </w:p>
    <w:p>
      <w:pPr>
        <w:pStyle w:val="Heading2"/>
      </w:pPr>
      <w:r>
        <w:t>Lịch thử nghiệm</w:t>
      </w:r>
    </w:p>
    <w:tbl>
      <w:tblPr>
        <w:tblW w:type="auto" w:w="0"/>
        <w:jc w:val="center"/>
        <w:tblLayout w:type="fixed"/>
        <w:tblLook w:firstColumn="1" w:firstRow="1" w:lastColumn="0" w:lastRow="0" w:noHBand="0" w:noVBand="1" w:val="04A0"/>
      </w:tblPr>
      <w:tblGrid>
        <w:gridCol w:w="936"/>
        <w:gridCol w:w="5112"/>
        <w:gridCol w:w="4118"/>
      </w:tblGrid>
      <w:tr>
        <w:trPr>
          <w:cantSplit/>
          <w:tblHeader/>
        </w:trPr>
        <w:tc>
          <w:tcPr>
            <w:tcW w:type="dxa" w:w="93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jc w:val="center"/>
            </w:pPr>
            <w:r>
              <w:rPr>
                <w:rFonts w:ascii="Arial" w:hAnsi="Arial"/>
                <w:b/>
                <w:color w:val="FFFFFF"/>
                <w:sz w:val="20"/>
              </w:rPr>
              <w:t>Ngày</w:t>
            </w:r>
          </w:p>
        </w:tc>
        <w:tc>
          <w:tcPr>
            <w:tcW w:type="dxa" w:w="5112"/>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Việc cần làm</w:t>
            </w:r>
          </w:p>
        </w:tc>
        <w:tc>
          <w:tcPr>
            <w:tcW w:type="dxa" w:w="4118"/>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Bằng chứng cần lưu</w:t>
            </w:r>
          </w:p>
        </w:tc>
      </w:tr>
      <w:tr>
        <w:trPr>
          <w:cantSplit/>
        </w:trPr>
        <w:tc>
          <w:tcPr>
            <w:tcW w:type="dxa" w:w="93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jc w:val="center"/>
            </w:pPr>
            <w:r>
              <w:rPr>
                <w:rFonts w:ascii="Arial" w:hAnsi="Arial"/>
                <w:b w:val="0"/>
                <w:color w:val="000000"/>
                <w:sz w:val="20"/>
              </w:rPr>
              <w:t>1-2</w:t>
            </w:r>
          </w:p>
        </w:tc>
        <w:tc>
          <w:tcPr>
            <w:tcW w:type="dxa" w:w="511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Chọn 20 quán đúng tiêu chí trong một khu vực; chốt mẫu chào, điều kiện, cách đo.</w:t>
            </w:r>
          </w:p>
        </w:tc>
        <w:tc>
          <w:tcPr>
            <w:tcW w:type="dxa" w:w="411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Danh sách quán, người có quyền quyết định, mức ghế trống và điều kiện tham gia.</w:t>
            </w:r>
          </w:p>
        </w:tc>
      </w:tr>
      <w:tr>
        <w:trPr>
          <w:cantSplit/>
        </w:trPr>
        <w:tc>
          <w:tcPr>
            <w:tcW w:type="dxa" w:w="93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jc w:val="center"/>
            </w:pPr>
            <w:r>
              <w:rPr>
                <w:rFonts w:ascii="Arial" w:hAnsi="Arial"/>
                <w:b w:val="0"/>
                <w:color w:val="000000"/>
                <w:sz w:val="20"/>
              </w:rPr>
              <w:t>3-5</w:t>
            </w:r>
          </w:p>
        </w:tc>
        <w:tc>
          <w:tcPr>
            <w:tcW w:type="dxa" w:w="511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Trình bày cùng một đề xuất cho cả 20 chủ/quản lý; đề nghị đăng ký ghế và ca cụ thể.</w:t>
            </w:r>
          </w:p>
        </w:tc>
        <w:tc>
          <w:tcPr>
            <w:tcW w:type="dxa" w:w="411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Tin nhắn hoặc biểu mẫu xác nhận; lý do đồng ý/từ chối.</w:t>
            </w:r>
          </w:p>
        </w:tc>
      </w:tr>
      <w:tr>
        <w:trPr>
          <w:cantSplit/>
        </w:trPr>
        <w:tc>
          <w:tcPr>
            <w:tcW w:type="dxa" w:w="93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jc w:val="center"/>
            </w:pPr>
            <w:r>
              <w:rPr>
                <w:rFonts w:ascii="Arial" w:hAnsi="Arial"/>
                <w:b w:val="0"/>
                <w:color w:val="000000"/>
                <w:sz w:val="20"/>
              </w:rPr>
              <w:t>6-9</w:t>
            </w:r>
          </w:p>
        </w:tc>
        <w:tc>
          <w:tcPr>
            <w:tcW w:type="dxa" w:w="511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Tổ chức đặt chỗ thử có trả tiền tại các quán đã cam kết; mọi quán được nhận ít nhất 1 yêu cầu hợp lệ.</w:t>
            </w:r>
          </w:p>
        </w:tc>
        <w:tc>
          <w:tcPr>
            <w:tcW w:type="dxa" w:w="411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Lịch giữ ghế, xác nhận phục vụ, nước uống, thu tiền và chia 80/20.</w:t>
            </w:r>
          </w:p>
        </w:tc>
      </w:tr>
      <w:tr>
        <w:trPr>
          <w:cantSplit/>
        </w:trPr>
        <w:tc>
          <w:tcPr>
            <w:tcW w:type="dxa" w:w="93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jc w:val="center"/>
            </w:pPr>
            <w:r>
              <w:rPr>
                <w:rFonts w:ascii="Arial" w:hAnsi="Arial"/>
                <w:b w:val="0"/>
                <w:color w:val="000000"/>
                <w:sz w:val="20"/>
              </w:rPr>
              <w:t>10</w:t>
            </w:r>
          </w:p>
        </w:tc>
        <w:tc>
          <w:tcPr>
            <w:tcW w:type="dxa" w:w="511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Tổng hợp tỷ lệ cam kết và thực hiện; phỏng vấn lý do lệch kế hoạch.</w:t>
            </w:r>
          </w:p>
        </w:tc>
        <w:tc>
          <w:tcPr>
            <w:tcW w:type="dxa" w:w="411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Bảng kết quả và quyết định tiếp tục, sửa điều kiện hoặc thử lại.</w:t>
            </w:r>
          </w:p>
        </w:tc>
      </w:tr>
    </w:tbl>
    <w:p>
      <w:pPr>
        <w:spacing w:after="0"/>
      </w:pPr>
    </w:p>
    <w:p>
      <w:pPr>
        <w:pStyle w:val="Heading2"/>
      </w:pPr>
      <w:r>
        <w:t>Tiêu chí định lượng đề xuất</w:t>
      </w:r>
    </w:p>
    <w:p>
      <w:pPr>
        <w:pStyle w:val="ListBullet"/>
        <w:spacing w:after="80" w:line="259" w:lineRule="auto"/>
      </w:pPr>
      <w:r>
        <w:t>Cam kết: ít nhất 8/20 quán, tương đương 40%, xác nhận toàn bộ điều kiện; mỗi quán đăng ký tối thiểu 5 ghế trong ít nhất 3 buổi tối thử nghiệm. Lời khen hoặc câu “để xem” không được tính.</w:t>
      </w:r>
    </w:p>
    <w:p>
      <w:pPr>
        <w:pStyle w:val="ListBullet"/>
        <w:spacing w:after="80" w:line="259" w:lineRule="auto"/>
      </w:pPr>
      <w:r>
        <w:t>Thực hiện: ít nhất 75% số quán đã cam kết hoàn tất tối thiểu 1 lượt đặt thử đúng điều kiện và đối soát 80/20. Nếu 8 quán cam kết thì cần ít nhất 6 quán thực hiện; nếu 10 quán thì cần ít nhất 8.</w:t>
      </w:r>
    </w:p>
    <w:p>
      <w:pPr>
        <w:keepNext w:val="0"/>
      </w:pPr>
      <w:r>
        <w:t>Quy tắc kết luận: đạt cả hai ngưỡng thì giả định được ủng hộ bước đầu trong mẫu thử. Nếu đã tiếp cận đủ mẫu và tạo đủ cơ hội phục vụ mà thiếu một ngưỡng, giả định chưa được ủng hộ theo tiêu chí đặt trước. Nếu chưa đủ 20 quán nhận đề xuất hoặc chưa đủ lượt thử cho từng quán, ghi “chưa đủ dữ liệu” và bổ sung phép thử.</w:t>
      </w:r>
    </w:p>
    <w:p>
      <w:pPr>
        <w:keepNext w:val="0"/>
        <w:spacing w:after="100"/>
      </w:pPr>
      <w:r>
        <w:rPr>
          <w:sz w:val="19"/>
        </w:rPr>
        <w:t>Các ngưỡng 20 quán, 40%, 75% và số ghế là phương án thiết kế của lời giải, không phải dữ kiện đề hoặc chuẩn ngành. Khách biết đây là thử nghiệm và trả đúng mức giá. Phép thử kiểm chứng sự hợp tác của quán, chưa đủ kết luận nhu cầu thị trường hoặc khả năng sinh lời. Căn cứ phương pháp: Chương 2.pdf, trang PDF 16-19.</w:t>
      </w:r>
    </w:p>
    <w:p>
      <w:r>
        <w:br w:type="page"/>
      </w:r>
    </w:p>
    <w:p>
      <w:pPr>
        <w:pStyle w:val="Heading1"/>
      </w:pPr>
      <w:r>
        <w:t>Lời giải câu 2 phần 4</w:t>
      </w:r>
    </w:p>
    <w:p>
      <w:pPr>
        <w:keepNext w:val="0"/>
      </w:pPr>
      <w:r>
        <w:t>Câu 2.4    1,5 điểm</w:t>
      </w:r>
    </w:p>
    <w:p>
      <w:pPr>
        <w:pStyle w:val="Heading2"/>
      </w:pPr>
      <w:r>
        <w:t>Đọc đúng dữ liệu</w:t>
      </w:r>
    </w:p>
    <w:p>
      <w:pPr>
        <w:keepNext w:val="0"/>
      </w:pPr>
      <w:r>
        <w:t>Có 10 quán đồng ý cho thấy nhóm đã tuyển được đối tác, nhưng chưa chứng minh dịch vụ thỏa mãn khách hàng. Tỷ lệ đặt lần hai chỉ 5%, kèm phản hồi về tiếng ồn, cho thấy cách cung cấp không gian hiện tại chưa thực hiện được lời hứa cốt lõi.</w:t>
      </w:r>
    </w:p>
    <w:p>
      <w:pPr>
        <w:pStyle w:val="Heading2"/>
      </w:pPr>
      <w:r>
        <w:t>Quyết định đề xuất</w:t>
      </w:r>
    </w:p>
    <w:p>
      <w:pPr>
        <w:keepNext w:val="0"/>
      </w:pPr>
      <w:r>
        <w:t>Chuyển từ việc kết nối ghế trống ở nhiều quán sang mạng lưới chỗ học được tuyển chọn và có kiểm soát sự yên tĩnh. Giữ nhóm người dùng cần tập trung buổi tối, ưu tiên quán có phòng/khu riêng và khả năng thực thi nội quy; có thể thử thêm phòng học hoặc coworking có điều kiện phù hợp.</w:t>
      </w:r>
    </w:p>
    <w:p>
      <w:pPr>
        <w:keepNext w:val="0"/>
      </w:pPr>
      <w:r>
        <w:t>Đây là xoay trục cách cung ứng dịch vụ: thay đổi tiêu chí nguồn cung và trách nhiệm bảo đảm trải nghiệm. Việc giảm giá hoặc quảng cáo thêm không trực tiếp xử lý nguyên nhân khách bỏ đi trong tình huống này.</w:t>
      </w:r>
    </w:p>
    <w:p>
      <w:pPr>
        <w:pStyle w:val="Heading2"/>
      </w:pPr>
      <w:r>
        <w:t>Hai thành tố BMC được điều chỉnh</w:t>
      </w:r>
    </w:p>
    <w:tbl>
      <w:tblPr>
        <w:tblW w:type="auto" w:w="0"/>
        <w:jc w:val="center"/>
        <w:tblLayout w:type="fixed"/>
        <w:tblLook w:firstColumn="1" w:firstRow="1" w:lastColumn="0" w:lastRow="0" w:noHBand="0" w:noVBand="1" w:val="04A0"/>
      </w:tblPr>
      <w:tblGrid>
        <w:gridCol w:w="1872"/>
        <w:gridCol w:w="3168"/>
        <w:gridCol w:w="5126"/>
      </w:tblGrid>
      <w:tr>
        <w:trPr>
          <w:cantSplit/>
          <w:tblHeader/>
        </w:trPr>
        <w:tc>
          <w:tcPr>
            <w:tcW w:type="dxa" w:w="1872"/>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Thành tố</w:t>
            </w:r>
          </w:p>
        </w:tc>
        <w:tc>
          <w:tcPr>
            <w:tcW w:type="dxa" w:w="3168"/>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Mô hình hiện tại</w:t>
            </w:r>
          </w:p>
        </w:tc>
        <w:tc>
          <w:tcPr>
            <w:tcW w:type="dxa" w:w="5126"/>
            <w:vAlign w:val="center"/>
            <w:shd w:fill="204660"/>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color w:val="FFFFFF"/>
                <w:sz w:val="20"/>
              </w:rPr>
              <w:t>Điều chỉnh đề xuất</w:t>
            </w:r>
          </w:p>
        </w:tc>
      </w:tr>
      <w:tr>
        <w:trPr>
          <w:cantSplit/>
        </w:trPr>
        <w:tc>
          <w:tcPr>
            <w:tcW w:type="dxa" w:w="1872"/>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Giá trị đề xuất</w:t>
            </w:r>
          </w:p>
        </w:tc>
        <w:tc>
          <w:tcPr>
            <w:tcW w:type="dxa" w:w="3168"/>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Đặt ghế yên tĩnh theo cam kết chung của quán.</w:t>
            </w:r>
          </w:p>
        </w:tc>
        <w:tc>
          <w:tcPr>
            <w:tcW w:type="dxa" w:w="5126"/>
            <w:vAlign w:val="center"/>
            <w:shd w:fill="FFFFFF"/>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Đặt khu yên tĩnh đã kiểm tra; nêu rõ nội quy và phạm vi cam kết; hỗ trợ đổi chỗ hoặc hoàn tiền theo điều kiện công bố khi dịch vụ không đạt.</w:t>
            </w:r>
          </w:p>
        </w:tc>
      </w:tr>
      <w:tr>
        <w:trPr>
          <w:cantSplit/>
        </w:trPr>
        <w:tc>
          <w:tcPr>
            <w:tcW w:type="dxa" w:w="1872"/>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Đối tác chính</w:t>
            </w:r>
          </w:p>
        </w:tc>
        <w:tc>
          <w:tcPr>
            <w:tcW w:type="dxa" w:w="3168"/>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Các quán phong cách văn phòng có ghế trống vào buổi tối.</w:t>
            </w:r>
          </w:p>
        </w:tc>
        <w:tc>
          <w:tcPr>
            <w:tcW w:type="dxa" w:w="5126"/>
            <w:vAlign w:val="center"/>
            <w:shd w:fill="F3F6F8"/>
            <w:tcMar>
              <w:top w:w="80" w:type="dxa"/>
              <w:bottom w:w="80" w:type="dxa"/>
              <w:left w:w="105" w:type="dxa"/>
              <w:right w:w="105" w:type="dxa"/>
            </w:tcMar>
            <w:tcBorders>
              <w:top w:val="single" w:sz="4" w:color="D9D9D9"/>
              <w:left w:val="single" w:sz="4" w:color="D9D9D9"/>
              <w:bottom w:val="single" w:sz="4" w:color="D9D9D9"/>
              <w:right w:val="single" w:sz="4" w:color="D9D9D9"/>
            </w:tcBorders>
          </w:tcPr>
          <w:p>
            <w:pPr>
              <w:spacing w:after="20" w:line="254" w:lineRule="auto"/>
            </w:pPr>
            <w:r>
              <w:rPr>
                <w:rFonts w:ascii="Arial" w:hAnsi="Arial"/>
                <w:b w:val="0"/>
                <w:color w:val="000000"/>
                <w:sz w:val="20"/>
              </w:rPr>
              <w:t>Chọn quán có khu tách biệt, quản lý tiếng ồn và nhận trách nhiệm thực hiện nội quy. Thử đối tác phòng học/coworking nếu quán hiện tại không đáp ứng.</w:t>
            </w:r>
          </w:p>
        </w:tc>
      </w:tr>
    </w:tbl>
    <w:p>
      <w:pPr>
        <w:spacing w:after="0"/>
      </w:pPr>
    </w:p>
    <w:p>
      <w:pPr>
        <w:keepNext w:val="0"/>
      </w:pPr>
      <w:r>
        <w:t>Ví dụ triển khai: dành một khu không bật nhạc, không nhận nhóm nói chuyện lớn hoặc gọi video; có người nhắc nội quy và ghi nhận phản hồi sau buổi sử dụng. Tạm ngừng cung cấp những khung giờ hoặc địa điểm liên tục không đạt cam kết.</w:t>
      </w:r>
    </w:p>
    <w:p>
      <w:pPr>
        <w:pStyle w:val="Heading2"/>
      </w:pPr>
      <w:r>
        <w:t>Kiểm chứng sau khi điều chỉnh</w:t>
      </w:r>
    </w:p>
    <w:p>
      <w:pPr>
        <w:keepNext w:val="0"/>
      </w:pPr>
      <w:r>
        <w:t>Thử trên một nhóm địa điểm nhỏ. Ngưỡng luyện tập có thể đặt trước là ít nhất 80% khách chấm mức yên tĩnh từ 4/5, và ít nhất 25% người dùng lần đầu đặt lại trong 7 ngày. Cần theo dõi đủ 7 ngày cho mỗi người và ghi rõ mẫu đo. Đây là mục tiêu thử nghiệm đề xuất, không phải kết quả đã đạt.</w:t>
      </w:r>
    </w:p>
    <w:p>
      <w:pPr>
        <w:keepNext w:val="0"/>
      </w:pPr>
      <w:r>
        <w:t>Chỉ so sánh tỷ lệ quay lại giữa các đợt khi dùng cùng định nghĩa và thời gian theo dõi. Chi phí kiểm tra, hỗ trợ và hoàn tiền cũng phải được đánh giá vì phần phí nền tảng hiện chỉ 6.000 đồng/lượt.</w:t>
      </w:r>
    </w:p>
    <w:p>
      <w:pPr>
        <w:keepNext w:val="0"/>
        <w:spacing w:after="100"/>
      </w:pPr>
      <w:r>
        <w:rPr>
          <w:sz w:val="19"/>
        </w:rPr>
        <w:t>Nhiều phương án xoay trục có thể hợp lý nếu xử lý được nguyên nhân trong đề. Lập luận cần nối dữ liệu, nguyên nhân, thay đổi mô hình và đúng hai ô BMC. Căn cứ: nanana.docx; Chương 2.pdf, trang 16-19; Chương 3.pdf, trang 9-18. Các mục tiêu 80% và 25% là ngưỡng thử nghiệm đề xuất.</w:t>
      </w:r>
    </w:p>
    <w:sectPr w:rsidR="00FC693F" w:rsidRPr="0006063C" w:rsidSect="00034616">
      <w:footerReference w:type="default" r:id="rId9"/>
      <w:pgSz w:w="12240" w:h="15840"/>
      <w:pgMar w:top="965"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oecd.org/en/publications/oslo-manual-2018_9789264304604-en/full-report/component-4.html" TargetMode="External"/><Relationship Id="rId11" Type="http://schemas.openxmlformats.org/officeDocument/2006/relationships/hyperlink" Target="https://theleanstartup.com/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mẫu nanana và lời giải chi tiết</dc:title>
  <dc:subject>Đề mẫu nanana và lời giải chi tiết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