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rFonts w:ascii="Times New Roman" w:cs="Times New Roman" w:eastAsia="Times New Roman" w:hAnsi="Times New Roman"/>
          <w:b/>
          <w:bCs/>
          <w:sz w:val="32"/>
          <w:szCs w:val="32"/>
        </w:rPr>
        <w:t xml:space="preserve">Affect as a Dynamical System:</w:t>
      </w:r>
    </w:p>
    <w:p>
      <w:pPr>
        <w:spacing w:after="720" w:line="360"/>
        <w:jc w:val="center"/>
      </w:pPr>
      <w:r>
        <w:rPr>
          <w:rFonts w:ascii="Times New Roman" w:cs="Times New Roman" w:eastAsia="Times New Roman" w:hAnsi="Times New Roman"/>
          <w:b/>
          <w:bCs/>
          <w:sz w:val="32"/>
          <w:szCs w:val="32"/>
        </w:rPr>
        <w:t xml:space="preserve">A Control-Theoretic N-of-1 Self-Experiment</w:t>
      </w:r>
    </w:p>
    <w:p>
      <w:pPr>
        <w:spacing w:after="120" w:line="360"/>
        <w:jc w:val="center"/>
      </w:pPr>
      <w:r>
        <w:rPr>
          <w:rFonts w:ascii="Times New Roman" w:cs="Times New Roman" w:eastAsia="Times New Roman" w:hAnsi="Times New Roman"/>
          <w:sz w:val="26"/>
          <w:szCs w:val="26"/>
        </w:rPr>
        <w:t xml:space="preserve">Miura Meng</w:t>
      </w:r>
    </w:p>
    <w:p>
      <w:pPr>
        <w:spacing w:after="120" w:line="360"/>
        <w:jc w:val="center"/>
      </w:pPr>
      <w:r>
        <w:rPr>
          <w:rFonts w:ascii="Times New Roman" w:cs="Times New Roman" w:eastAsia="Times New Roman" w:hAnsi="Times New Roman"/>
          <w:sz w:val="24"/>
          <w:szCs w:val="24"/>
        </w:rPr>
        <w:t xml:space="preserve">May 2026</w:t>
      </w:r>
    </w:p>
    <w:p>
      <w:r>
        <w:br w:type="page"/>
      </w:r>
    </w:p>
    <w:p>
      <w:pPr>
        <w:spacing w:after="240" w:before="240" w:line="36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 xml:space="preserve">This study applies a control-theoretic framework to the intensive longitudinal self-study of affective dynamics in a single individual. Over 70 days, momentary emotional valence, perceived agency, and metacognitive awareness were sampled three times daily via ecological momentary assessment (195 observations, 92.9% compliance). A discrete external perturbation—nightly 3 mg melatonin administration—was introduced according to a pre-registered randomized schedule (35 control, 36 melatonin days). The individual was modeled as a dynamical system, and melatonin was treated not as a candidate treatment but as a probe of known presence and absence, applied to characterize the system’s response function. Three nested autoregressive models, a local-level state-space (Kalman) model, impulse response analysis, incremental R² decomposition, conditional heteroskedasticity modeling, and a metacontrol interaction test were used to estimate the contributions of internal behavioral drivers and the external probe to daily mood. Internal drivers (agency and metacognitive awareness) jointly accounted for 51.6% of the daily-mood variance over and above an AR(1) baseline (β_agency = 0.54, p &lt; .001; β_metacog = 0.44, p &lt; .001), while melatonin explained effectively no unique variance and contributed negligibly to mean-level mood variation (Δ = +1.03 on a 0–100 scale, d = 0.19, p = .44). A heteroskedasticity analysis suggested smaller residual variance on melatonin days (α₁ = −1.21, p = .044), consistent with melatonin’s known chronobiotic rather than antidepressant function. The metacontrol interaction was direction-consistent but underpowered (β = −0.14, p = .54). At the individual level, day-to-day affective dynamics were organized primarily by internal self-regulatory drivers; the external probe identified a sensitivity boundary rather than signaling an absence of evidence.</w:t>
      </w:r>
    </w:p>
    <w:p>
      <w:r>
        <w:br w:type="page"/>
      </w:r>
    </w:p>
    <w:p>
      <w:pPr>
        <w:pStyle w:val="Heading1"/>
        <w:spacing w:after="240" w:before="360" w:line="360"/>
      </w:pPr>
      <w:r>
        <w:rPr>
          <w:rFonts w:ascii="Times New Roman" w:cs="Times New Roman" w:eastAsia="Times New Roman" w:hAnsi="Times New Roman"/>
          <w:b/>
          <w:bCs/>
          <w:sz w:val="28"/>
          <w:szCs w:val="28"/>
        </w:rPr>
        <w:t xml:space="preserve">1. Introduction</w:t>
      </w:r>
    </w:p>
    <w:p>
      <w:pPr>
        <w:pStyle w:val="Heading2"/>
        <w:spacing w:after="120" w:before="240" w:line="360"/>
      </w:pPr>
      <w:r>
        <w:rPr>
          <w:rFonts w:ascii="Times New Roman" w:cs="Times New Roman" w:eastAsia="Times New Roman" w:hAnsi="Times New Roman"/>
          <w:b/>
          <w:bCs/>
          <w:sz w:val="26"/>
          <w:szCs w:val="26"/>
        </w:rPr>
        <w:t xml:space="preserve">1.1 The Problem with Average-Centered Behavioral Science</w:t>
      </w:r>
    </w:p>
    <w:p>
      <w:pPr>
        <w:spacing w:after="120" w:before="0" w:line="480"/>
        <w:jc w:val="both"/>
      </w:pPr>
      <w:r>
        <w:rPr>
          <w:rFonts w:ascii="Times New Roman" w:cs="Times New Roman" w:eastAsia="Times New Roman" w:hAnsi="Times New Roman"/>
          <w:sz w:val="24"/>
          <w:szCs w:val="24"/>
        </w:rPr>
        <w:t xml:space="preserve">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pPr>
        <w:spacing w:after="120" w:before="0" w:line="480"/>
        <w:jc w:val="both"/>
      </w:pPr>
      <w:r>
        <w:rPr>
          <w:rFonts w:ascii="Times New Roman" w:cs="Times New Roman" w:eastAsia="Times New Roman" w:hAnsi="Times New Roman"/>
          <w:sz w:val="24"/>
          <w:szCs w:val="24"/>
        </w:rPr>
        <w:t xml:space="preserve">It fails at the level of the individual. A person is not a sample from a population but a system with its own organizational logic, dynamic parameters, and sensitivity boundaries. Aggregated treatment effects, however statistically robust at the group level, cannot answer the question that matters most to any given individual: how does </w:t>
      </w:r>
      <w:r>
        <w:rPr>
          <w:rFonts w:ascii="Times New Roman" w:cs="Times New Roman" w:eastAsia="Times New Roman" w:hAnsi="Times New Roman"/>
          <w:i/>
          <w:iCs/>
          <w:sz w:val="24"/>
          <w:szCs w:val="24"/>
        </w:rPr>
        <w:t xml:space="preserve">my</w:t>
      </w:r>
      <w:r>
        <w:rPr>
          <w:rFonts w:ascii="Times New Roman" w:cs="Times New Roman" w:eastAsia="Times New Roman" w:hAnsi="Times New Roman"/>
          <w:sz w:val="24"/>
          <w:szCs w:val="24"/>
        </w:rPr>
        <w:t xml:space="preserve"> system respond? Molenaar (2004) and Molenaar and Campbell (2009) have argued that group-level estimates are not generally informative about individual-level processes unless strong ergodicity assumptions hold—assumptions that, in the domain of affect, almost never do.</w:t>
      </w:r>
    </w:p>
    <w:p>
      <w:pPr>
        <w:spacing w:after="120" w:before="0" w:line="480"/>
        <w:jc w:val="both"/>
      </w:pPr>
      <w:r>
        <w:rPr>
          <w:rFonts w:ascii="Times New Roman" w:cs="Times New Roman" w:eastAsia="Times New Roman" w:hAnsi="Times New Roman"/>
          <w:sz w:val="24"/>
          <w:szCs w:val="24"/>
        </w:rPr>
        <w:t xml:space="preserve">The present study departs from the average-centered tradition. It adopts the logic of personal science (Myin-Germeys &amp; Kuppens, 2022) and idiographic behavioral science (Molenaar, 2004), treating a single individual as the unit of analysis—not a proxy for a group, but a system in its own right. The aim is not to generalize across persons; it is to characterize the structure of one person’s affective dynamics with the same formal precision that group-level work brings to population-level inference.</w:t>
      </w:r>
    </w:p>
    <w:p>
      <w:pPr>
        <w:pStyle w:val="Heading2"/>
        <w:spacing w:after="120" w:before="240" w:line="360"/>
      </w:pPr>
      <w:r>
        <w:rPr>
          <w:rFonts w:ascii="Times New Roman" w:cs="Times New Roman" w:eastAsia="Times New Roman" w:hAnsi="Times New Roman"/>
          <w:b/>
          <w:bCs/>
          <w:sz w:val="26"/>
          <w:szCs w:val="26"/>
        </w:rPr>
        <w:t xml:space="preserve">1.2 Intervention as Perturbation</w:t>
      </w:r>
    </w:p>
    <w:p>
      <w:pPr>
        <w:spacing w:after="120" w:before="0" w:line="480"/>
        <w:jc w:val="both"/>
      </w:pPr>
      <w:r>
        <w:rPr>
          <w:rFonts w:ascii="Times New Roman" w:cs="Times New Roman" w:eastAsia="Times New Roman" w:hAnsi="Times New Roman"/>
          <w:sz w:val="24"/>
          <w:szCs w:val="24"/>
        </w:rPr>
        <w:t xml:space="preserve">Standard intervention logic treats external inputs as levers: pull the lever, observe the outcome. The framing assumes the system is passive—that it transmits the input without transformation—and effect sizes are read as estimates of the lever’s causal force.</w:t>
      </w:r>
    </w:p>
    <w:p>
      <w:pPr>
        <w:spacing w:after="120" w:before="0" w:line="480"/>
        <w:jc w:val="both"/>
      </w:pPr>
      <w:r>
        <w:rPr>
          <w:rFonts w:ascii="Times New Roman" w:cs="Times New Roman" w:eastAsia="Times New Roman" w:hAnsi="Times New Roman"/>
          <w:sz w:val="24"/>
          <w:szCs w:val="24"/>
        </w:rPr>
        <w:t xml:space="preserve">Dynamical systems theory offers a different account, articulated in the affect literature over the past two decades. In a complex, self-organizing system, an external input does not simply cause an output; it </w:t>
      </w:r>
      <w:r>
        <w:rPr>
          <w:rFonts w:ascii="Times New Roman" w:cs="Times New Roman" w:eastAsia="Times New Roman" w:hAnsi="Times New Roman"/>
          <w:i/>
          <w:iCs/>
          <w:sz w:val="24"/>
          <w:szCs w:val="24"/>
        </w:rPr>
        <w:t xml:space="preserve">perturbs</w:t>
      </w:r>
      <w:r>
        <w:rPr>
          <w:rFonts w:ascii="Times New Roman" w:cs="Times New Roman" w:eastAsia="Times New Roman" w:hAnsi="Times New Roman"/>
          <w:sz w:val="24"/>
          <w:szCs w:val="24"/>
        </w:rPr>
        <w:t xml:space="preserve"> the system, which then responds according to its own internal structure—inertia, attractor states, sensitivity to inputs of particular magnitude and timing (Bringmann et al., 2013; Hamaker, 2012; Wichers, 2014). The response is therefore informative not primarily about the perturbation, but about the system itself. The input becomes a probe of system response—a means of estimating an underlying transfer function rather than of demonstrating an effect.</w:t>
      </w:r>
    </w:p>
    <w:p>
      <w:pPr>
        <w:spacing w:after="120" w:before="0" w:line="480"/>
        <w:jc w:val="both"/>
      </w:pPr>
      <w:r>
        <w:rPr>
          <w:rFonts w:ascii="Times New Roman" w:cs="Times New Roman" w:eastAsia="Times New Roman" w:hAnsi="Times New Roman"/>
          <w:sz w:val="24"/>
          <w:szCs w:val="24"/>
        </w:rPr>
        <w:t xml:space="preserve">This conception has empirical specificity. Affective dynamics research has documented that day-to-day variation in mood is partially organized by autoregressive carryover, often termed </w:t>
      </w:r>
      <w:r>
        <w:rPr>
          <w:rFonts w:ascii="Times New Roman" w:cs="Times New Roman" w:eastAsia="Times New Roman" w:hAnsi="Times New Roman"/>
          <w:i/>
          <w:iCs/>
          <w:sz w:val="24"/>
          <w:szCs w:val="24"/>
        </w:rPr>
        <w:t xml:space="preserve">emotional inertia</w:t>
      </w:r>
      <w:r>
        <w:rPr>
          <w:rFonts w:ascii="Times New Roman" w:cs="Times New Roman" w:eastAsia="Times New Roman" w:hAnsi="Times New Roman"/>
          <w:sz w:val="24"/>
          <w:szCs w:val="24"/>
        </w:rPr>
        <w:t xml:space="preserve"> (Houben, Van Den Noortgate, &amp; Kuppens, 2015; Koval &amp; Kuppens, 2012; Kuppens, Allen, &amp; Sheeber, 2010). Higher inertia is associated with reduced responsiveness to environmental input and with markers of psychological maladjustment; the </w:t>
      </w:r>
      <w:r>
        <w:rPr>
          <w:rFonts w:ascii="Times New Roman" w:cs="Times New Roman" w:eastAsia="Times New Roman" w:hAnsi="Times New Roman"/>
          <w:i/>
          <w:iCs/>
          <w:sz w:val="24"/>
          <w:szCs w:val="24"/>
        </w:rPr>
        <w:t xml:space="preserve">capacity</w:t>
      </w:r>
      <w:r>
        <w:rPr>
          <w:rFonts w:ascii="Times New Roman" w:cs="Times New Roman" w:eastAsia="Times New Roman" w:hAnsi="Times New Roman"/>
          <w:sz w:val="24"/>
          <w:szCs w:val="24"/>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What an external input does to the system is therefore a more nuanced empirical question than “mean shift,” and intensive longitudinal designs are well-suited to making these distinctions.</w:t>
      </w:r>
    </w:p>
    <w:p>
      <w:pPr>
        <w:spacing w:after="120" w:before="0" w:line="480"/>
        <w:jc w:val="both"/>
      </w:pPr>
      <w:r>
        <w:rPr>
          <w:rFonts w:ascii="Times New Roman" w:cs="Times New Roman" w:eastAsia="Times New Roman" w:hAnsi="Times New Roman"/>
          <w:sz w:val="24"/>
          <w:szCs w:val="24"/>
        </w:rPr>
        <w:t xml:space="preserve">This reframing carries a methodological consequence: a non-significant intervention effect is not a design failure. The conventional reading—that the design lacks power to reject the null—presupposes a hypothesis-testing framework in which the intervention is a treatment whose efficacy is being assayed. Within that framework, a formal equivalence procedure such as Lakens’s (2017) two one-sided tests is the appropriate response.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w:t>
      </w:r>
    </w:p>
    <w:p>
      <w:pPr>
        <w:pStyle w:val="Heading2"/>
        <w:spacing w:after="120" w:before="240" w:line="360"/>
      </w:pPr>
      <w:r>
        <w:rPr>
          <w:rFonts w:ascii="Times New Roman" w:cs="Times New Roman" w:eastAsia="Times New Roman" w:hAnsi="Times New Roman"/>
          <w:b/>
          <w:bCs/>
          <w:sz w:val="26"/>
          <w:szCs w:val="26"/>
        </w:rPr>
        <w:t xml:space="preserve">1.3 What Governs Affective Dynamics?</w:t>
      </w:r>
    </w:p>
    <w:p>
      <w:pPr>
        <w:spacing w:after="120" w:before="0" w:line="480"/>
        <w:jc w:val="both"/>
      </w:pPr>
      <w:r>
        <w:rPr>
          <w:rFonts w:ascii="Times New Roman" w:cs="Times New Roman" w:eastAsia="Times New Roman" w:hAnsi="Times New Roman"/>
          <w:sz w:val="24"/>
          <w:szCs w:val="24"/>
        </w:rPr>
        <w:t xml:space="preserve">What governs day-to-day affective state is one of psychology’s oldest questions, and the answers have varied with each generation’s theoretical commitments. Affect has been modeled as a dimensional state organized along valence and arousal (Russell, 1980; Russell &amp; Barrett, 1999), as the output of cognitive appraisal (Frijda, 1986; Lazarus, 1991), as a continuous regulator of homeostasis and somatic state (Craig, 2009; Damasio, 1999), and as a property of self-organizing dynamical systems whose structure differs across persons (Kuppens et al., 2010; Wichers, 2014). These accounts are not strictly competing; they pick out different aspects of what affect is and what predicts its moment-to-moment trajectory. The present study takes no comprehensive position on the broader question. It addresses a narrower empirical version: in this individual system, sampled three times a day for 70 days, what proportion of daily variation in self-reported mood is accounted for by a discrete external input, and what proportion by internal behavioral state?</w:t>
      </w:r>
    </w:p>
    <w:p>
      <w:pPr>
        <w:spacing w:after="120" w:before="0" w:line="480"/>
        <w:jc w:val="both"/>
      </w:pPr>
      <w:r>
        <w:rPr>
          <w:rFonts w:ascii="Times New Roman" w:cs="Times New Roman" w:eastAsia="Times New Roman" w:hAnsi="Times New Roman"/>
          <w:sz w:val="24"/>
          <w:szCs w:val="24"/>
        </w:rPr>
        <w:t xml:space="preserve">The dominant implicit model in mood-intervention research is that affect is improved by adding beneficial inputs—better sleep, reduced stress, optimized nutrition, pharmacological support. Mood is treated as a passive output of external conditions; intervention becomes a question of which conditions to optimize. Much of the sleep-intervention, nutritional-psychiatry, and supplement literature proceeds within this frame. The present study does not contest its value at the population level; it contests only the implicit assumption that the same frame should organize an individual person’s account of their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w:t>
      </w:r>
      <w:r>
        <w:rPr>
          <w:rFonts w:ascii="Times New Roman" w:cs="Times New Roman" w:eastAsia="Times New Roman" w:hAnsi="Times New Roman"/>
          <w:b/>
          <w:bCs/>
          <w:sz w:val="24"/>
          <w:szCs w:val="24"/>
        </w:rPr>
        <w:t xml:space="preserve">internal behavioral dynamics</w:t>
      </w:r>
      <w:r>
        <w:rPr>
          <w:rFonts w:ascii="Times New Roman" w:cs="Times New Roman" w:eastAsia="Times New Roman" w:hAnsi="Times New Roman"/>
          <w:sz w:val="24"/>
          <w:szCs w:val="24"/>
        </w:rPr>
        <w:t xml:space="preserve">: by the degree to which the individual is acting intentionally, completing tasks, making progress toward goals, and maintaining awareness of their own state. On this view, mood is less a response to external inputs than a signature of how well the individual’s behavioral system is functioning as a self-regulating agent. The present study compares these accounts at the individual level, with two theoretical commitments grounding the internal-dynamics account.</w:t>
      </w:r>
    </w:p>
    <w:p>
      <w:pPr>
        <w:spacing w:after="120" w:before="0" w:line="480"/>
        <w:jc w:val="both"/>
      </w:pPr>
      <w:r>
        <w:rPr>
          <w:rFonts w:ascii="Times New Roman" w:cs="Times New Roman" w:eastAsia="Times New Roman" w:hAnsi="Times New Roman"/>
          <w:sz w:val="24"/>
          <w:szCs w:val="24"/>
        </w:rPr>
        <w:t xml:space="preserve">The first commitment is that perceived agency—the felt sense of intentional, goal-directed action—is a primary organizer of affective state. This commitment derives most directly from Bandura’s (1989, 2001, 2006) social cognitive theory of human agency. Bandura characterizes persons not as reactive organisms shepherded by environmental contingencies but as proactive, self-organizing, and self-regulating agents who exercise causal influence over their own functioning. Four core features specify agentic functioning: intentionality (forming and pursuing action plans), forethought (anticipating consequences and adjusting course), self-reactiveness (translating intentions into action and regulating that regulation), and self-reflectiveness (examining one’s own functioning and revising one’s beliefs about oneself). The latter two correspond directly to the variables operationalized here. A complementary tradition in self-determination theory (Deci &amp; Ryan, 2000; Ryan &amp; Deci, 2017) treats autonomy—behavior experienced as self-endorsed and volitional—as a basic psychological need whose satisfaction predicts subjective well-being. The hypothesis that perceived agency predicts mood receives more specific theoretical support from Carver and Scheier’s (1990, 1998) control-process model, which proposes that mood functions as a real-time feedback signal about the </w:t>
      </w:r>
      <w:r>
        <w:rPr>
          <w:rFonts w:ascii="Times New Roman" w:cs="Times New Roman" w:eastAsia="Times New Roman" w:hAnsi="Times New Roman"/>
          <w:i/>
          <w:iCs/>
          <w:sz w:val="24"/>
          <w:szCs w:val="24"/>
        </w:rPr>
        <w:t xml:space="preserve">rate</w:t>
      </w:r>
      <w:r>
        <w:rPr>
          <w:rFonts w:ascii="Times New Roman" w:cs="Times New Roman" w:eastAsia="Times New Roman" w:hAnsi="Times New Roman"/>
          <w:sz w:val="24"/>
          <w:szCs w:val="24"/>
        </w:rPr>
        <w:t xml:space="preserve"> of progress toward valued goals. Positive affect arises when actual progress exceeds expected progress; negative affect, when it falls below. The construct of agency in the present study—operationalized as the perceived sense of task progress and forward motion—is a direct experiential correlate of what Carver and Scheier’s model identifies as the proximal cause of affect.</w:t>
      </w:r>
    </w:p>
    <w:p>
      <w:pPr>
        <w:spacing w:after="120" w:before="0" w:line="480"/>
        <w:jc w:val="both"/>
      </w:pPr>
      <w:r>
        <w:rPr>
          <w:rFonts w:ascii="Times New Roman" w:cs="Times New Roman" w:eastAsia="Times New Roman" w:hAnsi="Times New Roman"/>
          <w:sz w:val="24"/>
          <w:szCs w:val="24"/>
        </w:rPr>
        <w:t xml:space="preserve">The second commitment is that metacognitive awareness—the system’s read-out of its own internal state—both predicts mood and modulates the system’s responsiveness to external perturbation. Metacognition was originally defined by Flavell (1979) as cognition about cognition, encompassing metacognitive knowledge, metacognitive experiences, and metacognitive strategies. Schraw and Moshman (1995) distinguished three types of metacognitive theory along which the construct can be elaborated; Efklides (2008) drew it closer to affective experience by showing how metacognitive experiences—feelings of difficulty, confidence, fluency—are themselves affectively colored and feed back into self-regulation. The construct has been operationalized here using the monitoring–control framework of Nelson and Narens (1990), in which a metalevel system continuously reads out and regulates object-level processes. This framework is well-suited to the present design because it treats metacognition as varying in real time and therefore samplable at the same temporal resolution as mood. Metcalfe and Greene (2007) extend the monitoring–control framework to agency, demonstrating that judgments of personal control and authorship are products of metacognitive monitoring and that errors in agency attribution arise predictably from monitoring biases. This connection—between agency and metacognition as jointly constitutive of self-regulatory functioning—motivates the metacontrol hypothesis tested below: a system better able to monitor its own state may also be less easily swayed by exogenous inputs of small magnitude.</w:t>
      </w:r>
    </w:p>
    <w:p>
      <w:pPr>
        <w:spacing w:after="120" w:before="0" w:line="480"/>
        <w:jc w:val="both"/>
      </w:pPr>
      <w:r>
        <w:rPr>
          <w:rFonts w:ascii="Times New Roman" w:cs="Times New Roman" w:eastAsia="Times New Roman" w:hAnsi="Times New Roman"/>
          <w:sz w:val="24"/>
          <w:szCs w:val="24"/>
        </w:rPr>
        <w:t xml:space="preserve">Taken together, the agency tradition (Bandura; Carver and Scheier; Deci and Ryan) and the metacognition tradition (Flavell; Nelson and Narens; Metcalfe and Greene; Efklides) imply a parsimonious empirical prediction the present design can test: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what they do is small relative to the system’s own self-regulatory machinery, and that what they do may show up in features of the trajectory other than its mean level—its variability or decay rate. The research questions in Section 1.4 are designed to make these predictions empirically separable.</w:t>
      </w:r>
    </w:p>
    <w:p>
      <w:pPr>
        <w:pStyle w:val="Heading3"/>
        <w:spacing w:after="60" w:before="180" w:line="360"/>
      </w:pPr>
      <w:r>
        <w:rPr>
          <w:rFonts w:ascii="Times New Roman" w:cs="Times New Roman" w:eastAsia="Times New Roman" w:hAnsi="Times New Roman"/>
          <w:b/>
          <w:bCs/>
          <w:i/>
          <w:iCs/>
          <w:sz w:val="24"/>
          <w:szCs w:val="24"/>
        </w:rPr>
        <w:t xml:space="preserve">Construct delineation</w:t>
      </w:r>
    </w:p>
    <w:p>
      <w:pPr>
        <w:spacing w:after="120" w:before="0" w:line="480"/>
        <w:jc w:val="both"/>
      </w:pPr>
      <w:r>
        <w:rPr>
          <w:rFonts w:ascii="Times New Roman" w:cs="Times New Roman" w:eastAsia="Times New Roman" w:hAnsi="Times New Roman"/>
          <w:sz w:val="24"/>
          <w:szCs w:val="24"/>
        </w:rPr>
        <w:t xml:space="preserve">Because the term </w:t>
      </w:r>
      <w:r>
        <w:rPr>
          <w:rFonts w:ascii="Times New Roman" w:cs="Times New Roman" w:eastAsia="Times New Roman" w:hAnsi="Times New Roman"/>
          <w:i/>
          <w:iCs/>
          <w:sz w:val="24"/>
          <w:szCs w:val="24"/>
        </w:rPr>
        <w:t xml:space="preserve">agency</w:t>
      </w:r>
      <w:r>
        <w:rPr>
          <w:rFonts w:ascii="Times New Roman" w:cs="Times New Roman" w:eastAsia="Times New Roman" w:hAnsi="Times New Roman"/>
          <w:sz w:val="24"/>
          <w:szCs w:val="24"/>
        </w:rPr>
        <w:t xml:space="preserve"> carries divergent meanings across traditions, its scope here warrants explicit delimitation, to preempt the cross-traditional drift that complicates interpretation when distinct uses of a word converge in the same paper. In sociology, agency is most often defined in opposition to social structure. Following Giddens (1984), agency refers to the capacity of individuals to act with reflective intentionality within and against the structuring conditions of social life—class, gender, ethnicity, institutional position—that shape but do not determine the field of available action. Related accounts in this tradition (Archer, 2003; Bourdieu, 1990) elaborate the same dialectic through habitus, field, and reflexive deliberation under structural constraints. These accounts share a scale: the relation between persons and the social-historical structures that condition them. The construct of agency in the present study does not engage that scale. The structural conditions of this individual’s life are held analytically constant across the 70-day window; what varies is the within-day, within-person experience of acting intentionally toward immediate task goals. The two uses share a word but not a referent.</w:t>
      </w:r>
    </w:p>
    <w:p>
      <w:pPr>
        <w:spacing w:after="120" w:before="0" w:line="480"/>
        <w:jc w:val="both"/>
      </w:pPr>
      <w:r>
        <w:rPr>
          <w:rFonts w:ascii="Times New Roman" w:cs="Times New Roman" w:eastAsia="Times New Roman" w:hAnsi="Times New Roman"/>
          <w:sz w:val="24"/>
          <w:szCs w:val="24"/>
        </w:rPr>
        <w:t xml:space="preserve">In philosophy of mind and cognitive neuroscience, agency refers to a different question: whether and how the felt experience of being the author of one’s actions is produced, and whether that experience is veridical or partially confabulatory. Wegner’s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argues that conscious will is a product of post hoc inference rather than a direct read-out of behavioral causes, and that systematic distortions of this inference produce both false attribution of agency and disownership of actions one in fact produced. The neurocognitive comparator-model literature (Frith, 2005; Haggard, 2017; Moore &amp; Fletcher, 2012; Synofzik, Vosgerau, &amp; Newen, 2008) has separated the implicit </w:t>
      </w:r>
      <w:r>
        <w:rPr>
          <w:rFonts w:ascii="Times New Roman" w:cs="Times New Roman" w:eastAsia="Times New Roman" w:hAnsi="Times New Roman"/>
          <w:i/>
          <w:iCs/>
          <w:sz w:val="24"/>
          <w:szCs w:val="24"/>
        </w:rPr>
        <w:t xml:space="preserve">feeling</w:t>
      </w:r>
      <w:r>
        <w:rPr>
          <w:rFonts w:ascii="Times New Roman" w:cs="Times New Roman" w:eastAsia="Times New Roman" w:hAnsi="Times New Roman"/>
          <w:sz w:val="24"/>
          <w:szCs w:val="24"/>
        </w:rPr>
        <w:t xml:space="preserve"> of agency that accompanies action from the explicit </w:t>
      </w:r>
      <w:r>
        <w:rPr>
          <w:rFonts w:ascii="Times New Roman" w:cs="Times New Roman" w:eastAsia="Times New Roman" w:hAnsi="Times New Roman"/>
          <w:i/>
          <w:iCs/>
          <w:sz w:val="24"/>
          <w:szCs w:val="24"/>
        </w:rPr>
        <w:t xml:space="preserve">judgment</w:t>
      </w:r>
      <w:r>
        <w:rPr>
          <w:rFonts w:ascii="Times New Roman" w:cs="Times New Roman" w:eastAsia="Times New Roman" w:hAnsi="Times New Roman"/>
          <w:sz w:val="24"/>
          <w:szCs w:val="24"/>
        </w:rPr>
        <w:t xml:space="preserve"> one constructs afterward, tracing each to distinct neural substrates. The present study takes no position on these questions. It treats the participant’s self-reported sense of intentional progress as a phenomenological signal—a psychological variable the system tracks and reports, regardless of whether the experience is veridical, constructed, or mixed. The empirical question is narrower: does day-to-day variation in the felt sense of intentional progress predict day-to-day variation in affective state? That question can be addressed without resolving whether the felt sense is, in some deeper sense, true.</w:t>
      </w:r>
    </w:p>
    <w:p>
      <w:pPr>
        <w:spacing w:after="120" w:before="0" w:line="480"/>
        <w:jc w:val="both"/>
      </w:pPr>
      <w:r>
        <w:rPr>
          <w:rFonts w:ascii="Times New Roman" w:cs="Times New Roman" w:eastAsia="Times New Roman" w:hAnsi="Times New Roman"/>
          <w:sz w:val="24"/>
          <w:szCs w:val="24"/>
        </w:rPr>
        <w:t xml:space="preserve">The construct of metacognition is similarly subject to scope ambiguity. Flavell’s (1979) typology distinguishes metacognitive knowledge (relatively stable beliefs about one’s own cognitive abilities and the demands of various tasks) from metacognitive experiences (in-the-moment feelings of knowing, difficulty, or confidence) and metacognitive strategies (procedures for monitoring and regulation). Schraw and Moshman (1995) further separate metacognitive theories—integrated frameworks organizing one’s understanding of one’s own cognition—from the local monitoring-and-control processes that operate during task performance. A substantial educational-psychology literature elaborates metacognition primarily in the first sense, as stable knowledge structures assessable cross-sectionally (Veenman, Van Hout-Wolters, &amp; Afflerbach, 2006). The construct as used here is restricted to in-the-moment self-monitoring in the Nelson and Narens (1990) sense, closer in spirit to Flavell’s metacognitive-experience strand than to the metacognitive-knowledge strand. This restriction is not a claim that broader uses are misguided; it is a measurement choice imposed by the high-frequency sampling design, which captures momentary variation well but is not suited to assessing stable knowledge structures.</w:t>
      </w:r>
    </w:p>
    <w:p>
      <w:pPr>
        <w:pStyle w:val="Heading2"/>
        <w:spacing w:after="120" w:before="240" w:line="36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(empirical). </w:t>
      </w:r>
      <w:r>
        <w:rPr>
          <w:rFonts w:ascii="Times New Roman" w:cs="Times New Roman" w:eastAsia="Times New Roman" w:hAnsi="Times New Roman"/>
          <w:sz w:val="24"/>
          <w:szCs w:val="24"/>
        </w:rPr>
        <w:t xml:space="preserve">Within a hormonally stabilized background condition, does melatonin administration meaningfully shift average momentary emotional valence?</w:t>
      </w:r>
    </w:p>
    <w:p>
      <w:pPr>
        <w:spacing w:after="120" w:before="0" w:line="480"/>
        <w:jc w:val="both"/>
      </w:pPr>
      <w:r>
        <w:rPr>
          <w:rFonts w:ascii="Times New Roman" w:cs="Times New Roman" w:eastAsia="Times New Roman" w:hAnsi="Times New Roman"/>
          <w:b/>
          <w:bCs/>
          <w:sz w:val="24"/>
          <w:szCs w:val="24"/>
        </w:rPr>
        <w:t xml:space="preserve">System-level. </w:t>
      </w:r>
      <w:r>
        <w:rPr>
          <w:rFonts w:ascii="Times New Roman" w:cs="Times New Roman" w:eastAsia="Times New Roman" w:hAnsi="Times New Roman"/>
          <w:sz w:val="24"/>
          <w:szCs w:val="24"/>
        </w:rPr>
        <w:t xml:space="preserve">In this individual behavioral system, does a discrete external perturbation (melatonin) produce affective change that exceeds the system’s own predicted trajectory, or do internal drivers—agency and metacognitive awareness—account for substantially more variance than the external intervention?</w:t>
      </w:r>
    </w:p>
    <w:p>
      <w:pPr>
        <w:spacing w:after="120" w:before="0" w:line="480"/>
        <w:jc w:val="both"/>
      </w:pPr>
      <w:r>
        <w:rPr>
          <w:rFonts w:ascii="Times New Roman" w:cs="Times New Roman" w:eastAsia="Times New Roman" w:hAnsi="Times New Roman"/>
          <w:b/>
          <w:bCs/>
          <w:sz w:val="24"/>
          <w:szCs w:val="24"/>
        </w:rPr>
        <w:t xml:space="preserve">Metacontrol. </w:t>
      </w:r>
      <w:r>
        <w:rPr>
          <w:rFonts w:ascii="Times New Roman" w:cs="Times New Roman" w:eastAsia="Times New Roman" w:hAnsi="Times New Roman"/>
          <w:sz w:val="24"/>
          <w:szCs w:val="24"/>
        </w:rPr>
        <w:t xml:space="preserve">Does metacognitive awareness moderate the system’s sensitivity to external perturbation? That is, does higher metacognition buffer the individual against the influence of melatonin?</w:t>
      </w:r>
    </w:p>
    <w:p>
      <w:pPr>
        <w:pStyle w:val="Heading2"/>
        <w:spacing w:after="120" w:before="240" w:line="360"/>
      </w:pPr>
      <w:r>
        <w:rPr>
          <w:rFonts w:ascii="Times New Roman" w:cs="Times New Roman" w:eastAsia="Times New Roman" w:hAnsi="Times New Roman"/>
          <w:b/>
          <w:bCs/>
          <w:sz w:val="26"/>
          <w:szCs w:val="26"/>
        </w:rPr>
        <w:t xml:space="preserve">1.5 Study Origin and Scope</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The participant designed and ran a 44-day randomized N-of-1 alternating-treatment experiment with three-times-daily ecological momentary assessment (EMA) sampling. The course-required analysis followed a between-condition framework: a mean comparison and Monte Carlo randomization test (10,000 permutations) yielded a small, non-significant intervention effect (p = .40). The descriptive time series, however, displayed structure the between-condition framework did not address: autoregressive momentum, candidate latent dynamics, and apparent moderation by internal behavioral variables.</w:t>
      </w:r>
    </w:p>
    <w:p>
      <w:pPr>
        <w:spacing w:after="120" w:before="0" w:line="480"/>
        <w:jc w:val="both"/>
      </w:pPr>
      <w:r>
        <w:rPr>
          <w:rFonts w:ascii="Times New Roman" w:cs="Times New Roman" w:eastAsia="Times New Roman" w:hAnsi="Times New Roman"/>
          <w:sz w:val="24"/>
          <w:szCs w:val="24"/>
        </w:rPr>
        <w:t xml:space="preserve">The present study extends the original protocol to a full 70-day window and shifts the analytic question from “did the intervention produce an average effect?” to “what is the dynamic structure of the system, and how do internal and external drivers contribute to it?” The methods reported here—autoregressive modeling with exogenous inputs, state-space modeling with Kalman filtering, impulse response analysis, and conditional heteroskedasticity—reflect that re-framing. Two protocol features are noted in the Method: agency and metacognitive awareness items were added on Day 18 following an interim review, and analyses involving these variables are correspondingly restricted.</w:t>
      </w:r>
    </w:p>
    <w:p>
      <w:pPr>
        <w:pStyle w:val="Heading1"/>
        <w:spacing w:after="240" w:before="360" w:line="360"/>
      </w:pPr>
      <w:r>
        <w:rPr>
          <w:rFonts w:ascii="Times New Roman" w:cs="Times New Roman" w:eastAsia="Times New Roman" w:hAnsi="Times New Roman"/>
          <w:b/>
          <w:bCs/>
          <w:sz w:val="28"/>
          <w:szCs w:val="28"/>
        </w:rPr>
        <w:t xml:space="preserve">2. Method</w:t>
      </w:r>
    </w:p>
    <w:p>
      <w:pPr>
        <w:pStyle w:val="Heading2"/>
        <w:spacing w:after="120" w:before="240" w:line="360"/>
      </w:pPr>
      <w:r>
        <w:rPr>
          <w:rFonts w:ascii="Times New Roman" w:cs="Times New Roman" w:eastAsia="Times New Roman" w:hAnsi="Times New Roman"/>
          <w:b/>
          <w:bCs/>
          <w:sz w:val="26"/>
          <w:szCs w:val="26"/>
        </w:rPr>
        <w:t xml:space="preserve">2.1 Participant</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in language and intercultural studies, reported no current psychiatric or other medical diagnoses, and was taking no medication beyond the hormonal contraceptive described in Section 2.2.</w:t>
      </w:r>
    </w:p>
    <w:p>
      <w:pPr>
        <w:pStyle w:val="Heading2"/>
        <w:spacing w:after="120" w:before="240" w:line="36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 Stability in this study is not the outcome; it is what makes change observable.</w:t>
      </w:r>
    </w:p>
    <w:p>
      <w:pPr>
        <w:pStyle w:val="Heading2"/>
        <w:spacing w:after="120" w:before="240" w:line="36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pPr>
        <w:pStyle w:val="Heading2"/>
        <w:spacing w:after="120" w:before="240" w:line="360"/>
      </w:pPr>
      <w:r>
        <w:rPr>
          <w:rFonts w:ascii="Times New Roman" w:cs="Times New Roman" w:eastAsia="Times New Roman" w:hAnsi="Times New Roman"/>
          <w:b/>
          <w:bCs/>
          <w:sz w:val="26"/>
          <w:szCs w:val="26"/>
        </w:rPr>
        <w:t xml:space="preserve">2.4 Procedure and Measurement</w:t>
      </w:r>
    </w:p>
    <w:p>
      <w:pPr>
        <w:pStyle w:val="Heading3"/>
        <w:spacing w:after="60" w:before="180" w:line="36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 xml:space="preserve">The study employed a 70-day intensive longitudinal N-of-1 alternating-treatment design. Each day was randomly assigned to either an active (melatonin) or control (no melatonin) condition according to the pre-registered schedule described in Section 2.3. Ecological momentary assessment (EMA) prompts were delivered three times per day, at approximately 10:00, 16:00, and 22:00 local time, via automated iOS Shortcuts. The protocol began with the 22:00 evening prompt on the first study day; because EMA observations were aggregated by their calendar date of recording, this evening-start convention produced 71 calendar-date partitions (2026-02-18 to 2026-04-29) and an asymmetric tally of 35 control and 36 melatonin daily aggregates rather than the planned 35 vs. 35 (cf. Section 3.1). Of 210 planned EMA observations across the 70-day window, 195 were recorded (compliance rate = 92.9%; 55 days with three observations, 14 with two, and 2 with one).</w:t>
      </w:r>
    </w:p>
    <w:p>
      <w:pPr>
        <w:pStyle w:val="Heading3"/>
        <w:spacing w:after="60" w:before="180" w:line="36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1.3a).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36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 xml:space="preserve">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(n = 144 observations across 53 days, with 27 control and 27 melatonin days in this window). Mood-only analyses—descriptive statistics, between-condition mean comparison, and the observation-level AR(1) inertia estimate—use the full 195-observation sample.</w:t>
      </w:r>
    </w:p>
    <w:p>
      <w:pPr>
        <w:pStyle w:val="Heading3"/>
        <w:spacing w:after="60" w:before="180" w:line="36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6).</w:t>
      </w:r>
    </w:p>
    <w:p>
      <w:pPr>
        <w:pStyle w:val="Heading2"/>
        <w:spacing w:after="120" w:before="240" w:line="360"/>
      </w:pPr>
      <w:r>
        <w:rPr>
          <w:rFonts w:ascii="Times New Roman" w:cs="Times New Roman" w:eastAsia="Times New Roman" w:hAnsi="Times New Roman"/>
          <w:b/>
          <w:bCs/>
          <w:sz w:val="26"/>
          <w:szCs w:val="26"/>
        </w:rPr>
        <w:t xml:space="preserve">2.5 Analytic Strategy</w:t>
      </w:r>
    </w:p>
    <w:p>
      <w:pPr>
        <w:pStyle w:val="Heading3"/>
        <w:spacing w:after="60" w:before="180" w:line="36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 xml:space="preserve">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with non-missing lag-1 observations) to ensure that all three models were estimated on identical data, permitting incremental-R² comparison.</w:t>
      </w:r>
    </w:p>
    <w:p>
      <w:pPr>
        <w:pStyle w:val="Heading3"/>
        <w:spacing w:after="60" w:before="180" w:line="36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36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36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36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perturbation—the number of time steps required for an external impulse to decay to half its initial magnitude—follows directly:</w:t>
      </w:r>
    </w:p>
    <w:p>
      <w:pPr>
        <w:spacing w:after="120" w:before="120" w:line="36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transparently in Section 3.3.</w:t>
      </w:r>
    </w:p>
    <w:p>
      <w:pPr>
        <w:pStyle w:val="Heading3"/>
        <w:spacing w:after="60" w:before="180" w:line="36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36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36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hypothesis—that metacognitive awareness moderates the system’s responsiveness to external perturbation—was tested by adding a melatonin × metacognition interaction term, with metacognition mean-centered:</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36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36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36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days—that is, that the system recovers more quickly. Given the limited sample size for an interaction of this kind, this analysis is reported as a sensitivity check rather than a primary test.</w:t>
      </w:r>
    </w:p>
    <w:p>
      <w:pPr>
        <w:pStyle w:val="Heading3"/>
        <w:spacing w:after="60" w:before="180" w:line="36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3.5.</w:t>
      </w:r>
    </w:p>
    <w:p>
      <w:pPr>
        <w:pStyle w:val="Heading3"/>
        <w:spacing w:after="60" w:before="180" w:line="360"/>
      </w:pPr>
      <w:r>
        <w:rPr>
          <w:rFonts w:ascii="Times New Roman" w:cs="Times New Roman" w:eastAsia="Times New Roman" w:hAnsi="Times New Roman"/>
          <w:b/>
          <w:bCs/>
          <w:i/>
          <w:iCs/>
          <w:sz w:val="24"/>
          <w:szCs w:val="24"/>
        </w:rPr>
        <w:t xml:space="preserve">2.5.9 Supplementary Bayesian robustness analysis</w:t>
      </w:r>
    </w:p>
    <w:p>
      <w:pPr>
        <w:spacing w:after="120" w:before="0" w:line="480"/>
        <w:jc w:val="both"/>
      </w:pPr>
      <w:r>
        <w:rPr>
          <w:rFonts w:ascii="Times New Roman" w:cs="Times New Roman" w:eastAsia="Times New Roman" w:hAnsi="Times New Roman"/>
          <w:sz w:val="24"/>
          <w:szCs w:val="24"/>
        </w:rPr>
        <w:t xml:space="preserve">As a supplementary robustness check, the primary M2 regression (Section 2.5.1) was re-estimated in a Bayesian framework using brms (Bürkner,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(Normal(0, 1)), the intercept (Student-t(3, 0, 2.5)), and the residual standard deviation (Exponential(1)). Four chains were run for 4,000 iterations each with 1,000 warmup iterations and target_accept = 0.95, yielding 12,000 post-warmup posterior draws per parameter. A secondary Bayesian model additionally included a melatonin × metacognition interaction to provide a Bayesian counterpart of the metacontrol test (Section 2.5.5).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pPr>
        <w:pStyle w:val="Heading3"/>
        <w:spacing w:after="60" w:before="180" w:line="36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Primary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Supplementary Bayesian robustness models were fit in R 4.5 using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(Bürkner, 2017) with Stan used for MCMC posterior sampling. Analysis code is available in the project repository described in Section 6.</w:t>
      </w:r>
    </w:p>
    <w:p>
      <w:pPr>
        <w:pStyle w:val="Heading1"/>
        <w:spacing w:after="240" w:before="360" w:line="360"/>
      </w:pPr>
      <w:r>
        <w:rPr>
          <w:rFonts w:ascii="Times New Roman" w:cs="Times New Roman" w:eastAsia="Times New Roman" w:hAnsi="Times New Roman"/>
          <w:b/>
          <w:bCs/>
          <w:sz w:val="28"/>
          <w:szCs w:val="28"/>
        </w:rPr>
        <w:t xml:space="preserve">3. Results</w:t>
      </w:r>
    </w:p>
    <w:p>
      <w:pPr>
        <w:pStyle w:val="Heading2"/>
        <w:spacing w:after="120" w:before="240" w:line="36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 xml:space="preserve">Of 210 planned EMA observations across the 70-day study window (2026-02-18 to 2026-04-29), 195 were recorded, yielding a compliance rate of 92.9% (55 calendar dates with three observations, 14 with two, 2 with one). As described in Section 2.3, the protocol’s evening-start convention produced 71 calendar-date partitions across the 70 planned study days, with 35 control and 36 melatonin daily aggregates. Within the Day 18–70 window in which agency and metacognition were also collected, 27 control and 27 melatonin days yielded 144 complete observations.</w:t>
      </w:r>
    </w:p>
    <w:p>
      <w:pPr>
        <w:spacing w:after="120" w:before="0" w:line="480"/>
        <w:jc w:val="both"/>
      </w:pPr>
      <w:r>
        <w:rPr>
          <w:rFonts w:ascii="Times New Roman" w:cs="Times New Roman" w:eastAsia="Times New Roman" w:hAnsi="Times New Roman"/>
          <w:sz w:val="24"/>
          <w:szCs w:val="24"/>
        </w:rPr>
        <w:t xml:space="preserve">Daily mean mood was high overall (M = 77.18, SD = 5.59), with a range from 50.00 to 86.50 across the 70-day window. By condition, daily mood averaged 76.67 (SD = 6.41) on control days and 77.70 (SD = 4.47) on melatonin days. Daily agency averaged 77.71 (SD = 4.50) on control days and 78.57 (SD = 3.16) on melatonin days. Daily metacognition averaged 79.39 (SD = 3.98) on control days and 80.10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43500" cy="2247900"/>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479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1. </w:t>
      </w:r>
      <w:r>
        <w:rPr>
          <w:rFonts w:ascii="Times New Roman" w:cs="Times New Roman" w:eastAsia="Times New Roman" w:hAnsi="Times New Roman"/>
          <w:i/>
          <w:iCs/>
          <w:sz w:val="22"/>
          <w:szCs w:val="22"/>
        </w:rPr>
        <w:t xml:space="preserve">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43500" cy="2247900"/>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479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2. </w:t>
      </w:r>
      <w:r>
        <w:rPr>
          <w:rFonts w:ascii="Times New Roman" w:cs="Times New Roman" w:eastAsia="Times New Roman" w:hAnsi="Times New Roman"/>
          <w:i/>
          <w:iCs/>
          <w:sz w:val="22"/>
          <w:szCs w:val="22"/>
        </w:rPr>
        <w:t xml:space="preserve">All 195 momentary mood observations across the 70-day window, colored by daily condition. The dark line shows the 7-day rolling mean of daily mood, indicating a gradual upward trend that stabilizes from approximately Day 40 onward.</w:t>
      </w:r>
    </w:p>
    <w:p>
      <w:pPr>
        <w:pStyle w:val="Heading2"/>
        <w:spacing w:after="120" w:before="240" w:line="36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on the Day 18–70 subsample (n = 53 days; Table 1). The baseline AR(1) model (M0) yielded φ = 0.33, 95% CI [0.07, 0.60], p = .014, accounting for 11.1% of the variance in daily mood and confirming the presence of day-to-day emotional inertia. Adding the melatonin probe (M1) increased explained variance only marginally (R² = 0.121, ΔR² = 0.010; β = 0.73, 95% CI [−1.23, 2.70], p = .456). Adding the two internal drivers (M2) increased explained variance dramatically (R² = 0.637, adjusted R² = 0.607).</w:t>
      </w:r>
    </w:p>
    <w:p>
      <w:pPr>
        <w:spacing w:after="120" w:before="0" w:line="480"/>
        <w:jc w:val="both"/>
      </w:pPr>
      <w:r>
        <w:rPr>
          <w:rFonts w:ascii="Times New Roman" w:cs="Times New Roman" w:eastAsia="Times New Roman" w:hAnsi="Times New Roman"/>
          <w:sz w:val="24"/>
          <w:szCs w:val="24"/>
        </w:rPr>
        <w:t xml:space="preserve">In the full M2 model, agency emerged as a strong positive predictor of daily mood (β = 0.54, 95% CI [0.33, 0.74], p &lt; .001), as did metacognition (β = 0.44, 95% CI [0.20, 0.67], p &lt; .001). The melatonin coefficient was estimated near zero (β = 0.06, 95% CI [−1.24, 1.36], p = .927). The autoregressive coefficient flipped sign in the full model and was no longer reliably distinguishable from zero (β = −0.13, 95% CI [−0.34, 0.08], p = .218), suggesting that the apparent emotional inertia detected by M0 was substantially absorbed by the two internal drivers once they were included as predictors.</w:t>
      </w:r>
    </w:p>
    <w:p>
      <w:pPr>
        <w:spacing w:after="60" w:before="240" w:line="32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52.35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[31.63, 73.07]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52.21</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10.37</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[31.39, 73.03]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0.59]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 2.70]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12.12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8.36</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[−4.67, 28.92]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 0.08]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.218</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[−1.24, 1.36]</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.927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[0.33, 0.74]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models fit on the Day 18–70 subsample (n = 53 days). M0: R² = .111, adjusted R² = .094. M1: R² = .121, adjusted R² = .086. M2: R² = .637, adjusted R² = .607. Predictors are on their original 0–100 scales. M2 residuals showed no remaining serial dependence (Ljung–Box p &gt; .18 at lags 1, 5, 10) and were approximately normal (Shapiro–Wilk W = 0.98, p = .530).</w:t>
      </w:r>
    </w:p>
    <w:p>
      <w:pPr>
        <w:spacing w:after="120" w:before="0" w:line="480"/>
        <w:jc w:val="both"/>
      </w:pPr>
      <w:r>
        <w:rPr>
          <w:rFonts w:ascii="Times New Roman" w:cs="Times New Roman" w:eastAsia="Times New Roman" w:hAnsi="Times New Roman"/>
          <w:sz w:val="24"/>
          <w:szCs w:val="24"/>
        </w:rPr>
        <w:t xml:space="preserve">The drop-one incremental R² comparison made the magnitudes of these contributions directly comparable (Figure 3). Agency uniquely accounted for 20.1% of the variance in daily mood beyond what the other predictors in M2 captured; metacognition uniquely accounted for 10.6%; melatonin uniquely accounted for 0.01%. The internal-driver block (agency and metacognition jointly) accounted for 51.6% of the variance over and above the AR(1) baseline. The internal-driver contribution exceeds that of the external probe by several orders of magnitude.</w:t>
      </w:r>
    </w:p>
    <w:p>
      <w:pPr>
        <w:spacing w:after="60" w:before="240"/>
        <w:jc w:val="center"/>
      </w:pPr>
      <w:r>
        <w:drawing>
          <wp:inline distT="0" distB="0" distL="0" distR="0">
            <wp:extent cx="4572000" cy="2686050"/>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8605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3. </w:t>
      </w:r>
      <w:r>
        <w:rPr>
          <w:rFonts w:ascii="Times New Roman" w:cs="Times New Roman" w:eastAsia="Times New Roman" w:hAnsi="Times New Roman"/>
          <w:i/>
          <w:iCs/>
          <w:sz w:val="22"/>
          <w:szCs w:val="22"/>
        </w:rPr>
        <w:t xml:space="preserve">Incremental R² for each predictor in the full AR(1)-with-exogenous-inputs model, computed as the drop in R² when that predictor is removed. Agency and metacognition together account for over half of the day-to-day variance in mood; the melatonin probe accounts for essentially none.</w:t>
      </w:r>
    </w:p>
    <w:p>
      <w:pPr>
        <w:spacing w:after="120" w:before="0" w:line="480"/>
        <w:jc w:val="both"/>
      </w:pPr>
      <w:r>
        <w:rPr>
          <w:rFonts w:ascii="Times New Roman" w:cs="Times New Roman" w:eastAsia="Times New Roman" w:hAnsi="Times New Roman"/>
          <w:sz w:val="24"/>
          <w:szCs w:val="24"/>
        </w:rPr>
        <w:t xml:space="preserve">These findings were replicated under a Bayesian framework that placed weakly informative priors on all model parameters; the posterior pattern reproduced the OLS effect structure with substantial certainty (see Section 3.6).</w:t>
      </w:r>
    </w:p>
    <w:p>
      <w:pPr>
        <w:pStyle w:val="Heading2"/>
        <w:spacing w:after="120" w:before="240" w:line="360"/>
      </w:pPr>
      <w:r>
        <w:rPr>
          <w:rFonts w:ascii="Times New Roman" w:cs="Times New Roman" w:eastAsia="Times New Roman" w:hAnsi="Times New Roman"/>
          <w:b/>
          <w:bCs/>
          <w:sz w:val="26"/>
          <w:szCs w:val="26"/>
        </w:rPr>
        <w:t xml:space="preserve">3.3 Emotional Inertia and Latent State</w:t>
      </w:r>
    </w:p>
    <w:p>
      <w:pPr>
        <w:spacing w:after="120" w:before="0" w:line="480"/>
        <w:jc w:val="both"/>
      </w:pPr>
      <w:r>
        <w:rPr>
          <w:rFonts w:ascii="Times New Roman" w:cs="Times New Roman" w:eastAsia="Times New Roman" w:hAnsi="Times New Roman"/>
          <w:sz w:val="24"/>
          <w:szCs w:val="24"/>
        </w:rPr>
        <w:t xml:space="preserve">Three estimates of emotional inertia were computed at different sampling resolutions and windows. At the observation level (n = 194 lag-1 pairs across the full 195-observation sample), AR(1) estimation yielded φ_obs = 0.23, 95% CI [0.09, 0.37], p = .001. At the daily level computed on the full 70-day sample (n = 70 lag-1 pairs), φ_day ≈ 0.43 (Figure 4). On the Day 18–70 subsample used in the nested-model comparison reported in Section 3.2 (n = 53), the corresponding daily-level coefficient was φ = 0.33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0.43; the smaller nested-model coefficient should be interpreted as a within-window estimate constrained by data availability.</w:t>
      </w:r>
    </w:p>
    <w:p>
      <w:pPr>
        <w:spacing w:after="120" w:before="0" w:line="480"/>
        <w:jc w:val="both"/>
      </w:pPr>
      <w:r>
        <w:rPr>
          <w:rFonts w:ascii="Times New Roman" w:cs="Times New Roman" w:eastAsia="Times New Roman" w:hAnsi="Times New Roman"/>
          <w:sz w:val="24"/>
          <w:szCs w:val="24"/>
        </w:rPr>
        <w:t xml:space="preserve">The corresponding half-lives—the number of time steps for an external impulse to decay to half its initial magnitude—were 0.47 EMA pings (approximately 2.9 hours, given a 6.17-hour median between-prompt interval) at the observation level, and 0.82 days at the daily level using the full-sample estimate (Figure 5).</w:t>
      </w:r>
    </w:p>
    <w:p>
      <w:pPr>
        <w:spacing w:after="60" w:before="240"/>
        <w:jc w:val="center"/>
      </w:pPr>
      <w:r>
        <w:drawing>
          <wp:inline distT="0" distB="0" distL="0" distR="0">
            <wp:extent cx="3810000" cy="3429000"/>
            <wp:effectExtent t="0" r="0" b="0" l="0"/>
            <wp:docPr id="1"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290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4. </w:t>
      </w:r>
      <w:r>
        <w:rPr>
          <w:rFonts w:ascii="Times New Roman" w:cs="Times New Roman" w:eastAsia="Times New Roman" w:hAnsi="Times New Roman"/>
          <w:i/>
          <w:iCs/>
          <w:sz w:val="22"/>
          <w:szCs w:val="22"/>
        </w:rPr>
        <w:t xml:space="preserve">Lag-1 autocorrelation of daily mood, computed on the full 70-day sample. Each point represents one observation pair (mood at day t plotted against mood at day t − 1). The red regression line corresponds to the daily-level AR(1) coefficient (φ ≈ 0.43); the dashed line shows the y = x reference.</w:t>
      </w:r>
    </w:p>
    <w:p>
      <w:pPr>
        <w:spacing w:after="60" w:before="240"/>
        <w:jc w:val="center"/>
      </w:pPr>
      <w:r>
        <w:drawing>
          <wp:inline distT="0" distB="0" distL="0" distR="0">
            <wp:extent cx="5143500" cy="2133600"/>
            <wp:effectExtent t="0" r="0" b="0" l="0"/>
            <wp:docPr id="1"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1336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5. </w:t>
      </w:r>
      <w:r>
        <w:rPr>
          <w:rFonts w:ascii="Times New Roman" w:cs="Times New Roman" w:eastAsia="Times New Roman" w:hAnsi="Times New Roman"/>
          <w:i/>
          <w:iCs/>
          <w:sz w:val="22"/>
          <w:szCs w:val="22"/>
        </w:rPr>
        <w:t xml:space="preserve">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w:t>
      </w:r>
    </w:p>
    <w:p>
      <w:pPr>
        <w:spacing w:after="120" w:before="0" w:line="480"/>
        <w:jc w:val="both"/>
      </w:pPr>
      <w:r>
        <w:rPr>
          <w:rFonts w:ascii="Times New Roman" w:cs="Times New Roman" w:eastAsia="Times New Roman" w:hAnsi="Times New Roman"/>
          <w:sz w:val="24"/>
          <w:szCs w:val="24"/>
        </w:rPr>
        <w:t xml:space="preserve">The local-level state-space model (Section 2.5.2) decomposed the observed daily mood series into a smoothed latent trajectory and observation noise. Maximum-likelihood estimates were σ²_v = 17.34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pPr>
        <w:spacing w:after="60" w:before="240"/>
        <w:jc w:val="center"/>
      </w:pPr>
      <w:r>
        <w:drawing>
          <wp:inline distT="0" distB="0" distL="0" distR="0">
            <wp:extent cx="5143500" cy="2362200"/>
            <wp:effectExtent t="0" r="0" b="0" l="0"/>
            <wp:docPr id="1"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3622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6. </w:t>
      </w:r>
      <w:r>
        <w:rPr>
          <w:rFonts w:ascii="Times New Roman" w:cs="Times New Roman" w:eastAsia="Times New Roman" w:hAnsi="Times New Roman"/>
          <w:i/>
          <w:iCs/>
          <w:sz w:val="22"/>
          <w:szCs w:val="22"/>
        </w:rPr>
        <w:t xml:space="preserve">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w:t>
      </w:r>
    </w:p>
    <w:p>
      <w:pPr>
        <w:pStyle w:val="Heading2"/>
        <w:spacing w:after="120" w:before="240" w:line="360"/>
      </w:pPr>
      <w:r>
        <w:rPr>
          <w:rFonts w:ascii="Times New Roman" w:cs="Times New Roman" w:eastAsia="Times New Roman" w:hAnsi="Times New Roman"/>
          <w:b/>
          <w:bCs/>
          <w:sz w:val="26"/>
          <w:szCs w:val="26"/>
        </w:rPr>
        <w:t xml:space="preserve">3.4 Melatonin Probe: Null on Mean, Suggestive on Variability</w:t>
      </w:r>
    </w:p>
    <w:p>
      <w:pPr>
        <w:spacing w:after="120" w:before="0" w:line="480"/>
        <w:jc w:val="both"/>
      </w:pPr>
      <w:r>
        <w:rPr>
          <w:rFonts w:ascii="Times New Roman" w:cs="Times New Roman" w:eastAsia="Times New Roman" w:hAnsi="Times New Roman"/>
          <w:sz w:val="24"/>
          <w:szCs w:val="24"/>
        </w:rPr>
        <w:t xml:space="preserve">Consistent with the M1 result above, the between-condition comparison of daily mean mood yielded a small and non-significant difference: melatonin minus control = +1.03 mood points, Welch t(60.6) = 0.78, p = .437, Cohen's d = 0.19 (Figure 7). Within the framing developed in Section 1.2, this null on the mean is interpreted as identifying the system's sensitivity boundary on the level dimension of mood: a probe of this magnitude does not detectably shift the mean.</w:t>
      </w:r>
    </w:p>
    <w:p>
      <w:pPr>
        <w:spacing w:after="60" w:before="240"/>
        <w:jc w:val="center"/>
      </w:pPr>
      <w:r>
        <w:drawing>
          <wp:inline distT="0" distB="0" distL="0" distR="0">
            <wp:extent cx="5143500" cy="2143125"/>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143125"/>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7. </w:t>
      </w:r>
      <w:r>
        <w:rPr>
          <w:rFonts w:ascii="Times New Roman" w:cs="Times New Roman" w:eastAsia="Times New Roman" w:hAnsi="Times New Roman"/>
          <w:i/>
          <w:iCs/>
          <w:sz w:val="22"/>
          <w:szCs w:val="22"/>
        </w:rPr>
        <w:t xml:space="preserve">Between-condition comparison of daily mood, agency, and metacognition. Boxes show interquartile range; horizontal lines show medians; jittered points show individual days. Mean differences (melatonin minus control) are annotated above each panel and are small for all three variables.</w:t>
      </w:r>
    </w:p>
    <w:p>
      <w:pPr>
        <w:spacing w:after="120" w:before="0" w:line="480"/>
        <w:jc w:val="both"/>
      </w:pPr>
      <w:r>
        <w:rPr>
          <w:rFonts w:ascii="Times New Roman" w:cs="Times New Roman" w:eastAsia="Times New Roman" w:hAnsi="Times New Roman"/>
          <w:sz w:val="24"/>
          <w:szCs w:val="24"/>
        </w:rPr>
        <w:t xml:space="preserve">The variability analyses (Section 2.5.6) yielded a more nuanced picture. Three of four indices pointed in the same direction, with melatonin days showing lower mood variability than control days: daily mood SD was 4.47 (melatonin) versus 6.41 (control); MSSD across within-condition runs was 57.35 versus 88.26; observation-level mood SD was 6.54 versus 8.26. The univariate Levene and MSSD tests did not reach significance (Levene W = 2.01, p = .161; MSSD Welch t = −0.94, p = .355). The heteroskedasticity model regressing log-squared M2 residuals on the melatonin indicator, however, yielded a reliably negative coefficient (α₁ = −1.21, 95% CI [−2.38, −0.03], p = .044), indicating that the model's residual variance was smaller on melatonin days than on control days. The collective pattern—three direction-consistent variability indices, with one of them (the AR(1)-residual-based test) reaching conventional significance—is suggestive of a stability-enhancing rather than level-shifting effect of the probe, but the inferential support for any single test is modest and the present analysis cannot rule out that the heteroskedasticity finding is a chance result of multiple testing.</w:t>
      </w:r>
    </w:p>
    <w:p>
      <w:pPr>
        <w:spacing w:after="120" w:before="0" w:line="480"/>
        <w:jc w:val="both"/>
      </w:pPr>
      <w:r>
        <w:rPr>
          <w:rFonts w:ascii="Times New Roman" w:cs="Times New Roman" w:eastAsia="Times New Roman" w:hAnsi="Times New Roman"/>
          <w:sz w:val="24"/>
          <w:szCs w:val="24"/>
        </w:rPr>
        <w:t xml:space="preserve">The state-dependent decay analysis (Section 2.5.7) cohered with this pattern in direction. The interaction-augmented AR(1) yielded estimated φ_control = 0.47 and φ_melatonin = 0.22, with the lag-1 × melatonin interaction coefficient δ = −0.25, 95% CI [−0.78, +0.29], p = .360. Although this coefficient was not statistically distinguishable from zero, its direction—faster decay on melatonin days—is consistent with the variability findings above.</w:t>
      </w:r>
    </w:p>
    <w:p>
      <w:pPr>
        <w:pStyle w:val="Heading2"/>
        <w:spacing w:after="120" w:before="240" w:line="360"/>
      </w:pPr>
      <w:r>
        <w:rPr>
          <w:rFonts w:ascii="Times New Roman" w:cs="Times New Roman" w:eastAsia="Times New Roman" w:hAnsi="Times New Roman"/>
          <w:b/>
          <w:bCs/>
          <w:sz w:val="26"/>
          <w:szCs w:val="26"/>
        </w:rPr>
        <w:t xml:space="preserve">3.5 Metacontrol and Robustness</w:t>
      </w:r>
    </w:p>
    <w:p>
      <w:pPr>
        <w:spacing w:after="120" w:before="0" w:line="480"/>
        <w:jc w:val="both"/>
      </w:pPr>
      <w:r>
        <w:rPr>
          <w:rFonts w:ascii="Times New Roman" w:cs="Times New Roman" w:eastAsia="Times New Roman" w:hAnsi="Times New Roman"/>
          <w:sz w:val="24"/>
          <w:szCs w:val="24"/>
        </w:rPr>
        <w:t xml:space="preserve">The metacontrol interaction term β₃ was negative, as predicted by the metacontrol hypothesis (β₃ = −0.14), but not reliably distinguishable from zero (95% CI [−0.60, +0.32], p = .544). Simple-slope decomposition placed the melatonin slope at +0.84 at one standard deviation below mean metacognition, +0.33 at the mean, and −0.17 at one standard deviation above mean metacognition. The qualitative pattern is consistent with the metacontrol hypothesis—the apparent direction of the melatonin effect reverses across the metacognition continuum—but the present sample is underpowered to support this as a strong inferential claim.</w:t>
      </w:r>
    </w:p>
    <w:p>
      <w:pPr>
        <w:spacing w:after="120" w:before="0" w:line="480"/>
        <w:jc w:val="both"/>
      </w:pPr>
      <w:r>
        <w:rPr>
          <w:rFonts w:ascii="Times New Roman" w:cs="Times New Roman" w:eastAsia="Times New Roman" w:hAnsi="Times New Roman"/>
          <w:sz w:val="24"/>
          <w:szCs w:val="24"/>
        </w:rPr>
        <w:t xml:space="preserve">The agency × melatonin robustness check (Section 2.5.8) yielded an interaction coefficient indistinguishable from zero (β = −0.02, 95% CI [−0.38, +0.34], p = .919), indicating that the agency–mood relation was statistically identical in the two conditions. This supports the interpretation of agency as a robust internal organizer of affect within this individual: its predictive contribution does not depend on whether the external probe is present.</w:t>
      </w:r>
    </w:p>
    <w:p>
      <w:pPr>
        <w:pStyle w:val="Heading2"/>
        <w:spacing w:after="120" w:before="240" w:line="360"/>
      </w:pPr>
      <w:r>
        <w:rPr>
          <w:rFonts w:ascii="Times New Roman" w:cs="Times New Roman" w:eastAsia="Times New Roman" w:hAnsi="Times New Roman"/>
          <w:b/>
          <w:bCs/>
          <w:sz w:val="26"/>
          <w:szCs w:val="26"/>
        </w:rPr>
        <w:t xml:space="preserve">3.6 Supplementary Bayesian Robustness</w:t>
      </w:r>
    </w:p>
    <w:p>
      <w:pPr>
        <w:spacing w:after="120" w:before="0" w:line="480"/>
        <w:jc w:val="both"/>
      </w:pPr>
      <w:r>
        <w:rPr>
          <w:rFonts w:ascii="Times New Roman" w:cs="Times New Roman" w:eastAsia="Times New Roman" w:hAnsi="Times New Roman"/>
          <w:sz w:val="24"/>
          <w:szCs w:val="24"/>
        </w:rPr>
        <w:t xml:space="preserve">The supplementary Bayesian M2 regression (Section 2.5.9) reproduced the qualitative pattern of the primary frequentist analysis under different inferential assumptions (Table 2). The purpose of this analysis was not to replace the OLS model but to test whether the primary conclusion depended on the choice of estimation framework. If, under a Bayesian posterior, agency and metacognition remained reliably positive while melatonin remained centered near zero, the primary finding would be less likely to be an artifact of a single inferential approach.</w:t>
      </w:r>
    </w:p>
    <w:p>
      <w:pPr>
        <w:spacing w:after="120" w:before="0" w:line="480"/>
        <w:jc w:val="both"/>
      </w:pPr>
      <w:r>
        <w:rPr>
          <w:rFonts w:ascii="Times New Roman" w:cs="Times New Roman" w:eastAsia="Times New Roman" w:hAnsi="Times New Roman"/>
          <w:sz w:val="24"/>
          <w:szCs w:val="24"/>
        </w:rPr>
        <w:t xml:space="preserve">The posterior pattern was consistent with this expectation. The posterior effects for agency and metacognition were clearly positive in standardized units, with both 95% credible intervals well above zero and posterior probabilities of being greater than zero of essentially 1. The melatonin coefficient was centered near zero with a credible interval that spanned zero. The lagged-mood coefficient was attenuated and its credible interval included zero, consistent with the frequentist M2 in which apparent emotional inertia was absorbed by the internal drivers once they were included as predictors. All R-hat values were ≤ 1.001 and effective sample sizes exceeded 9,000 for every parameter, indicating excellent MCMC convergence.</w:t>
      </w:r>
    </w:p>
    <w:p>
      <w:pPr>
        <w:spacing w:after="60" w:before="240" w:line="320"/>
      </w:pPr>
      <w:r>
        <w:rPr>
          <w:rFonts w:ascii="Times New Roman" w:cs="Times New Roman" w:eastAsia="Times New Roman" w:hAnsi="Times New Roman"/>
          <w:b/>
          <w:bCs/>
          <w:i/>
          <w:iCs/>
          <w:sz w:val="22"/>
          <w:szCs w:val="22"/>
        </w:rPr>
        <w:t xml:space="preserve">Table 2. </w:t>
      </w:r>
      <w:r>
        <w:rPr>
          <w:rFonts w:ascii="Times New Roman" w:cs="Times New Roman" w:eastAsia="Times New Roman" w:hAnsi="Times New Roman"/>
          <w:i/>
          <w:iCs/>
          <w:sz w:val="22"/>
          <w:szCs w:val="22"/>
        </w:rPr>
        <w:t xml:space="preserve">Posterior summaries for the supplementary Bayesian M2 robustness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1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Parameter</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Posterior M</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Pr(β &gt; 0)</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R̂ / ESS_bulk</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[−0.26, +0.23]</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.47</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11177</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mood_t−1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 +0.08]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9763</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 +0.35]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11204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agency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+0.55</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[+0.34, +0.76]</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 / 9894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metacognition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.9998</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 / 9306</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σ</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 +0.78]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10011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Day 18–70 subsample (n = 53). Continuous variables standardized; melatonin retained as 0/1. Priors: coefficients ~ Normal(0, 1); intercept ~ Student-t(3, 0, 2.5); σ ~ Exponential(1). Four MCMC chains yielded 12,000 post-warmup posterior draws. Posterior M = posterior mean. CI = 95% equal-tailed credible interval. Pr(β &gt; 0) = proportion of posterior draws greater than zero. All R̂ values ≤ 1.001; ESS_bulk reported. All ESS_tail also exceeded 7,000 (not shown), indicating adequate sampling convergence.</w:t>
      </w:r>
    </w:p>
    <w:p>
      <w:pPr>
        <w:spacing w:after="120" w:before="0" w:line="480"/>
        <w:jc w:val="both"/>
      </w:pPr>
      <w:r>
        <w:rPr>
          <w:rFonts w:ascii="Times New Roman" w:cs="Times New Roman" w:eastAsia="Times New Roman" w:hAnsi="Times New Roman"/>
          <w:sz w:val="24"/>
          <w:szCs w:val="24"/>
        </w:rPr>
        <w:t xml:space="preserve">The Bayesian metacontrol model (Section 2.5.9, secondary) yielded a negative posterior mean for the melatonin × metacognition interaction (β = −0.04, 95% CI [−0.39, +0.31], Pr(β &lt; 0) = .59), consistent with the hypothesized direction of metacognitive buffering but with a credible interval clearly spanning zero. The metacontrol interaction therefore remains direction-consistent but underpowered under both frequentist and Bayesian inferential frameworks, and is interpreted as suggestive rather than confirmatory.</w:t>
      </w:r>
    </w:p>
    <w:p>
      <w:pPr>
        <w:pStyle w:val="Heading1"/>
        <w:spacing w:after="240" w:before="360" w:line="360"/>
      </w:pPr>
      <w:r>
        <w:rPr>
          <w:rFonts w:ascii="Times New Roman" w:cs="Times New Roman" w:eastAsia="Times New Roman" w:hAnsi="Times New Roman"/>
          <w:b/>
          <w:bCs/>
          <w:sz w:val="28"/>
          <w:szCs w:val="28"/>
        </w:rPr>
        <w:t xml:space="preserve">4. Discussion</w:t>
      </w:r>
    </w:p>
    <w:p>
      <w:pPr>
        <w:pStyle w:val="Heading2"/>
        <w:spacing w:after="120" w:before="240" w:line="360"/>
      </w:pPr>
      <w:r>
        <w:rPr>
          <w:rFonts w:ascii="Times New Roman" w:cs="Times New Roman" w:eastAsia="Times New Roman" w:hAnsi="Times New Roman"/>
          <w:b/>
          <w:bCs/>
          <w:sz w:val="26"/>
          <w:szCs w:val="26"/>
        </w:rPr>
        <w:t xml:space="preserve">4.1 The Melatonin Probe: Null on Level, by Design</w:t>
      </w:r>
    </w:p>
    <w:p>
      <w:pPr>
        <w:spacing w:after="120" w:before="0" w:line="480"/>
        <w:jc w:val="both"/>
      </w:pPr>
      <w:r>
        <w:rPr>
          <w:rFonts w:ascii="Times New Roman" w:cs="Times New Roman" w:eastAsia="Times New Roman" w:hAnsi="Times New Roman"/>
          <w:sz w:val="24"/>
          <w:szCs w:val="24"/>
        </w:rPr>
        <w:t xml:space="preserve">The most direct empirical question—whether melatonin shifts average daily mood—was answered cleanly and negatively. The between-condition mean difference was small (Δ = +1.03 on a 0–100 scale; d = 0.19), the M1 model added negligible variance over the AR(1) baseline (ΔR² = 0.010), and within the full model containing internal drivers the melatonin coefficient was essentially zero (β = 0.06, 95% CI [−1.24, +1.36]). Within a hypothesis-testing framework, this would constitute an inconclusive null: a non-significant result with insufficient evidence to support inference in either direction.</w:t>
      </w:r>
    </w:p>
    <w:p>
      <w:pPr>
        <w:spacing w:after="120" w:before="0" w:line="480"/>
        <w:jc w:val="both"/>
      </w:pPr>
      <w:r>
        <w:rPr>
          <w:rFonts w:ascii="Times New Roman" w:cs="Times New Roman" w:eastAsia="Times New Roman" w:hAnsi="Times New Roman"/>
          <w:sz w:val="24"/>
          <w:szCs w:val="24"/>
        </w:rPr>
        <w:t xml:space="preserve">The framing developed in Section 1.2 was intended to change what such a null is taken to mean rather than to dispute the result itself. Within a control-theoretic account of the system, melatonin is treated not as a candidate treatment but as a perturbation of known presence and absence, applied to characterize the system’s response function. From this vantage point, the relevant evidential question is not whether the probe’s contribution to the mean differs from zero but how it compares in magnitude to the contributions of the system’s endogenous drivers. The drop-one decomposition reported in Section 3.2 makes that comparison directly: melatonin’s unique contribution to daily-mood variance is 0.01% in the full model, while agency and metacognition jointly account for 51.6%. The internal-driver contribution exceeds that of the external probe by several orders of magnitude—on this individual’s data, internal drivers organize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pPr>
        <w:spacing w:after="120" w:before="0" w:line="480"/>
        <w:jc w:val="both"/>
      </w:pPr>
      <w:r>
        <w:rPr>
          <w:rFonts w:ascii="Times New Roman" w:cs="Times New Roman" w:eastAsia="Times New Roman" w:hAnsi="Times New Roman"/>
          <w:sz w:val="24"/>
          <w:szCs w:val="24"/>
        </w:rPr>
        <w:t xml:space="preserve">The conclusion is constrained in two ways that should be made explicit. The 95% confidence interval on the M2 melatonin coefficient does not exclude small effects in either direction, and the present sample contains 53 days of full-model data and cannot rule out a small mean shift that would be detectable at higher power. The interpretation offered here is therefore not “melatonin has no effect on this person’s mood” but “melatonin’s contribution to this person’s daily mood, in the presence of measured internal drivers, is functionally negligible relative to those drivers.”</w:t>
      </w:r>
    </w:p>
    <w:p>
      <w:pPr>
        <w:pStyle w:val="Heading2"/>
        <w:spacing w:after="120" w:before="240" w:line="360"/>
      </w:pPr>
      <w:r>
        <w:rPr>
          <w:rFonts w:ascii="Times New Roman" w:cs="Times New Roman" w:eastAsia="Times New Roman" w:hAnsi="Times New Roman"/>
          <w:b/>
          <w:bCs/>
          <w:sz w:val="26"/>
          <w:szCs w:val="26"/>
        </w:rPr>
        <w:t xml:space="preserve">4.2 Internal Behavioral State as the Primary Organizer of Daily Affect</w:t>
      </w:r>
    </w:p>
    <w:p>
      <w:pPr>
        <w:spacing w:after="120" w:before="0" w:line="480"/>
        <w:jc w:val="both"/>
      </w:pPr>
      <w:r>
        <w:rPr>
          <w:rFonts w:ascii="Times New Roman" w:cs="Times New Roman" w:eastAsia="Times New Roman" w:hAnsi="Times New Roman"/>
          <w:sz w:val="24"/>
          <w:szCs w:val="24"/>
        </w:rPr>
        <w:t xml:space="preserve">The most informative finding in this study is the magnitude of the internal-driver contribution. Daily perceived agency contributed an incremental 20.1% of variance to the daily-mood model after accounting for emotional inertia, the external probe, and metacognitive awareness. Daily metacognition contributed an incremental 10.6% under the same controls. Both effects were estimated with narrow confidence intervals and reliably distinguishable from zero (β_agency = 0.54, 95% CI [0.33, 0.74], p &lt; .001; β_metacog = 0.44, 95% CI [0.20, 0.67], p &lt; .001). The two internal drivers jointly raised the model R² from .121 (M1) to .637 (M2), an increase of more than half a unit of variance.</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pPr>
        <w:spacing w:after="120" w:before="0" w:line="480"/>
        <w:jc w:val="both"/>
      </w:pPr>
      <w:r>
        <w:rPr>
          <w:rFonts w:ascii="Times New Roman" w:cs="Times New Roman" w:eastAsia="Times New Roman" w:hAnsi="Times New Roman"/>
          <w:sz w:val="24"/>
          <w:szCs w:val="24"/>
        </w:rPr>
        <w:t xml:space="preserve">The agency × melatonin robustness check provided further evidence for agency as a stable internal organizer. The interaction coefficient was indistinguishable from zero (β = −0.02, 95% CI [−0.38, +0.34], p = .919),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pPr>
        <w:spacing w:after="120" w:before="0" w:line="480"/>
        <w:jc w:val="both"/>
      </w:pPr>
      <w:r>
        <w:rPr>
          <w:rFonts w:ascii="Times New Roman" w:cs="Times New Roman" w:eastAsia="Times New Roman" w:hAnsi="Times New Roman"/>
          <w:sz w:val="24"/>
          <w:szCs w:val="24"/>
        </w:rPr>
        <w:t xml:space="preserve">The role of metacognition was somewhat more complex. As a main-effect predictor, metacognition contributed reliably to daily mood (β = 0.44, p &lt; .001), suggesting that the system’s awareness of its own state is itself bound up with its affective state. The metacontrol interaction—the prediction that higher metacognition would buffer the system against external perturbation—was direction-consistent but not statistically distinguishable from zero (β₃ = −0.14, 95% CI [−0.60, +0.32], p = .544). The simple-slope pattern, in which the apparent melatonin slope reversed sign across the metacognition continuum (from +0.84 at one SD below mean metacognition to −0.17 at one SD above), is consistent with the metacontrol hypothesis advanced by Metcalfe and Greene (2007) but underpowered to support it inferentially. Larger samples, or interventions that more strongly perturb the system, would be needed to evaluate this hypothesis more rigorously. The pattern is reported as a direction-consistent suggestion rather than as a confirmed effect.</w:t>
      </w:r>
    </w:p>
    <w:p>
      <w:pPr>
        <w:pStyle w:val="Heading2"/>
        <w:spacing w:after="120" w:before="240" w:line="360"/>
      </w:pPr>
      <w:r>
        <w:rPr>
          <w:rFonts w:ascii="Times New Roman" w:cs="Times New Roman" w:eastAsia="Times New Roman" w:hAnsi="Times New Roman"/>
          <w:b/>
          <w:bCs/>
          <w:sz w:val="26"/>
          <w:szCs w:val="26"/>
        </w:rPr>
        <w:t xml:space="preserve">4.3 A Suggestive Variability Signal: Probe Affects Stability, Not Level</w:t>
      </w:r>
    </w:p>
    <w:p>
      <w:pPr>
        <w:spacing w:after="120" w:before="0" w:line="480"/>
        <w:jc w:val="both"/>
      </w:pPr>
      <w:r>
        <w:rPr>
          <w:rFonts w:ascii="Times New Roman" w:cs="Times New Roman" w:eastAsia="Times New Roman" w:hAnsi="Times New Roman"/>
          <w:sz w:val="24"/>
          <w:szCs w:val="24"/>
        </w:rPr>
        <w:t xml:space="preserve">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set—the heteroskedasticity model regressing log-squared M2 residuals on the melatonin indicator—did reach conventional significance (α₁ = −1.21, p = .044). The state-dependent decay analysis, although individually underpowered, was direction-consistent with this variability pattern: the daily AR(1) coefficient was lower on melatonin days (φ = 0.22) than on control days (φ = 0.47), implying faster recovery from perturbation on melatonin days.</w:t>
      </w:r>
    </w:p>
    <w:p>
      <w:pPr>
        <w:spacing w:after="120" w:before="0" w:line="480"/>
        <w:jc w:val="both"/>
      </w:pPr>
      <w:r>
        <w:rPr>
          <w:rFonts w:ascii="Times New Roman" w:cs="Times New Roman" w:eastAsia="Times New Roman" w:hAnsi="Times New Roman"/>
          <w:sz w:val="24"/>
          <w:szCs w:val="24"/>
        </w:rPr>
        <w:t xml:space="preserve">This pattern is consistent with the pharmacology of melatonin. Melatonin is a chronobiotic,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pPr>
        <w:pStyle w:val="Heading2"/>
        <w:spacing w:after="120" w:before="240" w:line="360"/>
      </w:pPr>
      <w:r>
        <w:rPr>
          <w:rFonts w:ascii="Times New Roman" w:cs="Times New Roman" w:eastAsia="Times New Roman" w:hAnsi="Times New Roman"/>
          <w:b/>
          <w:bCs/>
          <w:sz w:val="26"/>
          <w:szCs w:val="26"/>
        </w:rPr>
        <w:t xml:space="preserve">4.4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reported here characterize the structure of one individual’s affective dynamics over a defined 70-day window. They cannot be generalized to other persons or to the same person at other points in time, and the design does not aim to. The inferential target throughout has been the structure of this system, not the structure of any larger population.</w:t>
      </w:r>
    </w:p>
    <w:p>
      <w:pPr>
        <w:spacing w:after="120" w:before="0" w:line="480"/>
        <w:jc w:val="both"/>
      </w:pPr>
      <w:r>
        <w:rPr>
          <w:rFonts w:ascii="Times New Roman" w:cs="Times New Roman" w:eastAsia="Times New Roman" w:hAnsi="Times New Roman"/>
          <w:sz w:val="24"/>
          <w:szCs w:val="24"/>
        </w:rPr>
        <w:t xml:space="preserve">Single-item momentary measures, while appropriate to the high-frequency sampling design, carry measurement error that compresses the inferential range of small effects (Dejonckheere et al., 2022). Where small effects were observed in the present data—particularly the melatonin coefficient, the metacontrol interaction, and three of the four variability indices—the data do not allow strong inference about either their absolute magnitude or their sign. The Day-18 protocol amendment further constrains the data window for analyses involving agency and metacognition to 53 days, contributing to the limited statistical power available for interaction tests. EMA timing was approximate rather than exact; delayed responses were possible but were retained when completed within one hour of the scheduled prompt. This may add minor timing noise to observation-level analyses, but it is unlikely to affect the daily-mean analyses that carry the primary inferential weight.</w:t>
      </w:r>
    </w:p>
    <w:p>
      <w:pPr>
        <w:spacing w:after="120" w:before="0" w:line="480"/>
        <w:jc w:val="both"/>
      </w:pPr>
      <w:r>
        <w:rPr>
          <w:rFonts w:ascii="Times New Roman" w:cs="Times New Roman" w:eastAsia="Times New Roman" w:hAnsi="Times New Roman"/>
          <w:sz w:val="24"/>
          <w:szCs w:val="24"/>
        </w:rPr>
        <w:t xml:space="preserve">Blinding was partial. The randomization schedule was generated and stored before data collection and was not accessible to the participant during the EMA logging process; the condition for any given evening was confirmed only after the corresponding EMA prompt had been completed. The participant nevertheless was aware of having taken melatonin within minutes of bedtime, and complete blinding of self-administered, self-reported intervention is not achievable in N-of-1 designs of this kind. The melatonin dose (3 mg) was not titrated; a higher dose might have produced a detectable mean effect, and dose-response characterization is beyond the scope of the present design.</w:t>
      </w:r>
    </w:p>
    <w:p>
      <w:pPr>
        <w:spacing w:after="120" w:before="0" w:line="480"/>
        <w:jc w:val="both"/>
      </w:pPr>
      <w:r>
        <w:rPr>
          <w:rFonts w:ascii="Times New Roman" w:cs="Times New Roman" w:eastAsia="Times New Roman" w:hAnsi="Times New Roman"/>
          <w:sz w:val="24"/>
          <w:szCs w:val="24"/>
        </w:rPr>
        <w:t xml:space="preserve">The variability findings reported in Section 3.4 derive their conventional-significance support from a single test in a multi-test family. The data are direction-consistent across four indices, which is informative, but the inferential weight that any single-test significance can bear in this context is modest; the variability signal should be treated as a suggestion rather than as a robust finding, awaiting larger or pre-registered replication. The primary analyses used ordinary least squares for the AR(1)-with-exogenous-inputs specification and maximum-likelihood Kalman filtering for the state-space model, and were complemented by a supplementary Bayesian AR(1) regression (Section 3.6) that reproduced the main pattern under different inferential assumptions; a fully Bayesian state-space treatment that also separates latent affective state from observation noise remains a natural extension for follow-up work. Finally, the design treats the participant’s self-reported sense of intentional progress as a phenomenological signal of agency without resolving whether the underlying experience is veridical or constructed (Wegner, 2002), as discussed in Section 1.3a.</w:t>
      </w:r>
    </w:p>
    <w:p>
      <w:pPr>
        <w:pStyle w:val="Heading2"/>
        <w:spacing w:after="120" w:before="240" w:line="360"/>
      </w:pPr>
      <w:r>
        <w:rPr>
          <w:rFonts w:ascii="Times New Roman" w:cs="Times New Roman" w:eastAsia="Times New Roman" w:hAnsi="Times New Roman"/>
          <w:b/>
          <w:bCs/>
          <w:sz w:val="26"/>
          <w:szCs w:val="26"/>
        </w:rPr>
        <w:t xml:space="preserve">4.5 Contribution</w:t>
      </w:r>
    </w:p>
    <w:p>
      <w:pPr>
        <w:spacing w:after="120" w:before="0" w:line="480"/>
        <w:jc w:val="both"/>
      </w:pPr>
      <w:r>
        <w:rPr>
          <w:rFonts w:ascii="Times New Roman" w:cs="Times New Roman" w:eastAsia="Times New Roman" w:hAnsi="Times New Roman"/>
          <w:sz w:val="24"/>
          <w:szCs w:val="24"/>
        </w:rPr>
        <w:t xml:space="preserve">The present study offers three modest contributions to the affective-dynamics literature.</w:t>
      </w:r>
    </w:p>
    <w:p>
      <w:pPr>
        <w:spacing w:after="120" w:before="0" w:line="480"/>
        <w:jc w:val="both"/>
      </w:pPr>
      <w:r>
        <w:rPr>
          <w:rFonts w:ascii="Times New Roman" w:cs="Times New Roman" w:eastAsia="Times New Roman" w:hAnsi="Times New Roman"/>
          <w:sz w:val="24"/>
          <w:szCs w:val="24"/>
        </w:rPr>
        <w:t xml:space="preserve">First, methodologically, it demonstrates the application of control-theoretic methods—system identification, impulse response analysis, state-space modeling, and conditional heteroskedasticity modeling—to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w:t>
      </w:r>
    </w:p>
    <w:p>
      <w:pPr>
        <w:spacing w:after="120" w:before="0" w:line="480"/>
        <w:jc w:val="both"/>
      </w:pPr>
      <w:r>
        <w:rPr>
          <w:rFonts w:ascii="Times New Roman" w:cs="Times New Roman" w:eastAsia="Times New Roman" w:hAnsi="Times New Roman"/>
          <w:sz w:val="24"/>
          <w:szCs w:val="24"/>
        </w:rPr>
        <w:t xml:space="preserve">Second, theoretically, the study provides individual-level empirical support for an agentic account of affective dynamics in the tradition of Bandura (2001) and Carver and Scheier (1990). The same person whose mood was largely insensitive to a daily pharmacological probe was strongly responsive to her own moment-to-moment sense of intentional action and self-monitoring. The variance ratios reported here suggest, at least for this individual, that the system’s affective trajectory is organized primarily by its own self-regulatory machinery and only secondarily by external inputs of small magnitude.</w:t>
      </w:r>
    </w:p>
    <w:p>
      <w:pPr>
        <w:spacing w:after="120" w:before="0" w:line="480"/>
        <w:jc w:val="both"/>
      </w:pPr>
      <w:r>
        <w:rPr>
          <w:rFonts w:ascii="Times New Roman" w:cs="Times New Roman" w:eastAsia="Times New Roman" w:hAnsi="Times New Roman"/>
          <w:sz w:val="24"/>
          <w:szCs w:val="24"/>
        </w:rPr>
        <w:t xml:space="preserve">Third, empirically, the study offers a refined reading of melatonin’s signature in this individual’s affect. The probe was null on mean mood and suggestive on mood variability—a pattern consistent with melatonin’s known chronobiotic rather than antidepressant function, and one that points to the importance of testing pharmacological effects on the dynamics of affective trajectories rather than only on their levels. This finding warrants larger and pre-registered replication.</w:t>
      </w:r>
    </w:p>
    <w:p>
      <w:pPr>
        <w:spacing w:after="120" w:before="0" w:line="480"/>
        <w:jc w:val="both"/>
      </w:pPr>
      <w:r>
        <w:rPr>
          <w:rFonts w:ascii="Times New Roman" w:cs="Times New Roman" w:eastAsia="Times New Roman" w:hAnsi="Times New Roman"/>
          <w:sz w:val="24"/>
          <w:szCs w:val="24"/>
        </w:rPr>
        <w:t xml:space="preserve">A non-significant intervention effect, read within a control-theoretic framework, can be informative rather than inconclusive: it identifies the sensitivity boundary of a system whose primary organizing forces lie elsewhere.</w:t>
      </w:r>
    </w:p>
    <w:p>
      <w:pPr>
        <w:pStyle w:val="Heading1"/>
        <w:spacing w:after="240" w:before="360" w:line="36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preregistered randomization schedule, iOS Shortcuts data-collection pipeline, Python validation layer, cleaned EMA dataset, and reproducible scripts for the figures and statistical estimates reported in this manuscript.</w:t>
      </w:r>
    </w:p>
    <w:p>
      <w:pPr>
        <w:pStyle w:val="Heading1"/>
        <w:spacing w:after="240" w:before="360" w:line="360"/>
      </w:pPr>
      <w:r>
        <w:rPr>
          <w:rFonts w:ascii="Times New Roman" w:cs="Times New Roman" w:eastAsia="Times New Roman" w:hAnsi="Times New Roman"/>
          <w:b/>
          <w:bCs/>
          <w:sz w:val="28"/>
          <w:szCs w:val="28"/>
        </w:rPr>
        <w:t xml:space="preserve">6. References</w:t>
      </w:r>
    </w:p>
    <w:p>
      <w:pPr>
        <w:spacing w:after="120" w:before="0" w:line="480"/>
        <w:ind w:left="720" w:hanging="720"/>
      </w:pPr>
      <w:r>
        <w:rPr>
          <w:rFonts w:ascii="Times New Roman" w:cs="Times New Roman" w:eastAsia="Times New Roman" w:hAnsi="Times New Roman"/>
          <w:sz w:val="24"/>
          <w:szCs w:val="24"/>
        </w:rPr>
        <w:t xml:space="preserve">Archer, M. S. (2003). </w:t>
      </w:r>
      <w:r>
        <w:rPr>
          <w:rFonts w:ascii="Times New Roman" w:cs="Times New Roman" w:eastAsia="Times New Roman" w:hAnsi="Times New Roman"/>
          <w:i/>
          <w:iCs/>
          <w:sz w:val="24"/>
          <w:szCs w:val="24"/>
        </w:rPr>
        <w:t xml:space="preserve">Structure, agency, and the internal conversation</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p>
    <w:p>
      <w:pPr>
        <w:spacing w:after="120" w:before="0" w:line="480"/>
        <w:ind w:left="720" w:hanging="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p>
    <w:p>
      <w:pPr>
        <w:spacing w:after="120" w:before="0" w:line="480"/>
        <w:ind w:left="720" w:hanging="720"/>
      </w:pPr>
      <w:r>
        <w:rPr>
          <w:rFonts w:ascii="Times New Roman" w:cs="Times New Roman" w:eastAsia="Times New Roman" w:hAnsi="Times New Roman"/>
          <w:sz w:val="24"/>
          <w:szCs w:val="24"/>
        </w:rPr>
        <w:t xml:space="preserve">Bourdieu, P. (1990). </w:t>
      </w:r>
      <w:r>
        <w:rPr>
          <w:rFonts w:ascii="Times New Roman" w:cs="Times New Roman" w:eastAsia="Times New Roman" w:hAnsi="Times New Roman"/>
          <w:i/>
          <w:iCs/>
          <w:sz w:val="24"/>
          <w:szCs w:val="24"/>
        </w:rPr>
        <w:t xml:space="preserve">The logic of practice</w:t>
      </w:r>
      <w:r>
        <w:rPr>
          <w:rFonts w:ascii="Times New Roman" w:cs="Times New Roman" w:eastAsia="Times New Roman" w:hAnsi="Times New Roman"/>
          <w:sz w:val="24"/>
          <w:szCs w:val="24"/>
        </w:rPr>
        <w:t xml:space="preserve"> (R. Nice, Trans.). Stanford University Press. (Original work published 1980)</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p>
    <w:p>
      <w:pPr>
        <w:spacing w:after="120" w:before="0" w:line="480"/>
        <w:ind w:left="720" w:hanging="720"/>
      </w:pPr>
      <w:r>
        <w:rPr>
          <w:rFonts w:ascii="Times New Roman" w:cs="Times New Roman" w:eastAsia="Times New Roman" w:hAnsi="Times New Roman"/>
          <w:sz w:val="24"/>
          <w:szCs w:val="24"/>
        </w:rPr>
        <w:t xml:space="preserve">Bürkner, P.-C. (2017). brms: An R package for Bayesian multilevel models using Stan. </w:t>
      </w:r>
      <w:r>
        <w:rPr>
          <w:rFonts w:ascii="Times New Roman" w:cs="Times New Roman" w:eastAsia="Times New Roman" w:hAnsi="Times New Roman"/>
          <w:i/>
          <w:iCs/>
          <w:sz w:val="24"/>
          <w:szCs w:val="24"/>
        </w:rPr>
        <w:t xml:space="preserve">Journal of Statistical Software, 80</w:t>
      </w:r>
      <w:r>
        <w:rPr>
          <w:rFonts w:ascii="Times New Roman" w:cs="Times New Roman" w:eastAsia="Times New Roman" w:hAnsi="Times New Roman"/>
          <w:sz w:val="24"/>
          <w:szCs w:val="24"/>
        </w:rPr>
        <w:t xml:space="preserve">(1), 1–28.</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Craig, A. D. (2009). How do you feel — now? The anterior insula and human awareness. </w:t>
      </w:r>
      <w:r>
        <w:rPr>
          <w:rFonts w:ascii="Times New Roman" w:cs="Times New Roman" w:eastAsia="Times New Roman" w:hAnsi="Times New Roman"/>
          <w:i/>
          <w:iCs/>
          <w:sz w:val="24"/>
          <w:szCs w:val="24"/>
        </w:rPr>
        <w:t xml:space="preserve">Nature Reviews Neuroscience, 10</w:t>
      </w:r>
      <w:r>
        <w:rPr>
          <w:rFonts w:ascii="Times New Roman" w:cs="Times New Roman" w:eastAsia="Times New Roman" w:hAnsi="Times New Roman"/>
          <w:sz w:val="24"/>
          <w:szCs w:val="24"/>
        </w:rPr>
        <w:t xml:space="preserve">(1), 59–70.</w:t>
      </w:r>
    </w:p>
    <w:p>
      <w:pPr>
        <w:spacing w:after="120" w:before="0" w:line="480"/>
        <w:ind w:left="720" w:hanging="720"/>
      </w:pPr>
      <w:r>
        <w:rPr>
          <w:rFonts w:ascii="Times New Roman" w:cs="Times New Roman" w:eastAsia="Times New Roman" w:hAnsi="Times New Roman"/>
          <w:sz w:val="24"/>
          <w:szCs w:val="24"/>
        </w:rPr>
        <w:t xml:space="preserve">Damasio, A. R. (1999). </w:t>
      </w:r>
      <w:r>
        <w:rPr>
          <w:rFonts w:ascii="Times New Roman" w:cs="Times New Roman" w:eastAsia="Times New Roman" w:hAnsi="Times New Roman"/>
          <w:i/>
          <w:iCs/>
          <w:sz w:val="24"/>
          <w:szCs w:val="24"/>
        </w:rPr>
        <w:t xml:space="preserve">The feeling of what happens: Body and emotion in the making of consciousness</w:t>
      </w:r>
      <w:r>
        <w:rPr>
          <w:rFonts w:ascii="Times New Roman" w:cs="Times New Roman" w:eastAsia="Times New Roman" w:hAnsi="Times New Roman"/>
          <w:sz w:val="24"/>
          <w:szCs w:val="24"/>
        </w:rPr>
        <w:t xml:space="preserve">. Harcourt.</w:t>
      </w:r>
    </w:p>
    <w:p>
      <w:pPr>
        <w:spacing w:after="12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p>
    <w:p>
      <w:pPr>
        <w:spacing w:after="120" w:before="0" w:line="480"/>
        <w:ind w:left="720" w:hanging="720"/>
      </w:pPr>
      <w:r>
        <w:rPr>
          <w:rFonts w:ascii="Times New Roman" w:cs="Times New Roman" w:eastAsia="Times New Roman" w:hAnsi="Times New Roman"/>
          <w:sz w:val="24"/>
          <w:szCs w:val="24"/>
        </w:rPr>
        <w:t xml:space="preserve">Frijda, N. H. (1986). </w:t>
      </w:r>
      <w:r>
        <w:rPr>
          <w:rFonts w:ascii="Times New Roman" w:cs="Times New Roman" w:eastAsia="Times New Roman" w:hAnsi="Times New Roman"/>
          <w:i/>
          <w:iCs/>
          <w:sz w:val="24"/>
          <w:szCs w:val="24"/>
        </w:rPr>
        <w:t xml:space="preserve">The emotions</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Frith, C. (2005). The self in action: Lessons from delusions of control. </w:t>
      </w:r>
      <w:r>
        <w:rPr>
          <w:rFonts w:ascii="Times New Roman" w:cs="Times New Roman" w:eastAsia="Times New Roman" w:hAnsi="Times New Roman"/>
          <w:i/>
          <w:iCs/>
          <w:sz w:val="24"/>
          <w:szCs w:val="24"/>
        </w:rPr>
        <w:t xml:space="preserve">Consciousness and Cognition, 14</w:t>
      </w:r>
      <w:r>
        <w:rPr>
          <w:rFonts w:ascii="Times New Roman" w:cs="Times New Roman" w:eastAsia="Times New Roman" w:hAnsi="Times New Roman"/>
          <w:sz w:val="24"/>
          <w:szCs w:val="24"/>
        </w:rPr>
        <w:t xml:space="preserve">(4), 752–770.</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Haggard, P. (2017). Sense of agency in the human brain. </w:t>
      </w:r>
      <w:r>
        <w:rPr>
          <w:rFonts w:ascii="Times New Roman" w:cs="Times New Roman" w:eastAsia="Times New Roman" w:hAnsi="Times New Roman"/>
          <w:i/>
          <w:iCs/>
          <w:sz w:val="24"/>
          <w:szCs w:val="24"/>
        </w:rPr>
        <w:t xml:space="preserve">Nature Reviews Neuroscience, 18</w:t>
      </w:r>
      <w:r>
        <w:rPr>
          <w:rFonts w:ascii="Times New Roman" w:cs="Times New Roman" w:eastAsia="Times New Roman" w:hAnsi="Times New Roman"/>
          <w:sz w:val="24"/>
          <w:szCs w:val="24"/>
        </w:rPr>
        <w:t xml:space="preserve">(4), 196–207.</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120" w:before="0" w:line="480"/>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p>
    <w:p>
      <w:pPr>
        <w:spacing w:after="120" w:before="0" w:line="480"/>
        <w:ind w:left="720" w:hanging="720"/>
      </w:pPr>
      <w:r>
        <w:rPr>
          <w:rFonts w:ascii="Times New Roman" w:cs="Times New Roman" w:eastAsia="Times New Roman" w:hAnsi="Times New Roman"/>
          <w:sz w:val="24"/>
          <w:szCs w:val="24"/>
        </w:rPr>
        <w:t xml:space="preserve">Moore, J. W., &amp; Fletcher, P. C. (2012). Sense of agency in health and disease: A review of cue integration approaches. </w:t>
      </w:r>
      <w:r>
        <w:rPr>
          <w:rFonts w:ascii="Times New Roman" w:cs="Times New Roman" w:eastAsia="Times New Roman" w:hAnsi="Times New Roman"/>
          <w:i/>
          <w:iCs/>
          <w:sz w:val="24"/>
          <w:szCs w:val="24"/>
        </w:rPr>
        <w:t xml:space="preserve">Consciousness and Cognition, 21</w:t>
      </w:r>
      <w:r>
        <w:rPr>
          <w:rFonts w:ascii="Times New Roman" w:cs="Times New Roman" w:eastAsia="Times New Roman" w:hAnsi="Times New Roman"/>
          <w:sz w:val="24"/>
          <w:szCs w:val="24"/>
        </w:rPr>
        <w:t xml:space="preserve">(1), 59–68.</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Olthof, M., Hasselman, F., Strunk, G., Aas, B., Schiepek, G., Bosman, A. M. T., &amp; Lichtwarck-Aschoff, A. (2020). Critical fluctuations as an early-warning signal for sudden gains and losses in patients suffering from mood disorders. </w:t>
      </w:r>
      <w:r>
        <w:rPr>
          <w:rFonts w:ascii="Times New Roman" w:cs="Times New Roman" w:eastAsia="Times New Roman" w:hAnsi="Times New Roman"/>
          <w:i/>
          <w:iCs/>
          <w:sz w:val="24"/>
          <w:szCs w:val="24"/>
        </w:rPr>
        <w:t xml:space="preserve">Clinical Psychological Science, 8</w:t>
      </w:r>
      <w:r>
        <w:rPr>
          <w:rFonts w:ascii="Times New Roman" w:cs="Times New Roman" w:eastAsia="Times New Roman" w:hAnsi="Times New Roman"/>
          <w:sz w:val="24"/>
          <w:szCs w:val="24"/>
        </w:rPr>
        <w:t xml:space="preserve">(1), 25–35.</w:t>
      </w:r>
    </w:p>
    <w:p>
      <w:pPr>
        <w:spacing w:after="120" w:before="0" w:line="480"/>
        <w:ind w:left="720" w:hanging="720"/>
      </w:pPr>
      <w:r>
        <w:rPr>
          <w:rFonts w:ascii="Times New Roman" w:cs="Times New Roman" w:eastAsia="Times New Roman" w:hAnsi="Times New Roman"/>
          <w:sz w:val="24"/>
          <w:szCs w:val="24"/>
        </w:rPr>
        <w:t xml:space="preserve">Russell, J. A. (1980). A circumplex model of affect. </w:t>
      </w:r>
      <w:r>
        <w:rPr>
          <w:rFonts w:ascii="Times New Roman" w:cs="Times New Roman" w:eastAsia="Times New Roman" w:hAnsi="Times New Roman"/>
          <w:i/>
          <w:iCs/>
          <w:sz w:val="24"/>
          <w:szCs w:val="24"/>
        </w:rPr>
        <w:t xml:space="preserve">Journal of Personality and Social Psychology, 39</w:t>
      </w:r>
      <w:r>
        <w:rPr>
          <w:rFonts w:ascii="Times New Roman" w:cs="Times New Roman" w:eastAsia="Times New Roman" w:hAnsi="Times New Roman"/>
          <w:sz w:val="24"/>
          <w:szCs w:val="24"/>
        </w:rPr>
        <w:t xml:space="preserve">(6), 1161–1178.</w:t>
      </w:r>
    </w:p>
    <w:p>
      <w:pPr>
        <w:spacing w:after="120" w:before="0" w:line="480"/>
        <w:ind w:left="720" w:hanging="720"/>
      </w:pPr>
      <w:r>
        <w:rPr>
          <w:rFonts w:ascii="Times New Roman" w:cs="Times New Roman" w:eastAsia="Times New Roman" w:hAnsi="Times New Roman"/>
          <w:sz w:val="24"/>
          <w:szCs w:val="24"/>
        </w:rPr>
        <w:t xml:space="preserve">Russell, J. A., &amp; Barrett, L. F. (1999). Core affect, prototypical emotional episodes, and other things called emotion: Dissecting the elephant.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(5), 805–819.</w:t>
      </w:r>
    </w:p>
    <w:p>
      <w:pPr>
        <w:spacing w:after="120" w:before="0" w:line="480"/>
        <w:ind w:left="720" w:hanging="720"/>
      </w:pPr>
      <w:r>
        <w:rPr>
          <w:rFonts w:ascii="Times New Roman" w:cs="Times New Roman" w:eastAsia="Times New Roman" w:hAnsi="Times New Roman"/>
          <w:sz w:val="24"/>
          <w:szCs w:val="24"/>
        </w:rPr>
        <w:t xml:space="preserve">Ryan, R. M., &amp; Deci, E. L. (2017). </w:t>
      </w:r>
      <w:r>
        <w:rPr>
          <w:rFonts w:ascii="Times New Roman" w:cs="Times New Roman" w:eastAsia="Times New Roman" w:hAnsi="Times New Roman"/>
          <w:i/>
          <w:iCs/>
          <w:sz w:val="24"/>
          <w:szCs w:val="24"/>
        </w:rPr>
        <w:t xml:space="preserve">Self-determination theory: Basic psychological needs in motivation, development, and wellness</w:t>
      </w:r>
      <w:r>
        <w:rPr>
          <w:rFonts w:ascii="Times New Roman" w:cs="Times New Roman" w:eastAsia="Times New Roman" w:hAnsi="Times New Roman"/>
          <w:sz w:val="24"/>
          <w:szCs w:val="24"/>
        </w:rPr>
        <w:t xml:space="preserve">. Guilford Press.</w:t>
      </w:r>
    </w:p>
    <w:p>
      <w:pPr>
        <w:spacing w:after="120" w:before="0" w:line="480"/>
        <w:ind w:left="720" w:hanging="720"/>
      </w:pPr>
      <w:r>
        <w:rPr>
          <w:rFonts w:ascii="Times New Roman" w:cs="Times New Roman" w:eastAsia="Times New Roman" w:hAnsi="Times New Roman"/>
          <w:sz w:val="24"/>
          <w:szCs w:val="24"/>
        </w:rPr>
        <w:t xml:space="preserve">Schraw, G., &amp; Moshman, D. (1995). Metacognitive theories. </w:t>
      </w:r>
      <w:r>
        <w:rPr>
          <w:rFonts w:ascii="Times New Roman" w:cs="Times New Roman" w:eastAsia="Times New Roman" w:hAnsi="Times New Roman"/>
          <w:i/>
          <w:iCs/>
          <w:sz w:val="24"/>
          <w:szCs w:val="24"/>
        </w:rPr>
        <w:t xml:space="preserve">Educational Psychology Review, 7</w:t>
      </w:r>
      <w:r>
        <w:rPr>
          <w:rFonts w:ascii="Times New Roman" w:cs="Times New Roman" w:eastAsia="Times New Roman" w:hAnsi="Times New Roman"/>
          <w:sz w:val="24"/>
          <w:szCs w:val="24"/>
        </w:rPr>
        <w:t xml:space="preserve">(4), 351–371.</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(Vol. 57, pp. 92–96).</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p>
    <w:p>
      <w:pPr>
        <w:spacing w:after="120" w:before="0" w:line="480"/>
        <w:ind w:left="720" w:hanging="720"/>
      </w:pPr>
      <w:r>
        <w:rPr>
          <w:rFonts w:ascii="Times New Roman" w:cs="Times New Roman" w:eastAsia="Times New Roman" w:hAnsi="Times New Roman"/>
          <w:sz w:val="24"/>
          <w:szCs w:val="24"/>
        </w:rPr>
        <w:t xml:space="preserve">Veenman, M. V. J., Van Hout-Wolters, B. H. A. M., &amp; Afflerbach, P. (2006). Metacognition and learning: Conceptual and methodological considerations. </w:t>
      </w:r>
      <w:r>
        <w:rPr>
          <w:rFonts w:ascii="Times New Roman" w:cs="Times New Roman" w:eastAsia="Times New Roman" w:hAnsi="Times New Roman"/>
          <w:i/>
          <w:iCs/>
          <w:sz w:val="24"/>
          <w:szCs w:val="24"/>
        </w:rPr>
        <w:t xml:space="preserve">Metacognition and Learning, 1</w:t>
      </w:r>
      <w:r>
        <w:rPr>
          <w:rFonts w:ascii="Times New Roman" w:cs="Times New Roman" w:eastAsia="Times New Roman" w:hAnsi="Times New Roman"/>
          <w:sz w:val="24"/>
          <w:szCs w:val="24"/>
        </w:rPr>
        <w:t xml:space="preserve">(1), 3–14.</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AFFECT AS A DYNAMICAL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98de9a8a3518b50fb7a94adacb0e68c60b1351.png"/><Relationship Id="rId10" Type="http://schemas.openxmlformats.org/officeDocument/2006/relationships/image" Target="media/c372802015c5e88cabde8bce4c88f01edb9ae5a4.png"/><Relationship Id="rId11" Type="http://schemas.openxmlformats.org/officeDocument/2006/relationships/image" Target="media/d4766e73cbc17b71432c50823524b4da09623619.png"/><Relationship Id="rId12" Type="http://schemas.openxmlformats.org/officeDocument/2006/relationships/image" Target="media/6e14a739f5d88db99e3a783577e41eca896dda09.png"/><Relationship Id="rId13" Type="http://schemas.openxmlformats.org/officeDocument/2006/relationships/image" Target="media/7e39b8d7a8eece68a4a88869f2ab6cd5566c80c8.png"/><Relationship Id="rId14" Type="http://schemas.openxmlformats.org/officeDocument/2006/relationships/image" Target="media/dfa87c24ca0f9947003566d9e62bcf2a1c270797.png"/><Relationship Id="rId15" Type="http://schemas.openxmlformats.org/officeDocument/2006/relationships/image" Target="media/79935b8e3e03d6eb58c11120cf6015ee88ad6bc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