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078EFD" w14:textId="77777777" w:rsidR="00582997" w:rsidRPr="00645DBF" w:rsidRDefault="00582997">
      <w:pPr>
        <w:spacing w:before="2400"/>
        <w:rPr>
          <w:sz w:val="28"/>
          <w:szCs w:val="28"/>
        </w:rPr>
      </w:pPr>
    </w:p>
    <w:p w14:paraId="7E05436B" w14:textId="77777777" w:rsidR="00582997" w:rsidRPr="00645DBF" w:rsidRDefault="00000000">
      <w:pPr>
        <w:spacing w:after="240" w:line="480" w:lineRule="auto"/>
        <w:jc w:val="center"/>
        <w:rPr>
          <w:sz w:val="28"/>
          <w:szCs w:val="28"/>
        </w:rPr>
      </w:pPr>
      <w:r w:rsidRPr="00645DBF">
        <w:rPr>
          <w:rFonts w:eastAsia="Times New Roman"/>
          <w:b/>
          <w:bCs/>
          <w:sz w:val="28"/>
          <w:szCs w:val="28"/>
        </w:rPr>
        <w:t>What organizes daily affect in one person:</w:t>
      </w:r>
    </w:p>
    <w:p w14:paraId="2AF852F6" w14:textId="77777777" w:rsidR="00582997" w:rsidRPr="00645DBF" w:rsidRDefault="00000000">
      <w:pPr>
        <w:spacing w:after="720" w:line="480" w:lineRule="auto"/>
        <w:jc w:val="center"/>
        <w:rPr>
          <w:sz w:val="28"/>
          <w:szCs w:val="28"/>
        </w:rPr>
      </w:pPr>
      <w:r w:rsidRPr="00645DBF">
        <w:rPr>
          <w:rFonts w:eastAsia="Times New Roman"/>
          <w:b/>
          <w:bCs/>
          <w:sz w:val="28"/>
          <w:szCs w:val="28"/>
        </w:rPr>
        <w:t>A 70-day N-of-1 characterization with a nightly melatonin probe</w:t>
      </w:r>
    </w:p>
    <w:p w14:paraId="13938136" w14:textId="77777777" w:rsidR="00582997" w:rsidRPr="00645DBF" w:rsidRDefault="00000000">
      <w:pPr>
        <w:spacing w:after="0" w:line="480" w:lineRule="auto" w:before="0"/>
        <w:jc w:val="center"/>
        <w:rPr>
          <w:sz w:val="28"/>
          <w:szCs w:val="28"/>
        </w:rPr>
      </w:pPr>
      <w:r>
        <w:rPr>
          <w:rFonts w:ascii="Times New Roman" w:hAnsi="Times New Roman" w:eastAsia="Times New Roman"/>
          <w:b/>
          <w:sz w:val="28"/>
        </w:rPr>
        <w:t>Author and corresponding author</w:t>
      </w:r>
    </w:p>
    <w:p w14:paraId="1CD09FEE" w14:textId="77777777" w:rsidR="00582997" w:rsidRPr="00645DBF" w:rsidRDefault="00000000">
      <w:pPr>
        <w:spacing w:after="240" w:line="480" w:lineRule="auto" w:before="0"/>
        <w:jc w:val="center"/>
        <w:rPr>
          <w:sz w:val="28"/>
          <w:szCs w:val="28"/>
        </w:rPr>
      </w:pPr>
      <w:r>
        <w:rPr>
          <w:rFonts w:ascii="Times New Roman" w:hAnsi="Times New Roman" w:eastAsia="Times New Roman"/>
          <w:b w:val="0"/>
          <w:sz w:val="28"/>
        </w:rPr>
        <w:t>Miura Meng</w:t>
      </w:r>
    </w:p>
    <w:p w14:paraId="32835486" w14:textId="77777777" w:rsidR="00645DBF" w:rsidRDefault="00000000">
      <w:pPr>
        <w:spacing w:after="0" w:line="480" w:lineRule="auto" w:before="0"/>
        <w:ind/>
        <w:jc w:val="center"/>
        <w:rPr>
          <w:sz w:val="28"/>
          <w:szCs w:val="28"/>
        </w:rPr>
      </w:pPr>
      <w:r>
        <w:rPr>
          <w:rFonts w:ascii="Times New Roman" w:hAnsi="Times New Roman" w:eastAsia="Times New Roman"/>
          <w:b w:val="0"/>
          <w:sz w:val="28"/>
        </w:rPr>
        <w:t>Graduate School of Education, University of Pennsylvania</w:t>
      </w:r>
    </w:p>
    <w:p w14:paraId="02E7D071" w14:textId="0831925D" w:rsidR="00645DBF" w:rsidRDefault="00000000">
      <w:pPr>
        <w:spacing w:after="0" w:line="480" w:lineRule="auto" w:before="0"/>
        <w:ind/>
        <w:jc w:val="center"/>
        <w:rPr>
          <w:sz w:val="28"/>
          <w:szCs w:val="28"/>
        </w:rPr>
      </w:pPr>
      <w:r>
        <w:rPr>
          <w:rFonts w:ascii="Times New Roman" w:hAnsi="Times New Roman" w:eastAsia="Times New Roman"/>
          <w:b w:val="0"/>
          <w:sz w:val="28"/>
        </w:rPr>
        <w:t>3700 Walnut Street, Philadelphia, PA 19104, United States</w:t>
      </w:r>
    </w:p>
    <w:p w14:paraId="0A94207E" w14:textId="522F7D54"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Email: meng10@upenn.edu</w:t>
      </w:r>
    </w:p>
    <w:p w14:paraId="6FAF29A2" w14:textId="77777777"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Telephone: +1 (773) 406-8649</w:t>
      </w:r>
    </w:p>
    <w:p w14:paraId="2DDD1DF8" w14:textId="77777777" w:rsidR="00582997" w:rsidRPr="00645DBF" w:rsidRDefault="00000000">
      <w:pPr>
        <w:rPr>
          <w:sz w:val="28"/>
          <w:szCs w:val="28"/>
        </w:rPr>
      </w:pPr>
      <w:r w:rsidRPr="00645DBF">
        <w:rPr>
          <w:sz w:val="28"/>
          <w:szCs w:val="28"/>
        </w:rPr>
        <w:br w:type="page"/>
      </w:r>
    </w:p>
    <w:p w14:paraId="16D37F26" w14:textId="77777777" w:rsidR="00582997" w:rsidRDefault="00000000">
      <w:pPr>
        <w:spacing w:before="240" w:after="240" w:line="480" w:lineRule="auto"/>
        <w:jc w:val="center"/>
      </w:pPr>
      <w:r>
        <w:rPr>
          <w:rFonts w:eastAsia="Times New Roman"/>
          <w:b/>
          <w:bCs/>
          <w:sz w:val="28"/>
          <w:szCs w:val="28"/>
        </w:rPr>
        <w:lastRenderedPageBreak/>
        <w:t>Abstract</w:t>
      </w:r>
    </w:p>
    <w:p w14:paraId="4AC1964B" w14:textId="77777777" w:rsidR="00582997" w:rsidRDefault="00000000">
      <w:pPr>
        <w:spacing w:after="120" w:line="480" w:lineRule="auto"/>
        <w:jc w:val="both"/>
      </w:pPr>
      <w:r>
        <w:rPr>
          <w:rFonts w:eastAsia="Times New Roman"/>
        </w:rPr>
        <w:t xml:space="preserve">Over 70 days, one adult recorded momentary emotional valence three times a day, adding perceived agency and metacognitive awareness from Day 18 onward, and took 3 mg of melatonin on the nights assigned by a pre-generated randomized schedule. This yielded 193 scheduled observations at 91.9% compliance across 35 control and 35 melatonin days. Melatonin left mean daily mood essentially unchanged: the difference was +0.86 points on a 0 to 100 scale, d = 0.16, and an equivalence test placed it inside an analysis-defined bound of five points, which gives the null a stated width. What moved with mood was the person’s own regulatory state. Perceived agency and metacognitive awareness together accounted for a further 52.8% of daily-mood variance, over the 53 days on which they were collected, beyond autoregressive carryover and the probe, lifting model R² from .116 to .644, and the internal-over-probe contrast persisted under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w:t>
      </w:r>
      <w:proofErr w:type="spellStart"/>
      <w:r>
        <w:rPr>
          <w:rFonts w:eastAsia="Times New Roman"/>
        </w:rPr>
        <w:t>chronobiotic</w:t>
      </w:r>
      <w:proofErr w:type="spellEnd"/>
      <w:r>
        <w:rPr>
          <w:rFonts w:eastAsia="Times New Roman"/>
        </w:rPr>
        <w:t xml:space="preserve">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14:paraId="7FAF8BA4" w14:textId="77777777" w:rsidR="00582997" w:rsidRDefault="00000000">
      <w:pPr>
        <w:spacing w:before="240" w:after="120" w:line="480" w:lineRule="auto"/>
      </w:pPr>
      <w:r>
        <w:rPr>
          <w:rFonts w:eastAsia="Times New Roman"/>
          <w:b/>
          <w:bCs/>
        </w:rPr>
        <w:t xml:space="preserve">Keywords: </w:t>
      </w:r>
      <w:r>
        <w:rPr>
          <w:rFonts w:eastAsia="Times New Roman"/>
        </w:rPr>
        <w:t>N-of-1; ecological momentary assessment; dynamical systems; autoregressive model; idiographic; personal science; intensive longitudinal data; affect dynamics</w:t>
      </w:r>
    </w:p>
    <w:p w14:paraId="0C8D0EF6" w14:textId="77777777" w:rsidR="00582997" w:rsidRDefault="00000000">
      <w:r>
        <w:br w:type="page"/>
      </w:r>
    </w:p>
    <w:p w14:paraId="1A83BAED" w14:textId="77777777" w:rsidR="00582997" w:rsidRDefault="00000000">
      <w:pPr>
        <w:pStyle w:val="Heading1"/>
        <w:spacing w:line="480" w:lineRule="auto"/>
      </w:pPr>
      <w:r>
        <w:lastRenderedPageBreak/>
        <w:t>1. Introduction</w:t>
      </w:r>
    </w:p>
    <w:p w14:paraId="4AA6DB7B" w14:textId="77777777" w:rsidR="00582997" w:rsidRDefault="00000000">
      <w:pPr>
        <w:pStyle w:val="Heading2"/>
        <w:spacing w:line="480" w:lineRule="auto"/>
      </w:pPr>
      <w:r>
        <w:t>1.1 What Organizes One Person’s Daily Affect?</w:t>
      </w:r>
    </w:p>
    <w:p w14:paraId="7E3EDF29" w14:textId="77777777" w:rsidR="00582997" w:rsidRDefault="00000000">
      <w:pPr>
        <w:spacing w:after="120" w:line="480" w:lineRule="auto"/>
        <w:ind w:firstLine="720"/>
        <w:jc w:val="both"/>
      </w:pPr>
      <w:r>
        <w:rPr>
          <w:rFonts w:eastAsia="Times New Roman"/>
        </w:rPr>
        <w:t>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What this study contests is the assumption that the same frame should organize an individual person’s account of her own affective dynamics.</w:t>
      </w:r>
    </w:p>
    <w:p w14:paraId="4D043429" w14:textId="77777777" w:rsidR="00582997" w:rsidRDefault="00000000">
      <w:pPr>
        <w:spacing w:after="120" w:line="480" w:lineRule="auto"/>
        <w:ind w:firstLine="720"/>
        <w:jc w:val="both"/>
      </w:pPr>
      <w:r>
        <w:rPr>
          <w:rFonts w:eastAsia="Times New Roman"/>
        </w:rPr>
        <w:t>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14:paraId="3551E3EF" w14:textId="77777777" w:rsidR="00582997" w:rsidRDefault="00000000">
      <w:pPr>
        <w:spacing w:after="120" w:line="480" w:lineRule="auto"/>
        <w:ind w:firstLine="720"/>
        <w:jc w:val="both"/>
      </w:pPr>
      <w:r>
        <w:rPr>
          <w:rFonts w:eastAsia="Times New Roman"/>
        </w:rPr>
        <w:t>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predicts that their effect is small relative to the system’s own self-regulatory machinery, and that whatever effect exists may appear in features of the trajectory other than its mean level.</w:t>
      </w:r>
    </w:p>
    <w:p w14:paraId="21A215E7" w14:textId="77777777" w:rsidR="00582997" w:rsidRDefault="00000000">
      <w:pPr>
        <w:pStyle w:val="Heading2"/>
        <w:spacing w:line="480" w:lineRule="auto"/>
      </w:pPr>
      <w:r>
        <w:t>1.2 Two Theoretical Commitments</w:t>
      </w:r>
    </w:p>
    <w:p w14:paraId="622EFCBB" w14:textId="77777777" w:rsidR="00582997" w:rsidRDefault="00000000">
      <w:pPr>
        <w:spacing w:after="120" w:line="480" w:lineRule="auto"/>
        <w:ind w:firstLine="720"/>
        <w:jc w:val="both"/>
      </w:pPr>
      <w:r>
        <w:rPr>
          <w:rFonts w:eastAsia="Times New Roman"/>
        </w:rPr>
        <w:lastRenderedPageBreak/>
        <w:t>The internal-dynamics account is grounded here in two commitments.</w:t>
      </w:r>
    </w:p>
    <w:p w14:paraId="3FA28C84" w14:textId="77777777" w:rsidR="00582997" w:rsidRDefault="00000000">
      <w:pPr>
        <w:spacing w:after="120" w:line="480" w:lineRule="auto"/>
        <w:ind w:firstLine="720"/>
        <w:jc w:val="both"/>
      </w:pPr>
      <w:r>
        <w:rPr>
          <w:rFonts w:eastAsia="Times New Roman"/>
        </w:rPr>
        <w:t>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It also draws on Carver and Scheier’s (1990, 1998) control-process model, which specifies that affect is generated by the perceived rate of progress toward active goals.</w:t>
      </w:r>
    </w:p>
    <w:p w14:paraId="59F58416" w14:textId="77777777" w:rsidR="00582997" w:rsidRDefault="00000000">
      <w:pPr>
        <w:spacing w:after="120" w:line="480" w:lineRule="auto"/>
        <w:ind w:firstLine="720"/>
        <w:jc w:val="both"/>
      </w:pPr>
      <w:r>
        <w:rPr>
          <w:rFonts w:eastAsia="Times New Roman"/>
        </w:rPr>
        <w:t xml:space="preserve">The second is that metacognitive awareness, the system’s read-out of its own internal state, both predicts mood and modulates responsiveness to external perturbation. Flavell (1979) defined metacognition as cognition about cognition; </w:t>
      </w:r>
      <w:proofErr w:type="spellStart"/>
      <w:r>
        <w:rPr>
          <w:rFonts w:eastAsia="Times New Roman"/>
        </w:rPr>
        <w:t>Efklides</w:t>
      </w:r>
      <w:proofErr w:type="spellEnd"/>
      <w:r>
        <w:rPr>
          <w:rFonts w:eastAsia="Times New Roman"/>
        </w:rPr>
        <w:t xml:space="preserve">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14:paraId="3AD91B8E" w14:textId="77777777" w:rsidR="00582997" w:rsidRDefault="00000000">
      <w:pPr>
        <w:spacing w:after="120" w:line="480" w:lineRule="auto"/>
        <w:ind w:firstLine="720"/>
        <w:jc w:val="both"/>
      </w:pPr>
      <w:r>
        <w:rPr>
          <w:rFonts w:eastAsia="Times New Roman"/>
        </w:rPr>
        <w:t>Both constructs carry divergent meanings across traditions, so their scope here is delimited. Agency is used only as the participant’s moment-to-moment phenomenological sense of intentional progress toward immediate task goals, a signal the system tracks and reports. Metacognition is likewise restricted to in-the-moment self-monitoring in the Nelson and Narens sense.</w:t>
      </w:r>
    </w:p>
    <w:p w14:paraId="3602EF14" w14:textId="77777777" w:rsidR="00582997" w:rsidRDefault="00000000">
      <w:pPr>
        <w:pStyle w:val="Heading2"/>
        <w:spacing w:line="480" w:lineRule="auto"/>
      </w:pPr>
      <w:r>
        <w:t>1.3 Why a Single Person, and Why a Probe</w:t>
      </w:r>
    </w:p>
    <w:p w14:paraId="299A9999" w14:textId="77777777" w:rsidR="00582997" w:rsidRDefault="00000000">
      <w:pPr>
        <w:spacing w:after="120" w:line="480" w:lineRule="auto"/>
        <w:ind w:firstLine="720"/>
        <w:jc w:val="both"/>
      </w:pPr>
      <w:r>
        <w:rPr>
          <w:rFonts w:eastAsia="Times New Roman"/>
        </w:rPr>
        <w:t>Two design choices follow from the question, and both depart from convention.</w:t>
      </w:r>
    </w:p>
    <w:p w14:paraId="2B03596D" w14:textId="77777777" w:rsidR="00582997" w:rsidRDefault="00000000">
      <w:pPr>
        <w:spacing w:after="120" w:line="480" w:lineRule="auto"/>
        <w:ind w:firstLine="720"/>
        <w:jc w:val="both"/>
      </w:pPr>
      <w:r>
        <w:rPr>
          <w:rFonts w:eastAsia="Times New Roman"/>
        </w:rPr>
        <w:t>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(Wolf &amp; De Groot, 2020)</w:t>
      </w:r>
      <w:proofErr w:type="spellStart"/>
      <w:r>
        <w:rPr>
          <w:rFonts w:eastAsia="Times New Roman"/>
        </w:rPr>
      </w:r>
      <w:proofErr w:type="spellEnd"/>
      <w:r>
        <w:rPr>
          <w:rFonts w:eastAsia="Times New Roman"/>
        </w:rPr>
        <w:t xml:space="preserve"> and idiographic behavioral science (Molenaar, 2004), treating one individual as the unit of analysis in her own right.</w:t>
      </w:r>
    </w:p>
    <w:p w14:paraId="3A8A7214" w14:textId="77777777" w:rsidR="00582997" w:rsidRDefault="00000000">
      <w:pPr>
        <w:spacing w:after="120" w:line="480" w:lineRule="auto"/>
        <w:ind w:firstLine="720"/>
        <w:jc w:val="both"/>
      </w:pPr>
      <w:r>
        <w:rPr>
          <w:rFonts w:eastAsia="Times New Roman"/>
        </w:rPr>
        <w:t xml:space="preserve">The second is what the melatonin is for. Standard intervention logic treats an external input as a lever: pull it, observe the outcome, read the effect size as the lever’s causal force. Dynamical systems </w:t>
      </w:r>
      <w:proofErr w:type="gramStart"/>
      <w:r>
        <w:rPr>
          <w:rFonts w:eastAsia="Times New Roman"/>
        </w:rPr>
        <w:t>accounts</w:t>
      </w:r>
      <w:proofErr w:type="gramEnd"/>
      <w:r>
        <w:rPr>
          <w:rFonts w:eastAsia="Times New Roman"/>
        </w:rPr>
        <w:t xml:space="preserve"> of affect describe something different. An external input perturbs a self-organizing system, which then responds according to its own internal structure, its inertia, its attractor states, and its sensitivity to inputs of </w:t>
      </w:r>
      <w:proofErr w:type="gramStart"/>
      <w:r>
        <w:rPr>
          <w:rFonts w:eastAsia="Times New Roman"/>
        </w:rPr>
        <w:t>particular magnitude</w:t>
      </w:r>
      <w:proofErr w:type="gramEnd"/>
      <w:r>
        <w:rPr>
          <w:rFonts w:eastAsia="Times New Roman"/>
        </w:rPr>
        <w:t xml:space="preserv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The capacity of a system to be perturbed at all is itself a meaningful individual difference (Houben, Van Den Noortgate, &amp; </w:t>
      </w:r>
      <w:proofErr w:type="spellStart"/>
      <w:r>
        <w:rPr>
          <w:rFonts w:eastAsia="Times New Roman"/>
        </w:rPr>
        <w:t>Kuppens</w:t>
      </w:r>
      <w:proofErr w:type="spellEnd"/>
      <w:r>
        <w:rPr>
          <w:rFonts w:eastAsia="Times New Roman"/>
        </w:rPr>
        <w:t xml:space="preserve">, 2015; Koval &amp; </w:t>
      </w:r>
      <w:proofErr w:type="spellStart"/>
      <w:r>
        <w:rPr>
          <w:rFonts w:eastAsia="Times New Roman"/>
        </w:rPr>
        <w:t>Kuppens</w:t>
      </w:r>
      <w:proofErr w:type="spellEnd"/>
      <w:r>
        <w:rPr>
          <w:rFonts w:eastAsia="Times New Roman"/>
        </w:rPr>
        <w:t xml:space="preserve">, 2012; </w:t>
      </w:r>
      <w:proofErr w:type="spellStart"/>
      <w:r>
        <w:rPr>
          <w:rFonts w:eastAsia="Times New Roman"/>
        </w:rPr>
        <w:t>Kuppens</w:t>
      </w:r>
      <w:proofErr w:type="spellEnd"/>
      <w:r>
        <w:rPr>
          <w:rFonts w:eastAsia="Times New Roman"/>
        </w:rPr>
        <w:t xml:space="preserve">, Allen, &amp; </w:t>
      </w:r>
      <w:proofErr w:type="spellStart"/>
      <w:r>
        <w:rPr>
          <w:rFonts w:eastAsia="Times New Roman"/>
        </w:rPr>
        <w:t>Sheeber</w:t>
      </w:r>
      <w:proofErr w:type="spellEnd"/>
      <w:r>
        <w:rPr>
          <w:rFonts w:eastAsia="Times New Roman"/>
        </w:rPr>
        <w:t>, 2010).</w:t>
      </w:r>
    </w:p>
    <w:p w14:paraId="6C474E0B" w14:textId="77777777" w:rsidR="00582997" w:rsidRDefault="00000000">
      <w:pPr>
        <w:spacing w:after="120" w:line="480" w:lineRule="auto"/>
        <w:ind w:firstLine="720"/>
        <w:jc w:val="both"/>
      </w:pPr>
      <w:r>
        <w:rPr>
          <w:rFonts w:eastAsia="Times New Roman"/>
        </w:rPr>
        <w:t xml:space="preserve">The control-theoretic vocabulary used here, including the language of system identification, is intended in an analytic and conceptual sense, as a way of organizing dynamical questions about a </w:t>
      </w:r>
      <w:r>
        <w:rPr>
          <w:rFonts w:eastAsia="Times New Roman"/>
        </w:rPr>
        <w:lastRenderedPageBreak/>
        <w:t>single person across time. On this framing the evidential question is where the system is sensitive and where it is not. A probe that moves nothing on the mean has located one of those boundaries, provided the bound itself is estimated. Section 2.5.10 states how that bound was obtained.</w:t>
      </w:r>
    </w:p>
    <w:p w14:paraId="0689E19A" w14:textId="77777777" w:rsidR="00582997" w:rsidRDefault="00000000">
      <w:pPr>
        <w:pStyle w:val="Heading2"/>
        <w:spacing w:line="480" w:lineRule="auto"/>
      </w:pPr>
      <w:r>
        <w:t>1.4 Research Questions</w:t>
      </w:r>
    </w:p>
    <w:p w14:paraId="72A0901B" w14:textId="77777777" w:rsidR="00582997" w:rsidRDefault="00000000">
      <w:pPr>
        <w:spacing w:after="120" w:line="480" w:lineRule="auto"/>
        <w:jc w:val="both"/>
      </w:pPr>
      <w:r>
        <w:rPr>
          <w:rFonts w:eastAsia="Times New Roman"/>
          <w:b/>
          <w:bCs/>
        </w:rPr>
        <w:t xml:space="preserve">Primary. </w:t>
      </w:r>
      <w:r>
        <w:rPr>
          <w:rFonts w:eastAsia="Times New Roman"/>
        </w:rPr>
        <w:t>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14:paraId="14C560BC" w14:textId="77777777" w:rsidR="00582997" w:rsidRDefault="00000000">
      <w:pPr>
        <w:spacing w:after="120" w:line="480" w:lineRule="auto"/>
        <w:jc w:val="both"/>
      </w:pPr>
      <w:r>
        <w:rPr>
          <w:rFonts w:eastAsia="Times New Roman"/>
          <w:b/>
          <w:bCs/>
        </w:rPr>
        <w:t xml:space="preserve">Probe. </w:t>
      </w:r>
      <w:r>
        <w:rPr>
          <w:rFonts w:eastAsia="Times New Roman"/>
        </w:rPr>
        <w:t xml:space="preserve">Within a continuous hormonal-contraceptive background condition, does melatonin administration meaningfully shift average momentary emotional valence? Melatonin is widely consumed as a </w:t>
      </w:r>
      <w:proofErr w:type="spellStart"/>
      <w:r>
        <w:rPr>
          <w:rFonts w:eastAsia="Times New Roman"/>
        </w:rPr>
        <w:t>chronobiotic</w:t>
      </w:r>
      <w:proofErr w:type="spellEnd"/>
      <w:r>
        <w:rPr>
          <w:rFonts w:eastAsia="Times New Roman"/>
        </w:rPr>
        <w:t xml:space="preserve">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14:paraId="731CC89D" w14:textId="77777777" w:rsidR="00582997" w:rsidRDefault="00000000">
      <w:pPr>
        <w:spacing w:after="120" w:line="480" w:lineRule="auto"/>
        <w:jc w:val="both"/>
      </w:pPr>
      <w:r>
        <w:rPr>
          <w:rFonts w:eastAsia="Times New Roman"/>
          <w:b/>
          <w:bCs/>
        </w:rPr>
        <w:t xml:space="preserve">Exploratory. </w:t>
      </w:r>
      <w:r>
        <w:rPr>
          <w:rFonts w:eastAsia="Times New Roman"/>
        </w:rPr>
        <w:t>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14:paraId="32491158" w14:textId="77777777" w:rsidR="00582997" w:rsidRDefault="00000000">
      <w:pPr>
        <w:pStyle w:val="Heading2"/>
        <w:spacing w:line="480" w:lineRule="auto"/>
      </w:pPr>
      <w:r>
        <w:t>1.5 Study Origin and Analytic Reframing</w:t>
      </w:r>
    </w:p>
    <w:p w14:paraId="382B1C6F" w14:textId="77777777" w:rsidR="00582997" w:rsidRDefault="00000000">
      <w:pPr>
        <w:spacing w:after="120" w:line="480" w:lineRule="auto"/>
        <w:ind w:firstLine="720"/>
        <w:jc w:val="both"/>
      </w:pPr>
      <w:r>
        <w:rPr>
          <w:rFonts w:eastAsia="Times New Roman"/>
        </w:rPr>
        <w:lastRenderedPageBreak/>
        <w:t>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14:paraId="68EEA264" w14:textId="77777777" w:rsidR="00582997" w:rsidRDefault="00000000">
      <w:pPr>
        <w:spacing w:after="120" w:line="480" w:lineRule="auto"/>
        <w:ind w:firstLine="720"/>
        <w:jc w:val="both"/>
      </w:pPr>
      <w:r>
        <w:rPr>
          <w:rFonts w:eastAsia="Times New Roman"/>
        </w:rPr>
        <w:t>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14:paraId="25D8CEE4" w14:textId="77777777" w:rsidR="00582997" w:rsidRDefault="00000000">
      <w:pPr>
        <w:pStyle w:val="Heading1"/>
        <w:spacing w:line="480" w:lineRule="auto"/>
      </w:pPr>
      <w:r>
        <w:t>2. Methods</w:t>
      </w:r>
    </w:p>
    <w:p w14:paraId="0985BE46" w14:textId="77777777" w:rsidR="00582997" w:rsidRDefault="00000000">
      <w:pPr>
        <w:pStyle w:val="Heading2"/>
        <w:spacing w:line="480" w:lineRule="auto"/>
      </w:pPr>
      <w:r>
        <w:t>2.1 Participants</w:t>
      </w:r>
    </w:p>
    <w:p w14:paraId="6AE134CE" w14:textId="77777777" w:rsidR="00582997" w:rsidRDefault="00000000">
      <w:pPr>
        <w:spacing w:after="120" w:line="480" w:lineRule="auto"/>
        <w:ind w:firstLine="720"/>
        <w:jc w:val="both"/>
      </w:pPr>
      <w:r>
        <w:rPr>
          <w:rFonts w:eastAsia="Times New Roman"/>
        </w:rPr>
        <w:t>The participant is the author of this paper. The use of a single-subject design follows the personal science tradition of systematic self-experimentation with rigorous measurement and transparent analysis (Wolf &amp; De Groot, 2020)</w:t>
      </w:r>
      <w:proofErr w:type="spellStart"/>
      <w:r>
        <w:rPr>
          <w:rFonts w:eastAsia="Times New Roman"/>
        </w:rPr>
      </w:r>
      <w:proofErr w:type="spellEnd"/>
      <w:r>
        <w:rPr>
          <w:rFonts w:eastAsia="Times New Roman"/>
        </w:rPr>
        <w:t xml:space="preserve">. Single-subject designs are appropriate when the research question concerns individual-level processes that are obscured by group averaging </w:t>
      </w:r>
      <w:r>
        <w:rPr>
          <w:rFonts w:eastAsia="Times New Roman"/>
        </w:rPr>
        <w:lastRenderedPageBreak/>
        <w:t>(Molenaar,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14:paraId="5CB3B793" w14:textId="77777777" w:rsidR="00582997" w:rsidRDefault="00000000">
      <w:pPr>
        <w:pStyle w:val="Heading2"/>
        <w:spacing w:line="480" w:lineRule="auto"/>
      </w:pPr>
      <w:r>
        <w:t>2.2 Background Condition</w:t>
      </w:r>
    </w:p>
    <w:p w14:paraId="75965C17" w14:textId="77777777" w:rsidR="00582997" w:rsidRDefault="00000000">
      <w:pPr>
        <w:spacing w:after="120" w:line="480" w:lineRule="auto"/>
        <w:ind w:firstLine="720"/>
        <w:jc w:val="both"/>
      </w:pPr>
      <w:r>
        <w:rPr>
          <w:rFonts w:eastAsia="Times New Roman"/>
        </w:rPr>
        <w:t>The participant has been taking a continuous hormonal contraceptive (</w:t>
      </w:r>
      <w:proofErr w:type="spellStart"/>
      <w:r>
        <w:rPr>
          <w:rFonts w:eastAsia="Times New Roman"/>
        </w:rPr>
        <w:t>drospirenone</w:t>
      </w:r>
      <w:proofErr w:type="spellEnd"/>
      <w:r>
        <w:rPr>
          <w:rFonts w:eastAsia="Times New Roman"/>
        </w:rPr>
        <w:t>/ethinyl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It is a fixed background parameter that reduces baseline affective noise, increasing the signal-to-noise ratio for detecting effects of the primary manipulation.</w:t>
      </w:r>
    </w:p>
    <w:p w14:paraId="2457C875" w14:textId="77777777" w:rsidR="00582997" w:rsidRDefault="00000000">
      <w:pPr>
        <w:pStyle w:val="Heading2"/>
        <w:spacing w:line="480" w:lineRule="auto"/>
      </w:pPr>
      <w:r>
        <w:t>2.3 Intervention</w:t>
      </w:r>
    </w:p>
    <w:p w14:paraId="56B1EBC5" w14:textId="77777777" w:rsidR="00582997" w:rsidRDefault="00000000">
      <w:pPr>
        <w:spacing w:after="120" w:line="480" w:lineRule="auto"/>
        <w:ind w:firstLine="720"/>
        <w:jc w:val="both"/>
      </w:pPr>
      <w:r>
        <w:rPr>
          <w:rFonts w:eastAsia="Times New Roman"/>
        </w:rPr>
        <w:t xml:space="preserve">Melatonin (3 mg, standard over-the-counter formulation) was administered before sleep on a schedule generated by a pre-specified randomization algorithm. The constrained-randomization procedure used to generate the schedule was later incorporated into the R package nof1kit (Version 0.1.0; Meng, 2026).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t>
      </w:r>
      <w:r>
        <w:rPr>
          <w:rFonts w:eastAsia="Times New Roman"/>
        </w:rPr>
        <w:lastRenderedPageBreak/>
        <w:t>was not accessible to the participant during the EMA logging process; the daily condition was confirmed only after the corresponding evening’s EMA prompt had been completed.</w:t>
      </w:r>
    </w:p>
    <w:p w14:paraId="02AED869" w14:textId="77777777" w:rsidR="00582997" w:rsidRDefault="00000000">
      <w:pPr>
        <w:spacing w:after="120" w:line="480" w:lineRule="auto"/>
        <w:ind w:firstLine="720"/>
        <w:jc w:val="both"/>
      </w:pPr>
      <w:r>
        <w:rPr>
          <w:rFonts w:eastAsia="Times New Roman"/>
        </w:rPr>
        <w:t xml:space="preserve">Melatonin functions here as an analytic probe: a perturbation input of known presence and absence, applied to an otherwise free-running system </w:t>
      </w:r>
      <w:proofErr w:type="gramStart"/>
      <w:r>
        <w:rPr>
          <w:rFonts w:eastAsia="Times New Roman"/>
        </w:rPr>
        <w:t>in order to</w:t>
      </w:r>
      <w:proofErr w:type="gramEnd"/>
      <w:r>
        <w:rPr>
          <w:rFonts w:eastAsia="Times New Roman"/>
        </w:rPr>
        <w:t xml:space="preserve"> characterize the system’s response function.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1.3).</w:t>
      </w:r>
    </w:p>
    <w:p w14:paraId="08B0E095" w14:textId="77777777" w:rsidR="00582997" w:rsidRDefault="00000000">
      <w:pPr>
        <w:pStyle w:val="Heading2"/>
        <w:spacing w:line="480" w:lineRule="auto"/>
      </w:pPr>
      <w:r>
        <w:t>2.4 Procedure and Measurement</w:t>
      </w:r>
    </w:p>
    <w:p w14:paraId="04A45C99" w14:textId="77777777" w:rsidR="00582997" w:rsidRDefault="00000000">
      <w:pPr>
        <w:pStyle w:val="Heading3"/>
        <w:spacing w:line="480" w:lineRule="auto"/>
      </w:pPr>
      <w:r>
        <w:t>Design and sampling</w:t>
      </w:r>
    </w:p>
    <w:p w14:paraId="308100FC" w14:textId="77777777" w:rsidR="00582997" w:rsidRDefault="00000000">
      <w:pPr>
        <w:spacing w:after="120" w:line="480" w:lineRule="auto"/>
        <w:ind w:firstLine="720"/>
        <w:jc w:val="both"/>
      </w:pPr>
      <w:r>
        <w:rPr>
          <w:rFonts w:eastAsia="Times New Roman"/>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Each study day is a calendar date, and EMA observations were aggregated to the study day, yielding the planned 35 control and 35 melatonin daily aggregates over the 70-day window (2026-02-18 to 2026-04-29). Two records were entered on 2026-04-03, after the three prompts for that study day had already been completed on 2026-04-02. They fill none of the 210 planned prompt slots, so they are retained in the archived log and excluded from the analytic dataset (cf. Section 3.1). Compliance and the realized sample are reported in Section 3.1.</w:t>
      </w:r>
    </w:p>
    <w:p w14:paraId="600FA2F5" w14:textId="77777777" w:rsidR="00582997" w:rsidRDefault="00000000">
      <w:pPr>
        <w:pStyle w:val="Heading3"/>
        <w:spacing w:line="480" w:lineRule="auto"/>
      </w:pPr>
      <w:r>
        <w:t>Measures</w:t>
      </w:r>
    </w:p>
    <w:p w14:paraId="52EB7B07" w14:textId="77777777" w:rsidR="00582997" w:rsidRDefault="00000000">
      <w:pPr>
        <w:spacing w:after="120" w:line="480" w:lineRule="auto"/>
        <w:ind w:firstLine="720"/>
        <w:jc w:val="both"/>
      </w:pPr>
      <w:r>
        <w:rPr>
          <w:rFonts w:eastAsia="Times New Roman"/>
        </w:rPr>
        <w:t xml:space="preserve">At each EMA prompt, three momentary ratings, a protocol-adherence item and one free-text deviation note were collected. </w:t>
      </w:r>
      <w:r>
        <w:rPr>
          <w:rFonts w:eastAsia="Times New Roman"/>
          <w:b/>
          <w:bCs/>
        </w:rPr>
        <w:t xml:space="preserve">Mood </w:t>
      </w:r>
      <w:r>
        <w:rPr>
          <w:rFonts w:eastAsia="Times New Roman"/>
        </w:rPr>
        <w:t xml:space="preserve">(current emotional state) was rated on a 0–100 visual slider as a single-item measure of momentary affect (Eisele et al., 2022); see the measurement-error note below. </w:t>
      </w:r>
      <w:r>
        <w:rPr>
          <w:rFonts w:eastAsia="Times New Roman"/>
          <w:b/>
          <w:bCs/>
        </w:rPr>
        <w:t xml:space="preserve">Agency </w:t>
      </w:r>
      <w:r>
        <w:rPr>
          <w:rFonts w:eastAsia="Times New Roman"/>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eastAsia="Times New Roman"/>
          <w:b/>
          <w:bCs/>
        </w:rPr>
        <w:t xml:space="preserve">Metacognition </w:t>
      </w:r>
      <w:r>
        <w:rPr>
          <w:rFonts w:eastAsia="Times New Roman"/>
        </w:rPr>
        <w:t xml:space="preserve">(awareness of current internal state) was rated on a 0–100 slider, operationalizing in-the-moment self-monitoring in the Nelson and Narens (1990) sense (cf. Section 1.2). </w:t>
      </w:r>
      <w:r>
        <w:rPr>
          <w:rFonts w:eastAsia="Times New Roman"/>
          <w:bCs/>
        </w:rPr>
        <w:t>The Shortcut also recorded whether the participant had followed the assigned melatonin protocol. For analysis, condition was coded from the randomized schedule (1 = melatonin taken the preceding night, 0 = control), not from that record.</w:t>
      </w:r>
      <w:r>
        <w:rPr>
          <w:rFonts w:eastAsia="Times New Roman"/>
        </w:rPr>
        <w:t xml:space="preserve"> A free-text </w:t>
      </w:r>
      <w:r>
        <w:rPr>
          <w:rFonts w:eastAsia="Times New Roman"/>
          <w:b/>
          <w:bCs/>
        </w:rPr>
        <w:t xml:space="preserve">override field </w:t>
      </w:r>
      <w:r>
        <w:rPr>
          <w:rFonts w:eastAsia="Times New Roman"/>
        </w:rPr>
        <w:t>captured deviation notes for any prompt completed late, manually, or with anomalies.</w:t>
      </w:r>
    </w:p>
    <w:p w14:paraId="2EDB9635" w14:textId="77777777" w:rsidR="00582997" w:rsidRDefault="00000000">
      <w:pPr>
        <w:spacing w:after="120" w:line="480" w:lineRule="auto"/>
        <w:ind w:firstLine="720"/>
        <w:jc w:val="both"/>
      </w:pPr>
      <w:r>
        <w:rPr>
          <w:rFonts w:eastAsia="Times New Roman"/>
        </w:rPr>
        <w:t xml:space="preserve">Prior psychometric work suggests that single-item momentary affect ratings can contain substantial measurement-error variance, with </w:t>
      </w:r>
      <w:proofErr w:type="spellStart"/>
      <w:r>
        <w:rPr>
          <w:rFonts w:eastAsia="Times New Roman"/>
        </w:rPr>
        <w:t>Dejonckheere</w:t>
      </w:r>
      <w:proofErr w:type="spellEnd"/>
      <w:r>
        <w:rPr>
          <w:rFonts w:eastAsia="Times New Roman"/>
        </w:rPr>
        <w:t xml:space="preserve"> et al. (2022) estimating error variance at approximately 27%. This motivates cautious interpretation of small effects in the present study.</w:t>
      </w:r>
    </w:p>
    <w:p w14:paraId="391E40DA" w14:textId="77777777" w:rsidR="00582997" w:rsidRDefault="00000000">
      <w:pPr>
        <w:pStyle w:val="Heading3"/>
        <w:spacing w:line="480" w:lineRule="auto"/>
      </w:pPr>
      <w:r>
        <w:t>Day-18 protocol amendment</w:t>
      </w:r>
    </w:p>
    <w:p w14:paraId="58AABD9E" w14:textId="77777777" w:rsidR="00582997" w:rsidRDefault="00000000">
      <w:pPr>
        <w:spacing w:after="120" w:line="480" w:lineRule="auto"/>
        <w:ind w:firstLine="720"/>
        <w:jc w:val="both"/>
      </w:pPr>
      <w:r>
        <w:rPr>
          <w:rFonts w:eastAsia="Times New Roman"/>
        </w:rPr>
        <w:t xml:space="preserve">Of the three momentary ratings, mood was collected from Day 1 of data collection (2026-02-18). Agency and metacognition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142 momentary observations. The </w:t>
      </w:r>
      <w:proofErr w:type="gramStart"/>
      <w:r>
        <w:rPr>
          <w:rFonts w:eastAsia="Times New Roman"/>
        </w:rPr>
        <w:t>AR(</w:t>
      </w:r>
      <w:proofErr w:type="gramEnd"/>
      <w:r>
        <w:rPr>
          <w:rFonts w:eastAsia="Times New Roman"/>
        </w:rPr>
        <w:t>1) model with lag-1 alignment uses 53 days, with the first day in the window (Day 18) using Day 17’s mood as its lag-</w:t>
      </w:r>
      <w:r>
        <w:rPr>
          <w:rFonts w:eastAsia="Times New Roman"/>
        </w:rPr>
        <w:lastRenderedPageBreak/>
        <w:t xml:space="preserve">1 predecessor. Mood-only analyses (descriptive statistics, between-condition mean comparison, and the observation-level </w:t>
      </w:r>
      <w:proofErr w:type="gramStart"/>
      <w:r>
        <w:rPr>
          <w:rFonts w:eastAsia="Times New Roman"/>
        </w:rPr>
        <w:t>AR(</w:t>
      </w:r>
      <w:proofErr w:type="gramEnd"/>
      <w:r>
        <w:rPr>
          <w:rFonts w:eastAsia="Times New Roman"/>
        </w:rPr>
        <w:t>1) inertia estimate) use the full 193-observation analytic sample.</w:t>
      </w:r>
    </w:p>
    <w:p w14:paraId="293928BF" w14:textId="77777777" w:rsidR="00582997" w:rsidRDefault="00000000">
      <w:pPr>
        <w:pStyle w:val="Heading3"/>
        <w:spacing w:line="480" w:lineRule="auto"/>
      </w:pPr>
      <w:r>
        <w:t>Data acquisition pipeline</w:t>
      </w:r>
    </w:p>
    <w:p w14:paraId="10DCF2C5" w14:textId="77777777" w:rsidR="00582997" w:rsidRDefault="00000000">
      <w:pPr>
        <w:spacing w:after="120" w:line="480" w:lineRule="auto"/>
        <w:ind w:firstLine="720"/>
        <w:jc w:val="both"/>
      </w:pPr>
      <w:r>
        <w:rPr>
          <w:rFonts w:eastAsia="Times New Roman"/>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w:t>
      </w:r>
      <w:proofErr w:type="spellStart"/>
      <w:r>
        <w:rPr>
          <w:rFonts w:eastAsia="Times New Roman"/>
        </w:rPr>
        <w:t>REDCap</w:t>
      </w:r>
      <w:proofErr w:type="spellEnd"/>
      <w:r>
        <w:rPr>
          <w:rFonts w:eastAsia="Times New Roman"/>
        </w:rPr>
        <w:t>)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Documentation and an installable copy of the Shortcut used in this study, together with the Python validation code, are available in the repositories described in Section 9.</w:t>
      </w:r>
    </w:p>
    <w:p w14:paraId="075A18B5" w14:textId="77777777" w:rsidR="00582997" w:rsidRDefault="00000000">
      <w:pPr>
        <w:pStyle w:val="Heading2"/>
        <w:spacing w:line="480" w:lineRule="auto"/>
      </w:pPr>
      <w:r>
        <w:t>2.5 Analytic Strategy</w:t>
      </w:r>
    </w:p>
    <w:p w14:paraId="26728084" w14:textId="77777777" w:rsidR="00582997" w:rsidRDefault="00000000">
      <w:pPr>
        <w:spacing w:after="120" w:line="480" w:lineRule="auto"/>
        <w:ind w:firstLine="720"/>
        <w:jc w:val="both"/>
      </w:pPr>
      <w:r>
        <w:rPr>
          <w:rFonts w:eastAsia="Times New Roman"/>
        </w:rPr>
        <w:t xml:space="preserve">The analyses are organized in three tiers. The primary inference runs through the nested autoregressive models, their incremental-R² decomposition, and the equivalence test that bounds the probe’s mean effect (Sections 2.5.1, 2.5.4, and 2.5.10); the state-space model and the impulse-response functions (Sections 2.5.2 and 2.5.3) characterize the dynamics that frame that comparison. </w:t>
      </w:r>
      <w:r>
        <w:rPr>
          <w:rFonts w:eastAsia="Times New Roman"/>
        </w:rPr>
        <w:lastRenderedPageBreak/>
        <w:t xml:space="preserve">The remaining sections are sensitivity, exploratory, and robustness analyses: the </w:t>
      </w:r>
      <w:proofErr w:type="spellStart"/>
      <w:r>
        <w:rPr>
          <w:rFonts w:eastAsia="Times New Roman"/>
        </w:rPr>
        <w:t>metacontrol</w:t>
      </w:r>
      <w:proofErr w:type="spellEnd"/>
      <w:r>
        <w:rPr>
          <w:rFonts w:eastAsia="Times New Roman"/>
        </w:rPr>
        <w:t xml:space="preserve"> and decay interactions, the variability indices, and a multilevel re-estimation that repeats the primary comparison without daily aggregation (Sections 2.5.5 through 2.5.9).</w:t>
      </w:r>
    </w:p>
    <w:p w14:paraId="11B91A9A" w14:textId="77777777" w:rsidR="00582997" w:rsidRDefault="00000000">
      <w:pPr>
        <w:pStyle w:val="Heading3"/>
        <w:spacing w:line="480" w:lineRule="auto"/>
      </w:pPr>
      <w:r>
        <w:t>2.5.1 Autoregressive model with exogenous inputs</w:t>
      </w:r>
    </w:p>
    <w:p w14:paraId="053E46D6" w14:textId="77777777" w:rsidR="00582997" w:rsidRDefault="00000000">
      <w:pPr>
        <w:spacing w:after="120" w:line="480" w:lineRule="auto"/>
        <w:ind w:firstLine="720"/>
        <w:jc w:val="both"/>
      </w:pPr>
      <w:r>
        <w:rPr>
          <w:rFonts w:eastAsia="Times New Roman"/>
        </w:rPr>
        <w:t>Three nested autoregressive models were fit to daily mean mood, estimated as regressions with lagged mood as a predictor. The state-space model reported separately in Section 2.5.2 characterizes the latent daily trajectory and is not part of this nested comparison. The baseline model (M0) is a first-order autoregression:</w:t>
      </w:r>
    </w:p>
    <w:p w14:paraId="41303EC2" w14:textId="77777777" w:rsidR="00582997" w:rsidRDefault="00000000">
      <w:pPr>
        <w:spacing w:before="120" w:after="120" w:line="480" w:lineRule="auto"/>
        <w:ind w:left="720" w:right="720"/>
        <w:jc w:val="center"/>
      </w:pPr>
      <w:r>
        <w:rPr>
          <w:rFonts w:eastAsia="Times New Roman"/>
          <w:i/>
          <w:iCs/>
        </w:rPr>
        <w:t>moodₜ = α + φ · moodₜ₋₁ + εₜ</w:t>
      </w:r>
    </w:p>
    <w:p w14:paraId="72E46919" w14:textId="77777777" w:rsidR="00582997" w:rsidRDefault="00000000">
      <w:pPr>
        <w:spacing w:after="120" w:line="480" w:lineRule="auto"/>
        <w:ind w:firstLine="720"/>
        <w:jc w:val="both"/>
      </w:pPr>
      <w:r>
        <w:rPr>
          <w:rFonts w:eastAsia="Times New Roman"/>
        </w:rPr>
        <w:t>Model M1 adds the external probe:</w:t>
      </w:r>
    </w:p>
    <w:p w14:paraId="3FA0CF01" w14:textId="77777777" w:rsidR="00582997" w:rsidRDefault="00000000">
      <w:pPr>
        <w:spacing w:before="120" w:after="120" w:line="480" w:lineRule="auto"/>
        <w:ind w:left="720" w:right="720"/>
        <w:jc w:val="center"/>
      </w:pPr>
      <w:r>
        <w:rPr>
          <w:rFonts w:eastAsia="Times New Roman"/>
          <w:i/>
          <w:iCs/>
        </w:rPr>
        <w:t>moodₜ = α + φ · moodₜ₋₁ + β₁ · melatoninₜ + εₜ</w:t>
      </w:r>
    </w:p>
    <w:p w14:paraId="17323AFF" w14:textId="77777777" w:rsidR="00582997" w:rsidRDefault="00000000">
      <w:pPr>
        <w:spacing w:after="120" w:line="480" w:lineRule="auto"/>
        <w:ind w:firstLine="720"/>
        <w:jc w:val="both"/>
      </w:pPr>
      <w:r>
        <w:rPr>
          <w:rFonts w:eastAsia="Times New Roman"/>
        </w:rPr>
        <w:t>Model M2 adds the internal drivers:</w:t>
      </w:r>
    </w:p>
    <w:p w14:paraId="7D0E161C" w14:textId="77777777" w:rsidR="00582997" w:rsidRDefault="00000000">
      <w:pPr>
        <w:spacing w:before="120" w:after="120" w:line="480" w:lineRule="auto"/>
        <w:ind w:left="720" w:right="720"/>
        <w:jc w:val="center"/>
      </w:pPr>
      <w:r>
        <w:rPr>
          <w:rFonts w:eastAsia="Times New Roman"/>
          <w:i/>
          <w:iCs/>
        </w:rPr>
        <w:t>moodₜ = α + φ · moodₜ₋₁ + β₁ · melatoninₜ + β₂ · agencyₜ + β₃ · metacognitionₜ + εₜ</w:t>
      </w:r>
    </w:p>
    <w:p w14:paraId="20732955" w14:textId="77777777" w:rsidR="00582997" w:rsidRDefault="00000000">
      <w:pPr>
        <w:spacing w:after="120" w:line="480" w:lineRule="auto"/>
        <w:ind w:firstLine="720"/>
        <w:jc w:val="both"/>
      </w:pPr>
      <w:r>
        <w:rPr>
          <w:rFonts w:eastAsia="Times New Roman"/>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r>
        <w:t xml:space="preserve"> Lag-order sensitivity was evaluated on the same Day 18–70 window. In the outcome-only model the second lag was positive (β = 0.33, 95% CI [0.06, 0.61], </w:t>
      </w:r>
      <w:r>
        <w:rPr>
          <w:i/>
        </w:rPr>
        <w:t>p</w:t>
      </w:r>
      <w:r>
        <w:t xml:space="preserve"> = .017). When the second lag was added to the full M2 specification, however, it was smaller and not reliably distinguishable from zero (β = 0.12, 95% CI [−0.07, 0.32], </w:t>
      </w:r>
      <w:r>
        <w:rPr>
          <w:i/>
        </w:rPr>
        <w:t>p</w:t>
      </w:r>
      <w:r>
        <w:t xml:space="preserve"> = .212), and both AIC and BIC favored the more parsimonious </w:t>
      </w:r>
      <w:proofErr w:type="gramStart"/>
      <w:r>
        <w:t>AR(</w:t>
      </w:r>
      <w:proofErr w:type="gramEnd"/>
      <w:r>
        <w:t xml:space="preserve">1) M2 (AIC 244.28 against 244.51; BIC 254.13 against </w:t>
      </w:r>
      <w:r>
        <w:lastRenderedPageBreak/>
        <w:t xml:space="preserve">256.33). The substantive contrast persisted in the </w:t>
      </w:r>
      <w:proofErr w:type="gramStart"/>
      <w:r>
        <w:t>AR(</w:t>
      </w:r>
      <w:proofErr w:type="gramEnd"/>
      <w:r>
        <w:t xml:space="preserve">2) specification: agency β = 0.49, metacognition β = 0.45, and melatonin β = −0.01. A Ljung-Box test found no residual autocorrelation in the </w:t>
      </w:r>
      <w:proofErr w:type="gramStart"/>
      <w:r>
        <w:t>AR(</w:t>
      </w:r>
      <w:proofErr w:type="gramEnd"/>
      <w:r>
        <w:t xml:space="preserve">1) M2 residuals (lag 10, </w:t>
      </w:r>
      <w:r>
        <w:rPr>
          <w:i/>
        </w:rPr>
        <w:t>p</w:t>
      </w:r>
      <w:r>
        <w:t xml:space="preserve"> = .354), supporting the first-order specification.</w:t>
      </w:r>
    </w:p>
    <w:p w14:paraId="7D0570C6" w14:textId="77777777" w:rsidR="00582997" w:rsidRDefault="00000000">
      <w:pPr>
        <w:pStyle w:val="Heading3"/>
        <w:spacing w:line="480" w:lineRule="auto"/>
      </w:pPr>
      <w:r>
        <w:t>2.5.2 State-space model (Kalman filter)</w:t>
      </w:r>
    </w:p>
    <w:p w14:paraId="54C46665" w14:textId="77777777" w:rsidR="00582997" w:rsidRDefault="00000000">
      <w:pPr>
        <w:spacing w:after="120" w:line="480" w:lineRule="auto"/>
        <w:ind w:firstLine="720"/>
        <w:jc w:val="both"/>
      </w:pPr>
      <w:r>
        <w:rPr>
          <w:rFonts w:eastAsia="Times New Roman"/>
        </w:rPr>
        <w:t>A local-level (random-walk-plus-noise) state-space model was fit to the daily mood series via maximum-likelihood Kalman filtering, with the following structure:</w:t>
      </w:r>
    </w:p>
    <w:p w14:paraId="0D99244F" w14:textId="77777777" w:rsidR="00582997" w:rsidRDefault="00000000">
      <w:pPr>
        <w:spacing w:before="120" w:after="120" w:line="480" w:lineRule="auto"/>
        <w:ind w:left="720" w:right="720"/>
        <w:jc w:val="center"/>
      </w:pPr>
      <w:r>
        <w:rPr>
          <w:rFonts w:eastAsia="Times New Roman"/>
          <w:i/>
          <w:iCs/>
        </w:rPr>
        <w:t xml:space="preserve">Observation:   yₜ = xₜ + </w:t>
      </w:r>
      <w:proofErr w:type="gramStart"/>
      <w:r>
        <w:rPr>
          <w:rFonts w:eastAsia="Times New Roman"/>
          <w:i/>
          <w:iCs/>
        </w:rPr>
        <w:t xml:space="preserve">vₜ,   </w:t>
      </w:r>
      <w:proofErr w:type="gramEnd"/>
      <w:r>
        <w:rPr>
          <w:rFonts w:eastAsia="Times New Roman"/>
          <w:i/>
          <w:iCs/>
        </w:rPr>
        <w:t xml:space="preserve">vₜ ~ </w:t>
      </w:r>
      <w:proofErr w:type="gramStart"/>
      <w:r>
        <w:rPr>
          <w:rFonts w:eastAsia="Times New Roman"/>
          <w:i/>
          <w:iCs/>
        </w:rPr>
        <w:t>N(</w:t>
      </w:r>
      <w:proofErr w:type="gramEnd"/>
      <w:r>
        <w:rPr>
          <w:rFonts w:eastAsia="Times New Roman"/>
          <w:i/>
          <w:iCs/>
        </w:rPr>
        <w:t>0, σ²_v)</w:t>
      </w:r>
    </w:p>
    <w:p w14:paraId="4712A897" w14:textId="77777777" w:rsidR="00582997" w:rsidRDefault="00000000">
      <w:pPr>
        <w:spacing w:before="120" w:after="120" w:line="480" w:lineRule="auto"/>
        <w:ind w:left="720" w:right="720"/>
        <w:jc w:val="center"/>
      </w:pPr>
      <w:r>
        <w:rPr>
          <w:rFonts w:eastAsia="Times New Roman"/>
          <w:i/>
          <w:iCs/>
        </w:rPr>
        <w:t xml:space="preserve">State:        xₜ = xₜ₋₁ + </w:t>
      </w:r>
      <w:proofErr w:type="gramStart"/>
      <w:r>
        <w:rPr>
          <w:rFonts w:eastAsia="Times New Roman"/>
          <w:i/>
          <w:iCs/>
        </w:rPr>
        <w:t xml:space="preserve">wₜ,   </w:t>
      </w:r>
      <w:proofErr w:type="gramEnd"/>
      <w:r>
        <w:rPr>
          <w:rFonts w:eastAsia="Times New Roman"/>
          <w:i/>
          <w:iCs/>
        </w:rPr>
        <w:t xml:space="preserve">wₜ ~ </w:t>
      </w:r>
      <w:proofErr w:type="gramStart"/>
      <w:r>
        <w:rPr>
          <w:rFonts w:eastAsia="Times New Roman"/>
          <w:i/>
          <w:iCs/>
        </w:rPr>
        <w:t>N(</w:t>
      </w:r>
      <w:proofErr w:type="gramEnd"/>
      <w:r>
        <w:rPr>
          <w:rFonts w:eastAsia="Times New Roman"/>
          <w:i/>
          <w:iCs/>
        </w:rPr>
        <w:t>0, σ²_w)</w:t>
      </w:r>
    </w:p>
    <w:p w14:paraId="31DA840B" w14:textId="77777777" w:rsidR="00582997" w:rsidRDefault="00000000">
      <w:pPr>
        <w:spacing w:after="120" w:line="480" w:lineRule="auto"/>
        <w:ind w:firstLine="720"/>
        <w:jc w:val="both"/>
      </w:pPr>
      <w:r>
        <w:rPr>
          <w:rFonts w:eastAsia="Times New Roman"/>
        </w:rPr>
        <w:t>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14:paraId="27087603" w14:textId="77777777" w:rsidR="00582997" w:rsidRDefault="00000000">
      <w:pPr>
        <w:pStyle w:val="Heading3"/>
        <w:spacing w:line="480" w:lineRule="auto"/>
      </w:pPr>
      <w:r>
        <w:t>2.5.3 Impulse response and half-life</w:t>
      </w:r>
    </w:p>
    <w:p w14:paraId="0AA406AB" w14:textId="77777777" w:rsidR="00582997" w:rsidRDefault="00000000">
      <w:pPr>
        <w:spacing w:after="120" w:line="480" w:lineRule="auto"/>
        <w:ind w:firstLine="720"/>
        <w:jc w:val="both"/>
      </w:pPr>
      <w:r>
        <w:rPr>
          <w:rFonts w:eastAsia="Times New Roman"/>
        </w:rPr>
        <w:t xml:space="preserve">The impulse response function (IRF) for an </w:t>
      </w:r>
      <w:proofErr w:type="gramStart"/>
      <w:r>
        <w:rPr>
          <w:rFonts w:eastAsia="Times New Roman"/>
        </w:rPr>
        <w:t>AR(</w:t>
      </w:r>
      <w:proofErr w:type="gramEnd"/>
      <w:r>
        <w:rPr>
          <w:rFonts w:eastAsia="Times New Roman"/>
        </w:rPr>
        <w:t xml:space="preserve">1) process is given by IRF(h) = </w:t>
      </w:r>
      <w:proofErr w:type="spellStart"/>
      <w:r>
        <w:rPr>
          <w:rFonts w:eastAsia="Times New Roman"/>
        </w:rPr>
        <w:t>φʰ</w:t>
      </w:r>
      <w:proofErr w:type="spellEnd"/>
      <w:r>
        <w:rPr>
          <w:rFonts w:eastAsia="Times New Roman"/>
        </w:rPr>
        <w:t>, and the half-life of an affective perturbation, the number of time steps required for an external impulse to decay to half its initial magnitude, follows directly:</w:t>
      </w:r>
    </w:p>
    <w:p w14:paraId="51A07CBA" w14:textId="77777777" w:rsidR="00582997" w:rsidRDefault="00000000">
      <w:pPr>
        <w:spacing w:before="120" w:after="120" w:line="480" w:lineRule="auto"/>
        <w:ind w:left="720" w:right="720"/>
        <w:jc w:val="center"/>
      </w:pPr>
      <w:r>
        <w:rPr>
          <w:rFonts w:eastAsia="Times New Roman"/>
          <w:i/>
          <w:iCs/>
        </w:rPr>
        <w:t xml:space="preserve">half-life = </w:t>
      </w:r>
      <w:proofErr w:type="gramStart"/>
      <w:r>
        <w:rPr>
          <w:rFonts w:eastAsia="Times New Roman"/>
          <w:i/>
          <w:iCs/>
        </w:rPr>
        <w:t>log(</w:t>
      </w:r>
      <w:proofErr w:type="gramEnd"/>
      <w:r>
        <w:rPr>
          <w:rFonts w:eastAsia="Times New Roman"/>
          <w:i/>
          <w:iCs/>
        </w:rPr>
        <w:t>0.5) / log(φ)</w:t>
      </w:r>
    </w:p>
    <w:p w14:paraId="14DDC4AA" w14:textId="77777777" w:rsidR="00582997" w:rsidRDefault="00000000">
      <w:pPr>
        <w:spacing w:after="120" w:line="480" w:lineRule="auto"/>
        <w:ind w:firstLine="720"/>
        <w:jc w:val="both"/>
      </w:pPr>
      <w:r>
        <w:rPr>
          <w:rFonts w:eastAsia="Times New Roman"/>
        </w:rPr>
        <w:t xml:space="preserve">The IRF was computed at both the daily level and the observation level. The daily-level estimate used the </w:t>
      </w:r>
      <w:proofErr w:type="gramStart"/>
      <w:r>
        <w:rPr>
          <w:rFonts w:eastAsia="Times New Roman"/>
        </w:rPr>
        <w:t>AR(</w:t>
      </w:r>
      <w:proofErr w:type="gramEnd"/>
      <w:r>
        <w:rPr>
          <w:rFonts w:eastAsia="Times New Roman"/>
        </w:rPr>
        <w:t>1) coefficient fit on the full 70-day sample (</w:t>
      </w:r>
      <w:proofErr w:type="spellStart"/>
      <w:r>
        <w:rPr>
          <w:rFonts w:eastAsia="Times New Roman"/>
        </w:rPr>
        <w:t>φ_day</w:t>
      </w:r>
      <w:proofErr w:type="spellEnd"/>
      <w:r>
        <w:rPr>
          <w:rFonts w:eastAsia="Times New Roman"/>
        </w:rPr>
        <w:t>, full sample), which provides a more stable estimate of the system’s typical daily inertia than the Day 18–70 nested-model coefficient (</w:t>
      </w:r>
      <w:proofErr w:type="spellStart"/>
      <w:r>
        <w:rPr>
          <w:rFonts w:eastAsia="Times New Roman"/>
        </w:rPr>
        <w:t>φ_day</w:t>
      </w:r>
      <w:proofErr w:type="spellEnd"/>
      <w:r>
        <w:rPr>
          <w:rFonts w:eastAsia="Times New Roman"/>
        </w:rPr>
        <w:t>, nested) reported in M0. The observation-level estimate (</w:t>
      </w:r>
      <w:proofErr w:type="spellStart"/>
      <w:r>
        <w:rPr>
          <w:rFonts w:eastAsia="Times New Roman"/>
        </w:rPr>
        <w:t>φ_obs</w:t>
      </w:r>
      <w:proofErr w:type="spellEnd"/>
      <w:r>
        <w:rPr>
          <w:rFonts w:eastAsia="Times New Roman"/>
        </w:rPr>
        <w:t xml:space="preserve">) was fit on the </w:t>
      </w:r>
      <w:r>
        <w:rPr>
          <w:rFonts w:eastAsia="Times New Roman"/>
        </w:rPr>
        <w:lastRenderedPageBreak/>
        <w:t>full set of 193 EMA pings, ordered by timestamp; its half-life was converted to physical time using the median between-prompt interval. The choice of sample window for IRF estimation is reported in Appendix A.</w:t>
      </w:r>
    </w:p>
    <w:p w14:paraId="1ACE601D" w14:textId="77777777" w:rsidR="00582997" w:rsidRDefault="00000000">
      <w:pPr>
        <w:pStyle w:val="Heading3"/>
        <w:spacing w:line="480" w:lineRule="auto"/>
      </w:pPr>
      <w:r>
        <w:t>2.5.4 Incremental R² comparison</w:t>
      </w:r>
    </w:p>
    <w:p w14:paraId="7A49EE68" w14:textId="77777777" w:rsidR="00582997" w:rsidRDefault="00000000">
      <w:pPr>
        <w:spacing w:after="120" w:line="480" w:lineRule="auto"/>
        <w:ind w:firstLine="720"/>
        <w:jc w:val="both"/>
      </w:pPr>
      <w:r>
        <w:rPr>
          <w:rFonts w:eastAsia="Times New Roman"/>
        </w:rPr>
        <w:t>To quantify the internal-versus-external prediction, drop-one incremental R² was computed for each of the three predictors in M2:</w:t>
      </w:r>
    </w:p>
    <w:p w14:paraId="014BFCA1" w14:textId="77777777" w:rsidR="00582997" w:rsidRDefault="00000000">
      <w:pPr>
        <w:spacing w:before="120" w:after="120" w:line="480" w:lineRule="auto"/>
        <w:ind w:left="720" w:right="720"/>
        <w:jc w:val="center"/>
      </w:pPr>
      <w:r>
        <w:rPr>
          <w:rFonts w:eastAsia="Times New Roman"/>
          <w:i/>
          <w:iCs/>
        </w:rPr>
        <w:t>ΔR²(predictor) = R</w:t>
      </w:r>
      <w:proofErr w:type="gramStart"/>
      <w:r>
        <w:rPr>
          <w:rFonts w:eastAsia="Times New Roman"/>
          <w:i/>
          <w:iCs/>
        </w:rPr>
        <w:t>²(</w:t>
      </w:r>
      <w:proofErr w:type="gramEnd"/>
      <w:r>
        <w:rPr>
          <w:rFonts w:eastAsia="Times New Roman"/>
          <w:i/>
          <w:iCs/>
        </w:rPr>
        <w:t>M2 with predictor) − R</w:t>
      </w:r>
      <w:proofErr w:type="gramStart"/>
      <w:r>
        <w:rPr>
          <w:rFonts w:eastAsia="Times New Roman"/>
          <w:i/>
          <w:iCs/>
        </w:rPr>
        <w:t>²(</w:t>
      </w:r>
      <w:proofErr w:type="gramEnd"/>
      <w:r>
        <w:rPr>
          <w:rFonts w:eastAsia="Times New Roman"/>
          <w:i/>
          <w:iCs/>
        </w:rPr>
        <w:t>M2 without predictor)</w:t>
      </w:r>
    </w:p>
    <w:p w14:paraId="5B274EBB" w14:textId="77777777" w:rsidR="00582997" w:rsidRDefault="00000000">
      <w:pPr>
        <w:spacing w:after="120" w:line="480" w:lineRule="auto"/>
        <w:ind w:firstLine="720"/>
        <w:jc w:val="both"/>
      </w:pPr>
      <w:r>
        <w:rPr>
          <w:rFonts w:eastAsia="Times New Roman"/>
        </w:rPr>
        <w:t>This decomposition isolates the unique variance each predictor accounts for over and above the others, permitting direct comparison of the magnitudes of the agency and metacognition contributions to the magnitude of the melatonin contribution.</w:t>
      </w:r>
    </w:p>
    <w:p w14:paraId="0E043627" w14:textId="77777777" w:rsidR="00582997" w:rsidRDefault="00000000">
      <w:pPr>
        <w:pStyle w:val="Heading3"/>
        <w:spacing w:line="480" w:lineRule="auto"/>
      </w:pPr>
      <w:r>
        <w:t xml:space="preserve">2.5.5 </w:t>
      </w:r>
      <w:proofErr w:type="spellStart"/>
      <w:r>
        <w:t>Metacontrol</w:t>
      </w:r>
      <w:proofErr w:type="spellEnd"/>
      <w:r>
        <w:t xml:space="preserve"> interaction</w:t>
      </w:r>
    </w:p>
    <w:p w14:paraId="529E296B" w14:textId="77777777" w:rsidR="00582997" w:rsidRDefault="00000000">
      <w:pPr>
        <w:spacing w:after="120" w:line="480" w:lineRule="auto"/>
        <w:ind w:firstLine="720"/>
        <w:jc w:val="both"/>
      </w:pPr>
      <w:r>
        <w:rPr>
          <w:rFonts w:eastAsia="Times New Roman"/>
        </w:rPr>
        <w:t xml:space="preserve">The </w:t>
      </w:r>
      <w:proofErr w:type="spellStart"/>
      <w:r>
        <w:rPr>
          <w:rFonts w:eastAsia="Times New Roman"/>
        </w:rPr>
        <w:t>metacontrol</w:t>
      </w:r>
      <w:proofErr w:type="spellEnd"/>
      <w:r>
        <w:rPr>
          <w:rFonts w:eastAsia="Times New Roman"/>
        </w:rPr>
        <w:t xml:space="preserve"> hypothesis holds that metacognitive awareness moderates the system’s responsiveness to external perturbation. It was tested by adding a melatonin × metacognition interaction term, with metacognition mean-centered:</w:t>
      </w:r>
    </w:p>
    <w:p w14:paraId="18A7D101" w14:textId="77777777" w:rsidR="00582997" w:rsidRDefault="00000000">
      <w:pPr>
        <w:spacing w:before="120" w:after="120" w:line="480" w:lineRule="auto"/>
        <w:ind w:left="720" w:right="720"/>
        <w:jc w:val="center"/>
      </w:pPr>
      <w:r>
        <w:rPr>
          <w:rFonts w:eastAsia="Times New Roman"/>
          <w:i/>
          <w:iCs/>
        </w:rPr>
        <w:t xml:space="preserve">moodₜ = α + φ · moodₜ₋₁ + β₁ · melatoninₜ + β₂ · </w:t>
      </w:r>
      <w:proofErr w:type="spellStart"/>
      <w:r>
        <w:rPr>
          <w:rFonts w:eastAsia="Times New Roman"/>
          <w:i/>
          <w:iCs/>
        </w:rPr>
        <w:t>meta_c</w:t>
      </w:r>
      <w:proofErr w:type="spellEnd"/>
      <w:r>
        <w:rPr>
          <w:rFonts w:eastAsia="Times New Roman"/>
          <w:i/>
          <w:iCs/>
        </w:rPr>
        <w:t xml:space="preserve">ₜ + β₃ · (melatoninₜ × </w:t>
      </w:r>
      <w:proofErr w:type="spellStart"/>
      <w:r>
        <w:rPr>
          <w:rFonts w:eastAsia="Times New Roman"/>
          <w:i/>
          <w:iCs/>
        </w:rPr>
        <w:t>meta_c</w:t>
      </w:r>
      <w:proofErr w:type="spellEnd"/>
      <w:r>
        <w:rPr>
          <w:rFonts w:eastAsia="Times New Roman"/>
          <w:i/>
          <w:iCs/>
        </w:rPr>
        <w:t>ₜ) + εₜ</w:t>
      </w:r>
    </w:p>
    <w:p w14:paraId="7909D2C0" w14:textId="77777777" w:rsidR="00582997" w:rsidRDefault="00000000">
      <w:pPr>
        <w:spacing w:after="120" w:line="480" w:lineRule="auto"/>
        <w:ind w:firstLine="720"/>
        <w:jc w:val="both"/>
      </w:pPr>
      <w:r>
        <w:rPr>
          <w:rFonts w:eastAsia="Times New Roman"/>
        </w:rPr>
        <w:t xml:space="preserve">A negative β₃ is predicted by the </w:t>
      </w:r>
      <w:proofErr w:type="spellStart"/>
      <w:r>
        <w:rPr>
          <w:rFonts w:eastAsia="Times New Roman"/>
        </w:rPr>
        <w:t>metacontrol</w:t>
      </w:r>
      <w:proofErr w:type="spellEnd"/>
      <w:r>
        <w:rPr>
          <w:rFonts w:eastAsia="Times New Roman"/>
        </w:rPr>
        <w:t xml:space="preserve"> hypothesis: higher metacognition would attenuate the system’s sensitivity to the external probe. Simple slopes for melatonin were computed at −1 SD, the mean, and +1 SD of metacognition.</w:t>
      </w:r>
    </w:p>
    <w:p w14:paraId="08E70338" w14:textId="77777777" w:rsidR="00582997" w:rsidRDefault="00000000">
      <w:pPr>
        <w:pStyle w:val="Heading3"/>
        <w:spacing w:line="480" w:lineRule="auto"/>
      </w:pPr>
      <w:r>
        <w:t>2.5.6 Affective variability</w:t>
      </w:r>
    </w:p>
    <w:p w14:paraId="21732B60" w14:textId="77777777" w:rsidR="00582997" w:rsidRDefault="00000000">
      <w:pPr>
        <w:spacing w:after="120" w:line="480" w:lineRule="auto"/>
        <w:ind w:firstLine="720"/>
        <w:jc w:val="both"/>
      </w:pPr>
      <w:r>
        <w:rPr>
          <w:rFonts w:eastAsia="Times New Roman"/>
        </w:rPr>
        <w:lastRenderedPageBreak/>
        <w:t xml:space="preserve">In addition to the </w:t>
      </w:r>
      <w:proofErr w:type="gramStart"/>
      <w:r>
        <w:rPr>
          <w:rFonts w:eastAsia="Times New Roman"/>
        </w:rPr>
        <w:t>mean-shift</w:t>
      </w:r>
      <w:proofErr w:type="gramEnd"/>
      <w:r>
        <w:rPr>
          <w:rFonts w:eastAsia="Times New Roman"/>
        </w:rPr>
        <w:t xml:space="preserve"> analyses above, three descriptive indices of mood variability were computed by condition: (a) the standard deviation of daily mean mood within each condition; (b) the mean squared successive difference (MSSD; Jahng, Wood, &amp; Trull, 2008), computed within contiguous within-condition runs of EMA observations and averaged across runs; and (c) the standard deviation of all momentary mood observations within each condition. Differences between conditions were tested with the Brown–Forsythe Levene test of homogeneity of variance and with a Welch comparison of run-level MSSD.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14:paraId="5A53C5E9" w14:textId="77777777" w:rsidR="00582997" w:rsidRDefault="00000000">
      <w:pPr>
        <w:pStyle w:val="Heading3"/>
        <w:spacing w:line="480" w:lineRule="auto"/>
      </w:pPr>
      <w:r>
        <w:t>2.5.7 State-dependent decay (sensitivity)</w:t>
      </w:r>
    </w:p>
    <w:p w14:paraId="5ADC52C9" w14:textId="77777777" w:rsidR="00582997" w:rsidRDefault="00000000">
      <w:pPr>
        <w:spacing w:after="120" w:line="480" w:lineRule="auto"/>
        <w:ind w:firstLine="720"/>
        <w:jc w:val="both"/>
      </w:pPr>
      <w:r>
        <w:rPr>
          <w:rFonts w:eastAsia="Times New Roman"/>
        </w:rPr>
        <w:t xml:space="preserve">To examine whether the </w:t>
      </w:r>
      <w:proofErr w:type="gramStart"/>
      <w:r>
        <w:rPr>
          <w:rFonts w:eastAsia="Times New Roman"/>
        </w:rPr>
        <w:t>AR(</w:t>
      </w:r>
      <w:proofErr w:type="gramEnd"/>
      <w:r>
        <w:rPr>
          <w:rFonts w:eastAsia="Times New Roman"/>
        </w:rPr>
        <w:t>1) decay rate itself differs by condition, the M0 specification was augmented with a melatonin × moodₜ₋₁ interaction:</w:t>
      </w:r>
    </w:p>
    <w:p w14:paraId="5160CC60" w14:textId="77777777" w:rsidR="00582997" w:rsidRDefault="00000000">
      <w:pPr>
        <w:spacing w:before="120" w:after="120" w:line="480" w:lineRule="auto"/>
        <w:ind w:left="720" w:right="720"/>
        <w:jc w:val="center"/>
      </w:pPr>
      <w:r>
        <w:rPr>
          <w:rFonts w:eastAsia="Times New Roman"/>
          <w:i/>
          <w:iCs/>
        </w:rPr>
        <w:t>moodₜ = α + φ₀ · moodₜ₋₁ + β · melatoninₜ + δ · (melatoninₜ × moodₜ₋₁) + εₜ</w:t>
      </w:r>
    </w:p>
    <w:p w14:paraId="098D532C" w14:textId="77777777" w:rsidR="00582997" w:rsidRDefault="00000000">
      <w:pPr>
        <w:spacing w:after="120" w:line="480" w:lineRule="auto"/>
        <w:ind w:firstLine="720"/>
        <w:jc w:val="both"/>
      </w:pPr>
      <w:r>
        <w:rPr>
          <w:rFonts w:eastAsia="Times New Roman"/>
        </w:rPr>
        <w:t>The implied φ in each condition is then φ₀ (control) and φ₀ + δ (melatonin). A negative δ would indicate that perturbations decay faster on melatonin days, that is, that the system recovers more quickly. This analysis is reported as a sensitivity check rather than a primary test.</w:t>
      </w:r>
    </w:p>
    <w:p w14:paraId="0DBC7FBA" w14:textId="77777777" w:rsidR="00582997" w:rsidRDefault="00000000">
      <w:pPr>
        <w:pStyle w:val="Heading3"/>
        <w:spacing w:line="480" w:lineRule="auto"/>
      </w:pPr>
      <w:r>
        <w:t>2.5.8 Robustness check</w:t>
      </w:r>
    </w:p>
    <w:p w14:paraId="137CB3A7" w14:textId="77777777" w:rsidR="00582997" w:rsidRDefault="00000000">
      <w:pPr>
        <w:spacing w:after="120" w:line="480" w:lineRule="auto"/>
        <w:ind w:firstLine="720"/>
        <w:jc w:val="both"/>
      </w:pPr>
      <w:r>
        <w:rPr>
          <w:rFonts w:eastAsia="Times New Roman"/>
        </w:rPr>
        <w:t>One robustness check was performed: an agency × melatonin interaction term was added to the M2 framework to test whether the agency–mood association differed between conditions. Results are reported in Section 3.4.</w:t>
      </w:r>
    </w:p>
    <w:p w14:paraId="3204C02C" w14:textId="77777777" w:rsidR="00582997" w:rsidRDefault="00000000">
      <w:pPr>
        <w:pStyle w:val="Heading3"/>
        <w:spacing w:line="480" w:lineRule="auto"/>
      </w:pPr>
      <w:r>
        <w:t>2.5.9 Multilevel (</w:t>
      </w:r>
      <w:proofErr w:type="gramStart"/>
      <w:r>
        <w:t>mixed-effects</w:t>
      </w:r>
      <w:proofErr w:type="gramEnd"/>
      <w:r>
        <w:t>) robustness analysis</w:t>
      </w:r>
    </w:p>
    <w:p w14:paraId="7B4D1BCB" w14:textId="77777777" w:rsidR="00582997" w:rsidRDefault="00000000">
      <w:pPr>
        <w:spacing w:after="120" w:line="480" w:lineRule="auto"/>
        <w:ind w:firstLine="720"/>
        <w:jc w:val="both"/>
      </w:pPr>
      <w:r>
        <w:rPr>
          <w:rFonts w:eastAsia="Times New Roman"/>
        </w:rPr>
        <w:lastRenderedPageBreak/>
        <w:t>The primary models in Section 2.5.1 were fit to daily mean mood, collapsing the up-to-three momentary observations recorded each day into a single value. Although this aggregation stabilizes daily estimates, it discards within-day variation and treats each day as a single observation. The comparison was therefore re-estimated at the momentary level. A linear mixed-effects model retained every EMA observation and accounted for its nesting within days. Momentary mood was regressed on momentary agency and momentary metacognitive awareness (both grand-mean-centered) and the day’s melatonin indicator, with a random intercept for day:</w:t>
      </w:r>
    </w:p>
    <w:p w14:paraId="58302358" w14:textId="77777777" w:rsidR="00582997" w:rsidRDefault="00000000">
      <w:pPr>
        <w:spacing w:after="120" w:line="480" w:lineRule="auto"/>
        <w:jc w:val="center"/>
      </w:pPr>
      <w:r>
        <w:rPr>
          <w:rFonts w:eastAsia="Times New Roman"/>
        </w:rPr>
        <w:t xml:space="preserve">moodᵢⱼ = γ₀₀ + γ₁₀ · agencyᵢⱼ + γ₂₀ · metacognitionᵢⱼ + γ₃₀ · melatoninⱼ + u₀ⱼ + </w:t>
      </w:r>
      <w:proofErr w:type="gramStart"/>
      <w:r>
        <w:rPr>
          <w:rFonts w:eastAsia="Times New Roman"/>
        </w:rPr>
        <w:t>eᵢⱼ ,</w:t>
      </w:r>
      <w:proofErr w:type="gramEnd"/>
    </w:p>
    <w:p w14:paraId="49C8D6B0" w14:textId="77777777" w:rsidR="00582997" w:rsidRDefault="00000000">
      <w:pPr>
        <w:spacing w:after="120" w:line="480" w:lineRule="auto"/>
        <w:ind w:firstLine="720"/>
        <w:jc w:val="both"/>
      </w:pPr>
      <w:r>
        <w:rPr>
          <w:rFonts w:eastAsia="Times New Roman"/>
        </w:rPr>
        <w:t xml:space="preserve">where </w:t>
      </w:r>
      <w:proofErr w:type="spellStart"/>
      <w:r>
        <w:rPr>
          <w:rFonts w:eastAsia="Times New Roman"/>
        </w:rPr>
        <w:t>i</w:t>
      </w:r>
      <w:proofErr w:type="spellEnd"/>
      <w:r>
        <w:rPr>
          <w:rFonts w:eastAsia="Times New Roman"/>
        </w:rPr>
        <w:t xml:space="preserve"> indexes the momentary observation within day j, u₀ⱼ ~ </w:t>
      </w:r>
      <w:proofErr w:type="gramStart"/>
      <w:r>
        <w:rPr>
          <w:rFonts w:eastAsia="Times New Roman"/>
        </w:rPr>
        <w:t>N(</w:t>
      </w:r>
      <w:proofErr w:type="gramEnd"/>
      <w:r>
        <w:rPr>
          <w:rFonts w:eastAsia="Times New Roman"/>
        </w:rPr>
        <w:t xml:space="preserve">0, τ₀₀) is the day-level random intercept, and eᵢⱼ ~ </w:t>
      </w:r>
      <w:proofErr w:type="gramStart"/>
      <w:r>
        <w:rPr>
          <w:rFonts w:eastAsia="Times New Roman"/>
        </w:rPr>
        <w:t>N(</w:t>
      </w:r>
      <w:proofErr w:type="gramEnd"/>
      <w:r>
        <w:rPr>
          <w:rFonts w:eastAsia="Times New Roman"/>
        </w:rPr>
        <w:t xml:space="preserve">0, σ²) is the within-day residual. The random intercept absorbs the between-day dependence that daily aggregation had otherwise handled by collapsing each day to its mean. Models were fit by restricted maximum likelihood in R 4.5 using lme4 (Bates, </w:t>
      </w:r>
      <w:proofErr w:type="spellStart"/>
      <w:r>
        <w:rPr>
          <w:rFonts w:eastAsia="Times New Roman"/>
        </w:rPr>
        <w:t>Mächler</w:t>
      </w:r>
      <w:proofErr w:type="spellEnd"/>
      <w:r>
        <w:rPr>
          <w:rFonts w:eastAsia="Times New Roman"/>
        </w:rPr>
        <w:t xml:space="preserve">, Bolker, &amp; Walker, 2015), with Satterthwaite-approximated </w:t>
      </w:r>
      <w:r>
        <w:rPr>
          <w:rFonts w:eastAsia="Times New Roman"/>
          <w:i/>
        </w:rPr>
        <w:t>p</w:t>
      </w:r>
      <w:r>
        <w:rPr>
          <w:rFonts w:eastAsia="Times New Roman"/>
        </w:rPr>
        <w:t xml:space="preserve">-values from </w:t>
      </w:r>
      <w:proofErr w:type="spellStart"/>
      <w:r>
        <w:rPr>
          <w:rFonts w:eastAsia="Times New Roman"/>
        </w:rPr>
        <w:t>lmerTest</w:t>
      </w:r>
      <w:proofErr w:type="spellEnd"/>
      <w:r>
        <w:rPr>
          <w:rFonts w:eastAsia="Times New Roman"/>
        </w:rPr>
        <w:t xml:space="preserve">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14:paraId="38E0F11C" w14:textId="77777777" w:rsidR="00582997" w:rsidRDefault="00000000">
      <w:pPr>
        <w:pStyle w:val="Heading3"/>
        <w:spacing w:line="480" w:lineRule="auto"/>
      </w:pPr>
      <w:r>
        <w:t>2.5.10 Equivalence test for the melatonin mean effect</w:t>
      </w:r>
    </w:p>
    <w:p w14:paraId="288E8A7A" w14:textId="77777777" w:rsidR="00582997" w:rsidRDefault="00000000">
      <w:pPr>
        <w:spacing w:after="120" w:line="480" w:lineRule="auto"/>
        <w:ind w:firstLine="720"/>
        <w:jc w:val="both"/>
      </w:pPr>
      <w:r>
        <w:rPr>
          <w:rFonts w:eastAsia="Times New Roman"/>
        </w:rPr>
        <w:t>Because a non-significant mean difference does not by itself establish the absence of a meaningful effect, the melatonin mean effect was also evaluated with a two one-sided tests (TOST) equivalence procedure (</w:t>
      </w:r>
      <w:proofErr w:type="spellStart"/>
      <w:r>
        <w:rPr>
          <w:rFonts w:eastAsia="Times New Roman"/>
        </w:rPr>
        <w:t>Lakens</w:t>
      </w:r>
      <w:proofErr w:type="spellEnd"/>
      <w:r>
        <w:rPr>
          <w:rFonts w:eastAsia="Times New Roman"/>
        </w:rPr>
        <w:t xml:space="preserve">, 2017). </w:t>
      </w:r>
      <w:proofErr w:type="gramStart"/>
      <w:r>
        <w:rPr>
          <w:rFonts w:eastAsia="Times New Roman"/>
        </w:rPr>
        <w:t>A</w:t>
      </w:r>
      <w:proofErr w:type="gramEnd"/>
      <w:r>
        <w:rPr>
          <w:rFonts w:eastAsia="Times New Roman"/>
        </w:rPr>
        <w:t xml:space="preserve"> smallest effect size of interest (SESOI) of ±5 points on the 0–100 mood scale was defined for this analysis as the smallest day-level mean shift judged practically meaningful for this individual, approximately 0.9 of the daily mood standard deviation. </w:t>
      </w:r>
      <w:r>
        <w:rPr>
          <w:rFonts w:eastAsia="Times New Roman"/>
        </w:rPr>
        <w:lastRenderedPageBreak/>
        <w:t>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14:paraId="7F6332D9" w14:textId="77777777" w:rsidR="00582997" w:rsidRDefault="00000000">
      <w:pPr>
        <w:pStyle w:val="Heading3"/>
        <w:spacing w:line="480" w:lineRule="auto"/>
      </w:pPr>
      <w:r>
        <w:t>Software</w:t>
      </w:r>
    </w:p>
    <w:p w14:paraId="1BA2A871" w14:textId="77777777" w:rsidR="00582997" w:rsidRDefault="00000000">
      <w:pPr>
        <w:spacing w:after="120" w:line="480" w:lineRule="auto"/>
        <w:ind w:firstLine="720"/>
        <w:jc w:val="both"/>
      </w:pPr>
      <w:r>
        <w:rPr>
          <w:rFonts w:eastAsia="Times New Roman"/>
        </w:rPr>
        <w:t xml:space="preserve">Primary analyses were performed in Python 3.11 using </w:t>
      </w:r>
      <w:proofErr w:type="spellStart"/>
      <w:r>
        <w:rPr>
          <w:rFonts w:eastAsia="Times New Roman"/>
        </w:rPr>
        <w:t>statsmodels</w:t>
      </w:r>
      <w:proofErr w:type="spellEnd"/>
      <w:r>
        <w:rPr>
          <w:rFonts w:eastAsia="Times New Roman"/>
        </w:rPr>
        <w:t xml:space="preserve"> (Seabold &amp; </w:t>
      </w:r>
      <w:proofErr w:type="spellStart"/>
      <w:r>
        <w:rPr>
          <w:rFonts w:eastAsia="Times New Roman"/>
        </w:rPr>
        <w:t>Perktold</w:t>
      </w:r>
      <w:proofErr w:type="spellEnd"/>
      <w:r>
        <w:rPr>
          <w:rFonts w:eastAsia="Times New Roman"/>
        </w:rPr>
        <w:t xml:space="preserve">, 2010) for OLS and state-space modeling, </w:t>
      </w:r>
      <w:proofErr w:type="spellStart"/>
      <w:proofErr w:type="gramStart"/>
      <w:r>
        <w:rPr>
          <w:rFonts w:eastAsia="Times New Roman"/>
        </w:rPr>
        <w:t>scipy.stats</w:t>
      </w:r>
      <w:proofErr w:type="spellEnd"/>
      <w:proofErr w:type="gramEnd"/>
      <w:r>
        <w:rPr>
          <w:rFonts w:eastAsia="Times New Roman"/>
        </w:rPr>
        <w:t xml:space="preserve"> for nonparametric tests, and pandas and NumPy for data handling. Figures were produced with matplotlib. Analysis code is available in the project repository described in Section 9. The multilevel robustness models (Section 3.4; Appendix B) were fit in R 4.5 using lme4 (Bates et al., 2015) and </w:t>
      </w:r>
      <w:proofErr w:type="spellStart"/>
      <w:r>
        <w:rPr>
          <w:rFonts w:eastAsia="Times New Roman"/>
        </w:rPr>
        <w:t>lmerTest</w:t>
      </w:r>
      <w:proofErr w:type="spellEnd"/>
      <w:r>
        <w:rPr>
          <w:rFonts w:eastAsia="Times New Roman"/>
        </w:rPr>
        <w:t xml:space="preserve"> (Kuznetsova et al., 2017). The equivalence test (Section 2.5.10) was computed in R 4.5 using the TOSTER package (</w:t>
      </w:r>
      <w:proofErr w:type="spellStart"/>
      <w:r>
        <w:rPr>
          <w:rFonts w:eastAsia="Times New Roman"/>
        </w:rPr>
        <w:t>Lakens</w:t>
      </w:r>
      <w:proofErr w:type="spellEnd"/>
      <w:r>
        <w:rPr>
          <w:rFonts w:eastAsia="Times New Roman"/>
        </w:rPr>
        <w:t>, 2017).</w:t>
      </w:r>
    </w:p>
    <w:p w14:paraId="4A24C966" w14:textId="77777777" w:rsidR="00582997" w:rsidRDefault="00000000">
      <w:pPr>
        <w:pStyle w:val="Heading1"/>
        <w:spacing w:line="480" w:lineRule="auto"/>
      </w:pPr>
      <w:r>
        <w:t>3. Results</w:t>
      </w:r>
    </w:p>
    <w:p w14:paraId="004F1970" w14:textId="77777777" w:rsidR="00582997" w:rsidRDefault="00000000">
      <w:pPr>
        <w:pStyle w:val="Heading2"/>
        <w:spacing w:line="480" w:lineRule="auto"/>
      </w:pPr>
      <w:r>
        <w:t>3.1 Sample and Descriptive Statistics</w:t>
      </w:r>
    </w:p>
    <w:p w14:paraId="758F86D2" w14:textId="77777777" w:rsidR="00582997" w:rsidRDefault="00000000">
      <w:pPr>
        <w:spacing w:after="120" w:line="480" w:lineRule="auto"/>
        <w:ind w:firstLine="720"/>
        <w:jc w:val="both"/>
      </w:pPr>
      <w:r>
        <w:rPr>
          <w:rFonts w:eastAsia="Times New Roman"/>
        </w:rPr>
        <w:t xml:space="preserve">The raw EMA log contained 195 records. Of these, 193 filled one of the 210 prompt slots planned across the 70-day study window (2026-02-18 to 2026-04-29), a scheduled-response compliance of 91.9% (55 study days with three scheduled observations, 13 with two, and 2 with one). Two further records were entered on April 3, after that study day’s three prompts had been completed the previous day; they remain in the archived raw log and were excluded from all analyses. As described in Section 2.3, the protocol’s 70-day randomized schedule yielded 35 control and 35 </w:t>
      </w:r>
      <w:r>
        <w:rPr>
          <w:rFonts w:eastAsia="Times New Roman"/>
        </w:rPr>
        <w:lastRenderedPageBreak/>
        <w:t>melatonin study days. Within the Day 18–70 window in which agency and metacognition were also collected, 27 control and 26 melatonin days yielded 142 complete observations.</w:t>
      </w:r>
    </w:p>
    <w:p w14:paraId="1E341BC8" w14:textId="77777777" w:rsidR="00582997" w:rsidRDefault="00000000">
      <w:pPr>
        <w:spacing w:after="120" w:line="480" w:lineRule="auto"/>
        <w:ind w:firstLine="720"/>
        <w:jc w:val="both"/>
      </w:pPr>
      <w:r>
        <w:rPr>
          <w:rFonts w:eastAsia="Times New Roman"/>
        </w:rPr>
        <w:t>Daily mean mood was high overall (M = 77.10, SD = 5.49), with a range from 60.00 to 86.50 across the 70-day window. By condition, daily mood averaged 76.67 (SD = 6.41) on control days and 77.53 (SD = 4.42) on melatonin days. Within the Day 18–70 window, daily agency averaged 77.71 (SD = 4.50) on control days and 78.48 (SD = 3.18) on melatonin days. Daily metacognition averaged 79.39 (SD = 3.98) on control days and 80.11 (SD = 3.32) on melatonin days. The descriptive time series of daily mean mood and of all 193 momentary mood observations are shown in Figures 1 and 2, respectively, with melatonin and control days color-coded.</w:t>
      </w:r>
    </w:p>
    <w:p w14:paraId="501A8253" w14:textId="77777777" w:rsidR="00582997" w:rsidRDefault="00000000">
      <w:pPr>
        <w:spacing w:before="240" w:after="60"/>
        <w:jc w:val="center"/>
      </w:pPr>
      <w:r>
        <w:rPr>
          <w:noProof/>
        </w:rPr>
        <w:drawing>
          <wp:inline distT="0" distB="0" distL="0" distR="0" wp14:anchorId="2CA580AB" wp14:editId="6445EEDE">
            <wp:extent cx="5138208" cy="2245587"/>
            <wp:effectExtent l="0" t="0" r="0" b="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38208" cy="2245587"/>
                    </a:xfrm>
                    <a:prstGeom prst="rect">
                      <a:avLst/>
                    </a:prstGeom>
                  </pic:spPr>
                </pic:pic>
              </a:graphicData>
            </a:graphic>
          </wp:inline>
        </w:drawing>
      </w:r>
    </w:p>
    <w:p w14:paraId="24068C9C" w14:textId="77777777" w:rsidR="00582997" w:rsidRDefault="00000000">
      <w:pPr>
        <w:spacing w:before="120" w:after="60" w:line="480" w:lineRule="auto"/>
        <w:jc w:val="both"/>
      </w:pPr>
      <w:r>
        <w:rPr>
          <w:rFonts w:eastAsia="Times New Roman"/>
          <w:b/>
          <w:bCs/>
          <w:sz w:val="22"/>
          <w:szCs w:val="22"/>
        </w:rPr>
        <w:t>Figure 1.</w:t>
      </w:r>
      <w:r>
        <w:rPr>
          <w:rFonts w:eastAsia="Times New Roman"/>
          <w:bCs/>
          <w:sz w:val="22"/>
          <w:szCs w:val="22"/>
        </w:rPr>
        <w:t xml:space="preserve"> Daily mean mood across the 70-day window.</w:t>
      </w:r>
    </w:p>
    <w:p w14:paraId="2A4D0A13"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14:paraId="688846BA" w14:textId="77777777" w:rsidR="00582997" w:rsidRDefault="00000000">
      <w:pPr>
        <w:spacing w:before="240" w:after="60"/>
        <w:jc w:val="center"/>
      </w:pPr>
      <w:r>
        <w:rPr>
          <w:noProof/>
        </w:rPr>
        <w:lastRenderedPageBreak/>
        <w:drawing>
          <wp:inline distT="0" distB="0" distL="0" distR="0" wp14:anchorId="69E9B72D" wp14:editId="46253534">
            <wp:extent cx="5138208" cy="2245587"/>
            <wp:effectExtent l="0" t="0" r="0" b="0"/>
            <wp:docPr id="737024883"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38208" cy="2245587"/>
                    </a:xfrm>
                    <a:prstGeom prst="rect">
                      <a:avLst/>
                    </a:prstGeom>
                  </pic:spPr>
                </pic:pic>
              </a:graphicData>
            </a:graphic>
          </wp:inline>
        </w:drawing>
      </w:r>
    </w:p>
    <w:p w14:paraId="4F0E46E1" w14:textId="77777777" w:rsidR="00582997" w:rsidRDefault="00000000">
      <w:pPr>
        <w:spacing w:before="120" w:after="60" w:line="480" w:lineRule="auto"/>
        <w:jc w:val="both"/>
      </w:pPr>
      <w:r>
        <w:rPr>
          <w:rFonts w:eastAsia="Times New Roman"/>
          <w:b/>
          <w:bCs/>
          <w:sz w:val="22"/>
          <w:szCs w:val="22"/>
        </w:rPr>
        <w:t>Figure 2.</w:t>
      </w:r>
      <w:r>
        <w:rPr>
          <w:rFonts w:eastAsia="Times New Roman"/>
          <w:bCs/>
          <w:sz w:val="22"/>
          <w:szCs w:val="22"/>
        </w:rPr>
        <w:t xml:space="preserve"> All momentary mood observations with 7-day rolling mean.</w:t>
      </w:r>
    </w:p>
    <w:p w14:paraId="71C2027F"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All 193 scheduled momentary mood observations are colored by daily condition. The dark line shows the 7-day rolling mean, indicating a gradual upward trend that stabilizes from approximately Day 40 onward.</w:t>
      </w:r>
    </w:p>
    <w:p w14:paraId="3AE6BD65" w14:textId="77777777" w:rsidR="00582997" w:rsidRDefault="00000000">
      <w:pPr>
        <w:pStyle w:val="Heading2"/>
        <w:spacing w:line="480" w:lineRule="auto"/>
      </w:pPr>
      <w:r>
        <w:t>3.2 Internal Drivers as Primary Predictors of Daily Mood</w:t>
      </w:r>
    </w:p>
    <w:p w14:paraId="40FC9DE3" w14:textId="77777777" w:rsidR="00582997" w:rsidRDefault="00000000">
      <w:pPr>
        <w:spacing w:after="120" w:line="480" w:lineRule="auto"/>
        <w:ind w:firstLine="720"/>
        <w:jc w:val="both"/>
      </w:pPr>
      <w:r>
        <w:rPr>
          <w:rFonts w:eastAsia="Times New Roman"/>
        </w:rPr>
        <w:t xml:space="preserve">Three nested autoregressive models were fit to daily mean mood on the Day 18–70 subsample (n = 53 days; Table 1). The baseline </w:t>
      </w:r>
      <w:proofErr w:type="gramStart"/>
      <w:r>
        <w:rPr>
          <w:rFonts w:eastAsia="Times New Roman"/>
        </w:rPr>
        <w:t>AR(</w:t>
      </w:r>
      <w:proofErr w:type="gramEnd"/>
      <w:r>
        <w:rPr>
          <w:rFonts w:eastAsia="Times New Roman"/>
        </w:rPr>
        <w:t xml:space="preserve">1) model (M0) yielded φ = 0.33, 95% CI [0.06, 0.60], </w:t>
      </w:r>
      <w:r>
        <w:rPr>
          <w:rFonts w:eastAsia="Times New Roman"/>
          <w:i/>
        </w:rPr>
        <w:t>p</w:t>
      </w:r>
      <w:r>
        <w:rPr>
          <w:rFonts w:eastAsia="Times New Roman"/>
        </w:rPr>
        <w:t xml:space="preserve"> = .016, accounting for 10.9% of the variance in daily mood and confirming the presence of day-to-day emotional inertia. Adding the melatonin probe (M1) increased explained variance only marginally (R² = 0.116, ΔR² = 0.007; β = 0.62, 95% CI [−1.35, 2.60], </w:t>
      </w:r>
      <w:r>
        <w:rPr>
          <w:rFonts w:eastAsia="Times New Roman"/>
          <w:i/>
        </w:rPr>
        <w:t>p</w:t>
      </w:r>
      <w:r>
        <w:rPr>
          <w:rFonts w:eastAsia="Times New Roman"/>
        </w:rPr>
        <w:t xml:space="preserve"> = .530). Adding the two internal drivers (M2) increased explained variance dramatically (R² = 0.644, adjusted R² = 0.614).</w:t>
      </w:r>
    </w:p>
    <w:p w14:paraId="3641F145" w14:textId="77777777" w:rsidR="00582997" w:rsidRDefault="00000000">
      <w:pPr>
        <w:spacing w:after="120" w:line="480" w:lineRule="auto"/>
        <w:ind w:firstLine="720"/>
        <w:jc w:val="both"/>
      </w:pPr>
      <w:r>
        <w:rPr>
          <w:rFonts w:eastAsia="Times New Roman"/>
        </w:rPr>
        <w:t xml:space="preserve">In the full M2 model, agency emerged as a strong positive predictor of daily mood (β = 0.52, 95% CI [0.32, 0.73], </w:t>
      </w:r>
      <w:r>
        <w:rPr>
          <w:rFonts w:eastAsia="Times New Roman"/>
          <w:i/>
        </w:rPr>
        <w:t>p</w:t>
      </w:r>
      <w:r>
        <w:rPr>
          <w:rFonts w:eastAsia="Times New Roman"/>
        </w:rPr>
        <w:t xml:space="preserve"> &lt; .001), as did metacognition (β = 0.46, 95% CI [0.23, 0.69], </w:t>
      </w:r>
      <w:r>
        <w:rPr>
          <w:rFonts w:eastAsia="Times New Roman"/>
          <w:i/>
        </w:rPr>
        <w:t>p</w:t>
      </w:r>
      <w:r>
        <w:rPr>
          <w:rFonts w:eastAsia="Times New Roman"/>
        </w:rPr>
        <w:t xml:space="preserve"> &lt; .001). The melatonin coefficient was estimated near zero (β = −0.09, 95% CI [−1.38, 1.20], </w:t>
      </w:r>
      <w:r>
        <w:rPr>
          <w:rFonts w:eastAsia="Times New Roman"/>
          <w:i/>
        </w:rPr>
        <w:t>p</w:t>
      </w:r>
      <w:r>
        <w:rPr>
          <w:rFonts w:eastAsia="Times New Roman"/>
        </w:rPr>
        <w:t xml:space="preserve"> = .886). The autoregressive coefficient flipped sign in the full model and was no longer reliably distinguishable from zero (β = −0.15, 95% CI [−0.36, 0.06], </w:t>
      </w:r>
      <w:r>
        <w:rPr>
          <w:rFonts w:eastAsia="Times New Roman"/>
          <w:i/>
        </w:rPr>
        <w:t>p</w:t>
      </w:r>
      <w:r>
        <w:rPr>
          <w:rFonts w:eastAsia="Times New Roman"/>
        </w:rPr>
        <w:t xml:space="preserve"> = .156). This suggests that the apparent emotional inertia detected by M0 was substantially absorbed by the two internal drivers once they were </w:t>
      </w:r>
      <w:r>
        <w:rPr>
          <w:rFonts w:eastAsia="Times New Roman"/>
        </w:rPr>
        <w:lastRenderedPageBreak/>
        <w:t>included as predictors. Collinearity diagnostics did not indicate problematic collinearity as an alternative account of that change: variance inflation factors in M2 stayed below 1.8 for every predictor (highest 1.73, for metacognition), and the condition number of the standardized predictor matrix was 2.22.</w:t>
      </w:r>
    </w:p>
    <w:p w14:paraId="1AD1BBCF" w14:textId="77777777" w:rsidR="00582997" w:rsidRDefault="00000000">
      <w:pPr>
        <w:spacing w:before="240" w:after="60" w:line="480" w:lineRule="auto"/>
      </w:pPr>
      <w:r>
        <w:rPr>
          <w:rFonts w:eastAsia="Times New Roman"/>
          <w:b/>
          <w:bCs/>
          <w:iCs/>
          <w:sz w:val="22"/>
          <w:szCs w:val="22"/>
        </w:rPr>
        <w:t>Table 1.</w:t>
      </w:r>
      <w:r>
        <w:rPr>
          <w:rFonts w:eastAsia="Times New Roman"/>
          <w:bCs/>
          <w:iCs/>
          <w:sz w:val="22"/>
          <w:szCs w:val="22"/>
        </w:rPr>
        <w:t xml:space="preserve"> Coefficient estimates for nested autoregressive models of daily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100"/>
        <w:gridCol w:w="1100"/>
        <w:gridCol w:w="3000"/>
        <w:gridCol w:w="1760"/>
      </w:tblGrid>
      <w:tr w:rsidR="00582997" w14:paraId="4B2A5FC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7B1EC292" w14:textId="77777777" w:rsidR="00582997" w:rsidRDefault="00000000">
            <w:r>
              <w:rPr>
                <w:rFonts w:eastAsia="Times New Roman"/>
                <w:b/>
                <w:bCs/>
                <w:sz w:val="20"/>
                <w:szCs w:val="20"/>
              </w:rPr>
              <w:t>Term</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61B5B17" w14:textId="77777777" w:rsidR="00582997" w:rsidRDefault="00000000">
            <w:pPr>
              <w:jc w:val="center"/>
            </w:pPr>
            <w:r>
              <w:rPr>
                <w:rFonts w:eastAsia="Times New Roman"/>
                <w:b/>
                <w:bCs/>
                <w:sz w:val="20"/>
                <w:szCs w:val="20"/>
              </w:rPr>
              <w:t>β</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2826B87" w14:textId="77777777" w:rsidR="00582997" w:rsidRDefault="00000000">
            <w:pPr>
              <w:jc w:val="center"/>
            </w:pPr>
            <w:r>
              <w:rPr>
                <w:rFonts w:eastAsia="Times New Roman"/>
                <w:b/>
                <w:bCs/>
                <w:sz w:val="20"/>
                <w:szCs w:val="20"/>
              </w:rPr>
              <w:t>SE</w:t>
            </w:r>
          </w:p>
        </w:tc>
        <w:tc>
          <w:tcPr>
            <w:tcW w:w="30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06402A5" w14:textId="77777777" w:rsidR="00582997" w:rsidRDefault="00000000">
            <w:pPr>
              <w:jc w:val="center"/>
            </w:pPr>
            <w:r>
              <w:rPr>
                <w:rFonts w:eastAsia="Times New Roman"/>
                <w:b/>
                <w:bCs/>
                <w:sz w:val="20"/>
                <w:szCs w:val="20"/>
              </w:rPr>
              <w:t>95% CI</w:t>
            </w:r>
          </w:p>
        </w:tc>
        <w:tc>
          <w:tcPr>
            <w:tcW w:w="17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7C63D4C" w14:textId="77777777" w:rsidR="00582997" w:rsidRDefault="00000000">
            <w:pPr>
              <w:jc w:val="center"/>
            </w:pPr>
            <w:r>
              <w:rPr>
                <w:rFonts w:eastAsia="Times New Roman"/>
                <w:b/>
                <w:bCs/>
                <w:i/>
                <w:sz w:val="20"/>
                <w:szCs w:val="20"/>
              </w:rPr>
              <w:t>p</w:t>
            </w:r>
          </w:p>
        </w:tc>
      </w:tr>
      <w:tr w:rsidR="00582997" w14:paraId="0BC7D432"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3A946F6" w14:textId="77777777" w:rsidR="00582997" w:rsidRDefault="00000000">
            <w:r>
              <w:rPr>
                <w:rFonts w:eastAsia="Times New Roman"/>
                <w:sz w:val="20"/>
                <w:szCs w:val="20"/>
              </w:rPr>
              <w:t>M0: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1413E7" w14:textId="77777777" w:rsidR="00582997" w:rsidRDefault="00000000">
            <w:pPr>
              <w:jc w:val="center"/>
            </w:pPr>
            <w:r>
              <w:rPr>
                <w:rFonts w:eastAsia="Times New Roman"/>
                <w:sz w:val="20"/>
                <w:szCs w:val="20"/>
              </w:rPr>
              <w:t>52.54</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D4C31CD" w14:textId="77777777" w:rsidR="00582997" w:rsidRDefault="00000000">
            <w:pPr>
              <w:jc w:val="center"/>
            </w:pPr>
            <w:r>
              <w:rPr>
                <w:rFonts w:eastAsia="Times New Roman"/>
                <w:sz w:val="20"/>
                <w:szCs w:val="20"/>
              </w:rPr>
              <w:t>10.42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1F57C0" w14:textId="77777777" w:rsidR="00582997" w:rsidRDefault="00000000">
            <w:pPr>
              <w:jc w:val="center"/>
            </w:pPr>
            <w:r>
              <w:rPr>
                <w:rFonts w:eastAsia="Times New Roman"/>
                <w:sz w:val="20"/>
                <w:szCs w:val="20"/>
              </w:rPr>
              <w:t>[31.63, 73.45]</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0760C6F" w14:textId="77777777" w:rsidR="00582997" w:rsidRDefault="00000000">
            <w:pPr>
              <w:jc w:val="center"/>
            </w:pPr>
            <w:r>
              <w:rPr>
                <w:rFonts w:eastAsia="Times New Roman"/>
                <w:sz w:val="20"/>
                <w:szCs w:val="20"/>
              </w:rPr>
              <w:t>&lt; .001</w:t>
            </w:r>
          </w:p>
        </w:tc>
      </w:tr>
      <w:tr w:rsidR="00582997" w14:paraId="7C7F7C2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C243BCA" w14:textId="77777777" w:rsidR="00582997" w:rsidRDefault="00000000">
            <w:r>
              <w:rPr>
                <w:rFonts w:eastAsia="Times New Roman"/>
                <w:sz w:val="20"/>
                <w:szCs w:val="20"/>
              </w:rPr>
              <w:t>M0: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165BA5"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5C6A9AD"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68186E"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17E11D9" w14:textId="77777777" w:rsidR="00582997" w:rsidRDefault="00000000">
            <w:pPr>
              <w:jc w:val="center"/>
            </w:pPr>
            <w:r>
              <w:rPr>
                <w:rFonts w:eastAsia="Times New Roman"/>
                <w:sz w:val="20"/>
                <w:szCs w:val="20"/>
              </w:rPr>
              <w:t>.016</w:t>
            </w:r>
          </w:p>
        </w:tc>
      </w:tr>
      <w:tr w:rsidR="00582997" w14:paraId="16FBC350"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1CB11ED" w14:textId="77777777" w:rsidR="00582997" w:rsidRDefault="00000000">
            <w:r>
              <w:rPr>
                <w:rFonts w:eastAsia="Times New Roman"/>
                <w:sz w:val="20"/>
                <w:szCs w:val="20"/>
              </w:rPr>
              <w:t>M1: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B93A1" w14:textId="77777777" w:rsidR="00582997" w:rsidRDefault="00000000">
            <w:pPr>
              <w:jc w:val="center"/>
            </w:pPr>
            <w:r>
              <w:rPr>
                <w:rFonts w:eastAsia="Times New Roman"/>
                <w:sz w:val="20"/>
                <w:szCs w:val="20"/>
              </w:rPr>
              <w:t>52.26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DDB5BDB" w14:textId="77777777" w:rsidR="00582997" w:rsidRDefault="00000000">
            <w:pPr>
              <w:jc w:val="center"/>
            </w:pPr>
            <w:r>
              <w:rPr>
                <w:rFonts w:eastAsia="Times New Roman"/>
                <w:sz w:val="20"/>
                <w:szCs w:val="20"/>
              </w:rPr>
              <w:t>10.49</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5FCEA2" w14:textId="77777777" w:rsidR="00582997" w:rsidRDefault="00000000">
            <w:pPr>
              <w:jc w:val="center"/>
            </w:pPr>
            <w:r>
              <w:rPr>
                <w:rFonts w:eastAsia="Times New Roman"/>
                <w:sz w:val="20"/>
                <w:szCs w:val="20"/>
              </w:rPr>
              <w:t>[31.20, 73.33]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86C9E2" w14:textId="77777777" w:rsidR="00582997" w:rsidRDefault="00000000">
            <w:pPr>
              <w:jc w:val="center"/>
            </w:pPr>
            <w:r>
              <w:rPr>
                <w:rFonts w:eastAsia="Times New Roman"/>
                <w:sz w:val="20"/>
                <w:szCs w:val="20"/>
              </w:rPr>
              <w:t>&lt; .001</w:t>
            </w:r>
          </w:p>
        </w:tc>
      </w:tr>
      <w:tr w:rsidR="00582997" w14:paraId="070518EA"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380903B" w14:textId="77777777" w:rsidR="00582997" w:rsidRDefault="00000000">
            <w:r>
              <w:rPr>
                <w:rFonts w:eastAsia="Times New Roman"/>
                <w:sz w:val="20"/>
                <w:szCs w:val="20"/>
              </w:rPr>
              <w:t>M1: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629FBCF"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ADD58C"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EE608D2"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9ED132B" w14:textId="77777777" w:rsidR="00582997" w:rsidRDefault="00000000">
            <w:pPr>
              <w:jc w:val="center"/>
            </w:pPr>
            <w:r>
              <w:rPr>
                <w:rFonts w:eastAsia="Times New Roman"/>
                <w:sz w:val="20"/>
                <w:szCs w:val="20"/>
              </w:rPr>
              <w:t>.017</w:t>
            </w:r>
          </w:p>
        </w:tc>
      </w:tr>
      <w:tr w:rsidR="00582997" w14:paraId="60FEE11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9976A3" w14:textId="77777777" w:rsidR="00582997" w:rsidRDefault="00000000">
            <w:r>
              <w:rPr>
                <w:rFonts w:eastAsia="Times New Roman"/>
                <w:sz w:val="20"/>
                <w:szCs w:val="20"/>
              </w:rPr>
              <w:t>M1: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F693CCE" w14:textId="77777777" w:rsidR="00582997" w:rsidRDefault="00000000">
            <w:pPr>
              <w:jc w:val="center"/>
            </w:pPr>
            <w:r>
              <w:rPr>
                <w:rFonts w:eastAsia="Times New Roman"/>
                <w:sz w:val="20"/>
                <w:szCs w:val="20"/>
              </w:rPr>
              <w:t>0.62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34E92C3" w14:textId="77777777" w:rsidR="00582997" w:rsidRDefault="00000000">
            <w:pPr>
              <w:jc w:val="center"/>
            </w:pPr>
            <w:r>
              <w:rPr>
                <w:rFonts w:eastAsia="Times New Roman"/>
                <w:sz w:val="20"/>
                <w:szCs w:val="20"/>
              </w:rPr>
              <w:t>0.98</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8611A35" w14:textId="77777777" w:rsidR="00582997" w:rsidRDefault="00000000">
            <w:pPr>
              <w:jc w:val="center"/>
            </w:pPr>
            <w:r>
              <w:rPr>
                <w:rFonts w:eastAsia="Times New Roman"/>
                <w:sz w:val="20"/>
                <w:szCs w:val="20"/>
              </w:rPr>
              <w:t>[−1.35, 2.60]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373528" w14:textId="77777777" w:rsidR="00582997" w:rsidRDefault="00000000">
            <w:pPr>
              <w:jc w:val="center"/>
            </w:pPr>
            <w:r>
              <w:rPr>
                <w:rFonts w:eastAsia="Times New Roman"/>
                <w:sz w:val="20"/>
                <w:szCs w:val="20"/>
              </w:rPr>
              <w:t>.530</w:t>
            </w:r>
          </w:p>
        </w:tc>
      </w:tr>
      <w:tr w:rsidR="00582997" w14:paraId="32768573"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D0E644F" w14:textId="77777777" w:rsidR="00582997" w:rsidRDefault="00000000">
            <w:r>
              <w:rPr>
                <w:rFonts w:eastAsia="Times New Roman"/>
                <w:sz w:val="20"/>
                <w:szCs w:val="20"/>
              </w:rPr>
              <w:t>M2: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C2B05F7" w14:textId="77777777" w:rsidR="00582997" w:rsidRDefault="00000000">
            <w:pPr>
              <w:jc w:val="center"/>
            </w:pPr>
            <w:r>
              <w:rPr>
                <w:rFonts w:eastAsia="Times New Roman"/>
                <w:sz w:val="20"/>
                <w:szCs w:val="20"/>
              </w:rPr>
              <w:t>13.12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9909159" w14:textId="77777777" w:rsidR="00582997" w:rsidRDefault="00000000">
            <w:pPr>
              <w:jc w:val="center"/>
            </w:pPr>
            <w:r>
              <w:rPr>
                <w:rFonts w:eastAsia="Times New Roman"/>
                <w:sz w:val="20"/>
                <w:szCs w:val="20"/>
              </w:rPr>
              <w:t>8.24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24DB25" w14:textId="77777777" w:rsidR="00582997" w:rsidRDefault="00000000">
            <w:pPr>
              <w:jc w:val="center"/>
            </w:pPr>
            <w:r>
              <w:rPr>
                <w:rFonts w:eastAsia="Times New Roman"/>
                <w:sz w:val="20"/>
                <w:szCs w:val="20"/>
              </w:rPr>
              <w:t>[−3.45, 29.69]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2F81625" w14:textId="77777777" w:rsidR="00582997" w:rsidRDefault="00000000">
            <w:pPr>
              <w:jc w:val="center"/>
            </w:pPr>
            <w:r>
              <w:rPr>
                <w:rFonts w:eastAsia="Times New Roman"/>
                <w:sz w:val="20"/>
                <w:szCs w:val="20"/>
              </w:rPr>
              <w:t>.118</w:t>
            </w:r>
          </w:p>
        </w:tc>
      </w:tr>
      <w:tr w:rsidR="00582997" w14:paraId="43D1C39E"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7EA57EF" w14:textId="77777777" w:rsidR="00582997" w:rsidRDefault="00000000">
            <w:r>
              <w:rPr>
                <w:rFonts w:eastAsia="Times New Roman"/>
                <w:sz w:val="20"/>
                <w:szCs w:val="20"/>
              </w:rPr>
              <w:t>M2: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43C266B" w14:textId="77777777" w:rsidR="00582997" w:rsidRDefault="00000000">
            <w:pPr>
              <w:jc w:val="center"/>
            </w:pPr>
            <w:r>
              <w:rPr>
                <w:rFonts w:eastAsia="Times New Roman"/>
                <w:sz w:val="20"/>
                <w:szCs w:val="20"/>
              </w:rPr>
              <w:t>−0.15</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29AB25C" w14:textId="77777777" w:rsidR="00582997" w:rsidRDefault="00000000">
            <w:pPr>
              <w:jc w:val="center"/>
            </w:pPr>
            <w:r>
              <w:rPr>
                <w:rFonts w:eastAsia="Times New Roman"/>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B944F2" w14:textId="77777777" w:rsidR="00582997" w:rsidRDefault="00000000">
            <w:pPr>
              <w:jc w:val="center"/>
            </w:pPr>
            <w:r>
              <w:rPr>
                <w:rFonts w:eastAsia="Times New Roman"/>
                <w:sz w:val="20"/>
                <w:szCs w:val="20"/>
              </w:rPr>
              <w:t>[−0.36, 0.06]</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596C35E" w14:textId="77777777" w:rsidR="00582997" w:rsidRDefault="00000000">
            <w:pPr>
              <w:jc w:val="center"/>
            </w:pPr>
            <w:r>
              <w:rPr>
                <w:rFonts w:eastAsia="Times New Roman"/>
                <w:sz w:val="20"/>
                <w:szCs w:val="20"/>
              </w:rPr>
              <w:t>.156</w:t>
            </w:r>
          </w:p>
        </w:tc>
      </w:tr>
      <w:tr w:rsidR="00582997" w14:paraId="060EA9E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14A4F66" w14:textId="77777777" w:rsidR="00582997" w:rsidRDefault="00000000">
            <w:r>
              <w:rPr>
                <w:rFonts w:eastAsia="Times New Roman"/>
                <w:sz w:val="20"/>
                <w:szCs w:val="20"/>
              </w:rPr>
              <w:t>M2: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D4F56F" w14:textId="77777777" w:rsidR="00582997" w:rsidRDefault="00000000">
            <w:pPr>
              <w:jc w:val="center"/>
            </w:pPr>
            <w:r>
              <w:rPr>
                <w:rFonts w:eastAsia="Times New Roman"/>
                <w:sz w:val="20"/>
                <w:szCs w:val="20"/>
              </w:rPr>
              <w:t>−0.09</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6D8AD6A" w14:textId="77777777" w:rsidR="00582997" w:rsidRDefault="00000000">
            <w:pPr>
              <w:jc w:val="center"/>
            </w:pPr>
            <w:r>
              <w:rPr>
                <w:rFonts w:eastAsia="Times New Roman"/>
                <w:sz w:val="20"/>
                <w:szCs w:val="20"/>
              </w:rPr>
              <w:t>0.64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81B2B8" w14:textId="77777777" w:rsidR="00582997" w:rsidRDefault="00000000">
            <w:pPr>
              <w:jc w:val="center"/>
            </w:pPr>
            <w:r>
              <w:rPr>
                <w:rFonts w:eastAsia="Times New Roman"/>
                <w:sz w:val="20"/>
                <w:szCs w:val="20"/>
              </w:rPr>
              <w:t>[−1.38, 1.20]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B2164E" w14:textId="77777777" w:rsidR="00582997" w:rsidRDefault="00000000">
            <w:pPr>
              <w:jc w:val="center"/>
            </w:pPr>
            <w:r>
              <w:rPr>
                <w:rFonts w:eastAsia="Times New Roman"/>
                <w:sz w:val="20"/>
                <w:szCs w:val="20"/>
              </w:rPr>
              <w:t>.886</w:t>
            </w:r>
          </w:p>
        </w:tc>
      </w:tr>
      <w:tr w:rsidR="00582997" w14:paraId="5023ED0D"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B987DE5" w14:textId="77777777" w:rsidR="00582997" w:rsidRDefault="00000000">
            <w:r>
              <w:rPr>
                <w:rFonts w:eastAsia="Times New Roman"/>
                <w:iCs/>
                <w:sz w:val="20"/>
                <w:szCs w:val="20"/>
              </w:rPr>
              <w:t>M2: agency</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422B3E1" w14:textId="77777777" w:rsidR="00582997" w:rsidRDefault="00000000">
            <w:pPr>
              <w:jc w:val="center"/>
            </w:pPr>
            <w:r>
              <w:rPr>
                <w:rFonts w:eastAsia="Times New Roman"/>
                <w:iCs/>
                <w:sz w:val="20"/>
                <w:szCs w:val="20"/>
              </w:rPr>
              <w:t>0.52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25B719D" w14:textId="77777777" w:rsidR="00582997" w:rsidRDefault="00000000">
            <w:pPr>
              <w:jc w:val="center"/>
            </w:pPr>
            <w:r>
              <w:rPr>
                <w:rFonts w:eastAsia="Times New Roman"/>
                <w:iCs/>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227AAF" w14:textId="77777777" w:rsidR="00582997" w:rsidRDefault="00000000">
            <w:pPr>
              <w:jc w:val="center"/>
            </w:pPr>
            <w:r>
              <w:rPr>
                <w:rFonts w:eastAsia="Times New Roman"/>
                <w:iCs/>
                <w:sz w:val="20"/>
                <w:szCs w:val="20"/>
              </w:rPr>
              <w:t>[0.32, 0.73]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AC985EE" w14:textId="77777777" w:rsidR="00582997" w:rsidRDefault="00000000">
            <w:pPr>
              <w:jc w:val="center"/>
            </w:pPr>
            <w:r>
              <w:rPr>
                <w:rFonts w:eastAsia="Times New Roman"/>
                <w:iCs/>
                <w:sz w:val="20"/>
                <w:szCs w:val="20"/>
              </w:rPr>
              <w:t>&lt; .001</w:t>
            </w:r>
          </w:p>
        </w:tc>
      </w:tr>
      <w:tr w:rsidR="00582997" w14:paraId="32545DBB"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49F3A7" w14:textId="77777777" w:rsidR="00582997" w:rsidRDefault="00000000">
            <w:r>
              <w:rPr>
                <w:rFonts w:eastAsia="Times New Roman"/>
                <w:iCs/>
                <w:sz w:val="20"/>
                <w:szCs w:val="20"/>
              </w:rPr>
              <w:t>M2: metacognition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14FEAB" w14:textId="77777777" w:rsidR="00582997" w:rsidRDefault="00000000">
            <w:pPr>
              <w:jc w:val="center"/>
            </w:pPr>
            <w:r>
              <w:rPr>
                <w:rFonts w:eastAsia="Times New Roman"/>
                <w:iCs/>
                <w:sz w:val="20"/>
                <w:szCs w:val="20"/>
              </w:rPr>
              <w:t>0.46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7ADE61" w14:textId="77777777" w:rsidR="00582997" w:rsidRDefault="00000000">
            <w:pPr>
              <w:jc w:val="center"/>
            </w:pPr>
            <w:r>
              <w:rPr>
                <w:rFonts w:eastAsia="Times New Roman"/>
                <w:iCs/>
                <w:sz w:val="20"/>
                <w:szCs w:val="20"/>
              </w:rPr>
              <w:t>0.12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5B21D89" w14:textId="77777777" w:rsidR="00582997" w:rsidRDefault="00000000">
            <w:pPr>
              <w:jc w:val="center"/>
            </w:pPr>
            <w:r>
              <w:rPr>
                <w:rFonts w:eastAsia="Times New Roman"/>
                <w:iCs/>
                <w:sz w:val="20"/>
                <w:szCs w:val="20"/>
              </w:rPr>
              <w:t>[0.23, 0.69]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23D2A3" w14:textId="77777777" w:rsidR="00582997" w:rsidRDefault="00000000">
            <w:pPr>
              <w:jc w:val="center"/>
            </w:pPr>
            <w:r>
              <w:rPr>
                <w:rFonts w:eastAsia="Times New Roman"/>
                <w:iCs/>
                <w:sz w:val="20"/>
                <w:szCs w:val="20"/>
              </w:rPr>
              <w:t>&lt; .001</w:t>
            </w:r>
          </w:p>
        </w:tc>
      </w:tr>
    </w:tbl>
    <w:p w14:paraId="699C9058" w14:textId="77777777" w:rsidR="00582997" w:rsidRDefault="00000000">
      <w:pPr>
        <w:spacing w:before="60" w:after="240" w:line="480" w:lineRule="auto"/>
      </w:pPr>
      <w:r>
        <w:rPr>
          <w:rFonts w:eastAsia="Times New Roman"/>
          <w:i/>
          <w:iCs/>
          <w:sz w:val="20"/>
          <w:szCs w:val="20"/>
        </w:rPr>
        <w:t xml:space="preserve">Note. </w:t>
      </w:r>
      <w:r>
        <w:rPr>
          <w:rFonts w:eastAsia="Times New Roman"/>
          <w:sz w:val="20"/>
          <w:szCs w:val="20"/>
        </w:rPr>
        <w:t xml:space="preserve">All models fit on the Day 18–70 subsample (n = 53 days). M0: R² = .109, adjusted R² = .091. M1: R² = .116, adjusted R² = .081. M2: R² = .644, adjusted R² = .614. Predictors are on their original 0–100 scales. M2 residuals showed no remaining serial dependence (Ljung–Box </w:t>
      </w:r>
      <w:r>
        <w:rPr>
          <w:rFonts w:eastAsia="Times New Roman"/>
          <w:i/>
          <w:sz w:val="20"/>
          <w:szCs w:val="20"/>
        </w:rPr>
        <w:t>p</w:t>
      </w:r>
      <w:r>
        <w:rPr>
          <w:rFonts w:eastAsia="Times New Roman"/>
          <w:sz w:val="20"/>
          <w:szCs w:val="20"/>
        </w:rPr>
        <w:t xml:space="preserve"> = .157, .527, and .354 at lags 1, 5, and 10) and were approximately normal (Shapiro–Wilk W = 0.98, </w:t>
      </w:r>
      <w:r>
        <w:rPr>
          <w:rFonts w:eastAsia="Times New Roman"/>
          <w:i/>
          <w:sz w:val="20"/>
          <w:szCs w:val="20"/>
        </w:rPr>
        <w:t>p</w:t>
      </w:r>
      <w:r>
        <w:rPr>
          <w:rFonts w:eastAsia="Times New Roman"/>
          <w:sz w:val="20"/>
          <w:szCs w:val="20"/>
        </w:rPr>
        <w:t xml:space="preserve"> = .393).</w:t>
      </w:r>
    </w:p>
    <w:p w14:paraId="365A6FC3" w14:textId="77777777" w:rsidR="00582997" w:rsidRDefault="00000000">
      <w:pPr>
        <w:spacing w:after="120" w:line="480" w:lineRule="auto"/>
        <w:ind w:firstLine="720"/>
        <w:jc w:val="both"/>
      </w:pPr>
      <w:r>
        <w:rPr>
          <w:rFonts w:eastAsia="Times New Roman"/>
        </w:rPr>
        <w:t xml:space="preserve">The drop-one incremental R² comparison made the magnitudes of these contributions directly comparable (Figure 3). Agency uniquely accounted for 19.6% of the variance in daily mood beyond what the other predictors in M2 captured; metacognition uniquely accounted for 11.7%; melatonin uniquely accounted for 0.02%. The internal-driver block (agency and metacognition jointly) accounted for 52.8% of the variance beyond the autoregressive-plus-melatonin model (M1), raising R² from .116 (M1) to .644 (M2). Because agency and metacognition are themselves </w:t>
      </w:r>
      <w:r>
        <w:rPr>
          <w:rFonts w:eastAsia="Times New Roman"/>
        </w:rPr>
        <w:lastRenderedPageBreak/>
        <w:t>correlated, this joint contribution exceeds the sum of their unique drop-one contributions (19.6% and 11.7%); the difference reflects variance the two share.</w:t>
      </w:r>
    </w:p>
    <w:p w14:paraId="467E65FA" w14:textId="77777777" w:rsidR="00582997" w:rsidRDefault="00000000">
      <w:pPr>
        <w:spacing w:before="240" w:after="60"/>
        <w:jc w:val="center"/>
      </w:pPr>
      <w:r>
        <w:rPr>
          <w:noProof/>
        </w:rPr>
        <w:drawing>
          <wp:inline distT="0" distB="0" distL="0" distR="0" wp14:anchorId="1C76EF66" wp14:editId="19CAD7ED">
            <wp:extent cx="5138208" cy="3043016"/>
            <wp:effectExtent l="0" t="0" r="0" b="0"/>
            <wp:docPr id="501947768"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38208" cy="3043016"/>
                    </a:xfrm>
                    <a:prstGeom prst="rect">
                      <a:avLst/>
                    </a:prstGeom>
                  </pic:spPr>
                </pic:pic>
              </a:graphicData>
            </a:graphic>
          </wp:inline>
        </w:drawing>
      </w:r>
    </w:p>
    <w:p w14:paraId="7A1B155D" w14:textId="77777777" w:rsidR="00582997" w:rsidRDefault="00000000">
      <w:pPr>
        <w:spacing w:before="120" w:after="60" w:line="480" w:lineRule="auto"/>
        <w:jc w:val="both"/>
      </w:pPr>
      <w:r>
        <w:rPr>
          <w:rFonts w:eastAsia="Times New Roman"/>
          <w:b/>
          <w:bCs/>
          <w:sz w:val="22"/>
          <w:szCs w:val="22"/>
        </w:rPr>
        <w:t>Figure 3.</w:t>
      </w:r>
      <w:proofErr w:type="gramStart"/>
      <w:proofErr w:type="gramEnd"/>
      <w:r>
        <w:rPr>
          <w:rFonts w:eastAsia="Times New Roman"/>
          <w:bCs/>
          <w:sz w:val="22"/>
          <w:szCs w:val="22"/>
        </w:rPr>
        <w:t xml:space="preserve"> Incremental R² for each predictor in the AR(1) model.</w:t>
      </w:r>
    </w:p>
    <w:p w14:paraId="7C0F800D"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 xml:space="preserve">Incremental R² is computed as the drop in R² when that predictor is removed from the full </w:t>
      </w:r>
      <w:proofErr w:type="gramStart"/>
      <w:r>
        <w:rPr>
          <w:rFonts w:eastAsia="Times New Roman"/>
          <w:sz w:val="20"/>
          <w:szCs w:val="20"/>
        </w:rPr>
        <w:t>AR(</w:t>
      </w:r>
      <w:proofErr w:type="gramEnd"/>
      <w:r>
        <w:rPr>
          <w:rFonts w:eastAsia="Times New Roman"/>
          <w:sz w:val="20"/>
          <w:szCs w:val="20"/>
        </w:rPr>
        <w:t>1)-with-exogenous-inputs model. Agency and metacognition together account for over half of the day-to-day variance in mood; the melatonin probe accounts for essentially none.</w:t>
      </w:r>
    </w:p>
    <w:p w14:paraId="79B068E2" w14:textId="77777777" w:rsidR="00582997" w:rsidRDefault="00000000">
      <w:pPr>
        <w:pStyle w:val="Heading2"/>
        <w:spacing w:line="480" w:lineRule="auto"/>
      </w:pPr>
      <w:r>
        <w:t>3.3 The Probe: A Bounded Null on the Mean, a Suggestive Signal on Variability</w:t>
      </w:r>
    </w:p>
    <w:p w14:paraId="7FB4912C" w14:textId="77777777" w:rsidR="00582997" w:rsidRDefault="00000000">
      <w:pPr>
        <w:spacing w:after="120" w:line="480" w:lineRule="auto"/>
        <w:ind w:firstLine="720"/>
        <w:jc w:val="both"/>
      </w:pPr>
      <w:r>
        <w:rPr>
          <w:rFonts w:eastAsia="Times New Roman"/>
        </w:rPr>
        <w:t xml:space="preserve">Consistent with the M1 result above, the between-condition comparison of daily mean mood yielded a small and non-significant difference: melatonin minus control = +0.86 mood points, Welch </w:t>
      </w:r>
      <w:proofErr w:type="gramStart"/>
      <w:r>
        <w:rPr>
          <w:rFonts w:eastAsia="Times New Roman"/>
        </w:rPr>
        <w:t>t(</w:t>
      </w:r>
      <w:proofErr w:type="gramEnd"/>
      <w:r>
        <w:rPr>
          <w:rFonts w:eastAsia="Times New Roman"/>
        </w:rPr>
        <w:t xml:space="preserve">60.4) = 0.66, </w:t>
      </w:r>
      <w:r>
        <w:rPr>
          <w:rFonts w:eastAsia="Times New Roman"/>
          <w:i/>
        </w:rPr>
        <w:t>p</w:t>
      </w:r>
      <w:r>
        <w:rPr>
          <w:rFonts w:eastAsia="Times New Roman"/>
        </w:rPr>
        <w:t xml:space="preserve"> = .514, Cohen’s d = 0.16 (Figure 4). A two one-sided tests (TOST) equivalence procedure sharpened this null: the 90% confidence interval for the mean difference, [−1.34, +3.06] points, fell within the analysis-defined ±5-point bound, establishing equivalence at that bound (TOST </w:t>
      </w:r>
      <w:r>
        <w:rPr>
          <w:rFonts w:eastAsia="Times New Roman"/>
          <w:i/>
        </w:rPr>
        <w:t>p</w:t>
      </w:r>
      <w:r>
        <w:rPr>
          <w:rFonts w:eastAsia="Times New Roman"/>
        </w:rPr>
        <w:t xml:space="preserve"> = .001). At a tighter 3-point bound the interval was not fully contained and </w:t>
      </w:r>
      <w:r>
        <w:rPr>
          <w:rFonts w:eastAsia="Times New Roman"/>
        </w:rPr>
        <w:lastRenderedPageBreak/>
        <w:t>equivalence was not established (</w:t>
      </w:r>
      <w:r>
        <w:rPr>
          <w:rFonts w:eastAsia="Times New Roman"/>
          <w:i/>
        </w:rPr>
        <w:t>p</w:t>
      </w:r>
      <w:r>
        <w:rPr>
          <w:rFonts w:eastAsia="Times New Roman"/>
        </w:rPr>
        <w:t xml:space="preserve"> = .055). The data therefore bound the melatonin mean effect to at most roughly +3 points on the high side, a bound the interval itself supplies.</w:t>
      </w:r>
    </w:p>
    <w:p w14:paraId="4D32348D" w14:textId="77777777" w:rsidR="00582997" w:rsidRDefault="00000000">
      <w:pPr>
        <w:spacing w:before="240" w:after="60"/>
        <w:jc w:val="center"/>
      </w:pPr>
      <w:r>
        <w:rPr>
          <w:noProof/>
        </w:rPr>
        <w:drawing>
          <wp:inline distT="0" distB="0" distL="0" distR="0" wp14:anchorId="15CA5799" wp14:editId="0E8F3A6A">
            <wp:extent cx="5138208" cy="2135666"/>
            <wp:effectExtent l="0" t="0" r="0" b="0"/>
            <wp:docPr id="126112834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38208" cy="2135666"/>
                    </a:xfrm>
                    <a:prstGeom prst="rect">
                      <a:avLst/>
                    </a:prstGeom>
                  </pic:spPr>
                </pic:pic>
              </a:graphicData>
            </a:graphic>
          </wp:inline>
        </w:drawing>
      </w:r>
    </w:p>
    <w:p w14:paraId="1A16F0E6" w14:textId="77777777" w:rsidR="00582997" w:rsidRDefault="00000000">
      <w:pPr>
        <w:spacing w:before="120" w:after="60" w:line="480" w:lineRule="auto"/>
        <w:jc w:val="both"/>
      </w:pPr>
      <w:r>
        <w:rPr>
          <w:rFonts w:eastAsia="Times New Roman"/>
          <w:b/>
          <w:bCs/>
          <w:sz w:val="22"/>
          <w:szCs w:val="22"/>
        </w:rPr>
        <w:t>Figure 4.</w:t>
      </w:r>
      <w:r>
        <w:rPr>
          <w:rFonts w:eastAsia="Times New Roman"/>
          <w:bCs/>
          <w:sz w:val="22"/>
          <w:szCs w:val="22"/>
        </w:rPr>
        <w:t xml:space="preserve"> Between-condition comparison of daily mood, agency, and metacognition.</w:t>
      </w:r>
    </w:p>
    <w:p w14:paraId="7D245BB4"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Boxes show interquartile range; horizontal lines show medians; jittered points show individual days. Mean differences (melatonin minus control) are annotated within each panel and are small for all three variables.</w:t>
      </w:r>
    </w:p>
    <w:p w14:paraId="76DEF269" w14:textId="77777777" w:rsidR="00582997" w:rsidRDefault="00000000">
      <w:pPr>
        <w:spacing w:after="120" w:line="480" w:lineRule="auto"/>
        <w:ind w:firstLine="720"/>
        <w:jc w:val="both"/>
      </w:pPr>
      <w:r>
        <w:rPr>
          <w:rFonts w:eastAsia="Times New Roman"/>
        </w:rPr>
        <w:t xml:space="preserve">The variability analyses gave a more nuanced picture. Three descriptive indices pointed the same way, with melatonin days showing lower mood variability than control days: daily mood SD was 4.42 against 6.41, MSSD across within-condition runs was 57.36 against 88.26, and observation-level mood SD was 6.55 against 8.26. The univariate Levene and MSSD tests did not reach significance; full statistics are in Appendix C. The model-based heteroskedasticity analysis, regressing log-squared M2 residuals on the melatonin indicator, pointed in the same direction but did not reach conventional significance either (α₁ = −1.24, </w:t>
      </w:r>
      <w:r>
        <w:rPr>
          <w:rFonts w:eastAsia="Times New Roman"/>
          <w:i/>
        </w:rPr>
        <w:t>p</w:t>
      </w:r>
      <w:r>
        <w:rPr>
          <w:rFonts w:eastAsia="Times New Roman"/>
        </w:rPr>
        <w:t xml:space="preserve"> = .149). A state-dependent decay analysis was direction-consistent as well, with faster estimated decay on melatonin days, though its interaction coefficient also spanned zero; full estimates are in Appendix C.</w:t>
      </w:r>
    </w:p>
    <w:p w14:paraId="6206A73F" w14:textId="77777777" w:rsidR="00582997" w:rsidRDefault="00000000">
      <w:pPr>
        <w:spacing w:after="120" w:line="480" w:lineRule="auto"/>
        <w:ind w:firstLine="720"/>
        <w:jc w:val="both"/>
      </w:pPr>
      <w:r>
        <w:rPr>
          <w:rFonts w:eastAsia="Times New Roman"/>
        </w:rPr>
        <w:t>Taken together, the probe moved the level of this system by an amount the design can bound, and it may have moved the stability of the system, on evidence that is consistent in direction across four tests and short of conventional significance in each.</w:t>
      </w:r>
    </w:p>
    <w:p w14:paraId="344AF487" w14:textId="77777777" w:rsidR="00582997" w:rsidRDefault="00000000">
      <w:pPr>
        <w:pStyle w:val="Heading2"/>
        <w:spacing w:line="480" w:lineRule="auto"/>
      </w:pPr>
      <w:r>
        <w:t>3.4 Robustness and Secondary Analyses</w:t>
      </w:r>
    </w:p>
    <w:p w14:paraId="3A93B450" w14:textId="77777777" w:rsidR="00582997" w:rsidRDefault="00000000">
      <w:pPr>
        <w:spacing w:after="120" w:line="480" w:lineRule="auto"/>
        <w:ind w:firstLine="720"/>
        <w:jc w:val="both"/>
      </w:pPr>
      <w:r>
        <w:rPr>
          <w:rFonts w:eastAsia="Times New Roman"/>
        </w:rPr>
        <w:t xml:space="preserve">The primary comparison was reproduced without daily aggregation. A multilevel re-analysis of all 142 momentary observations again placed both internal-state predictors far above the probe (agency β = 0.34, metacognition β = 0.48, both </w:t>
      </w:r>
      <w:r>
        <w:rPr>
          <w:rFonts w:eastAsia="Times New Roman"/>
          <w:i/>
        </w:rPr>
        <w:t>p</w:t>
      </w:r>
      <w:r>
        <w:rPr>
          <w:rFonts w:eastAsia="Times New Roman"/>
        </w:rPr>
        <w:t xml:space="preserve"> &lt; .001; melatonin β = −0.05, </w:t>
      </w:r>
      <w:r>
        <w:rPr>
          <w:rFonts w:eastAsia="Times New Roman"/>
          <w:i/>
        </w:rPr>
        <w:t>p</w:t>
      </w:r>
      <w:r>
        <w:rPr>
          <w:rFonts w:eastAsia="Times New Roman"/>
        </w:rPr>
        <w:t xml:space="preserve"> = .937; Table B.1). The two exchange rank at this resolution, with metacognition the larger of the pair, so the ordering that holds throughout is between the internal block and the probe rather than within the block. An unconditional model placed approximately 31% of the variance in momentary mood between days (ICC = .31 in the full sample, .25 in the analysis window). The three daily prompts are therefore not independent observations and require either aggregation or an explicit nesting term; the within-day variance that daily aggregation sets aside is the larger share.</w:t>
      </w:r>
    </w:p>
    <w:p w14:paraId="4F792FA9" w14:textId="77777777" w:rsidR="00582997" w:rsidRDefault="00000000">
      <w:pPr>
        <w:spacing w:after="120" w:line="480" w:lineRule="auto"/>
        <w:ind w:firstLine="720"/>
        <w:jc w:val="both"/>
      </w:pPr>
      <w:r>
        <w:rPr>
          <w:rFonts w:eastAsia="Times New Roman"/>
        </w:rPr>
        <w:t xml:space="preserve">Two further checks bear on the interpretation of the main result. The agency by melatonin interaction provided no evidence that the agency to mood association differed between conditions (β = −0.06, 95% CI [−0.42, +0.30], </w:t>
      </w:r>
      <w:r>
        <w:rPr>
          <w:rFonts w:eastAsia="Times New Roman"/>
          <w:i/>
        </w:rPr>
        <w:t>p</w:t>
      </w:r>
      <w:r>
        <w:rPr>
          <w:rFonts w:eastAsia="Times New Roman"/>
        </w:rPr>
        <w:t xml:space="preserve"> = .756). The </w:t>
      </w:r>
      <w:proofErr w:type="spellStart"/>
      <w:r>
        <w:rPr>
          <w:rFonts w:eastAsia="Times New Roman"/>
        </w:rPr>
        <w:t>metacontrol</w:t>
      </w:r>
      <w:proofErr w:type="spellEnd"/>
      <w:r>
        <w:rPr>
          <w:rFonts w:eastAsia="Times New Roman"/>
        </w:rPr>
        <w:t xml:space="preserve"> interaction, treated here as exploratory, was negative as predicted but not reliably distinguishable from zero; simple slopes are in Appendix C.</w:t>
      </w:r>
    </w:p>
    <w:p w14:paraId="772654FC" w14:textId="77777777" w:rsidR="00582997" w:rsidRDefault="00000000">
      <w:pPr>
        <w:spacing w:after="120" w:line="480" w:lineRule="auto"/>
        <w:ind w:firstLine="720"/>
        <w:jc w:val="both"/>
      </w:pPr>
      <w:r>
        <w:rPr>
          <w:rFonts w:eastAsia="Times New Roman"/>
        </w:rPr>
        <w:t xml:space="preserve">Emotional inertia was positive at both sampling resolutions, with an observation-level φ of 0.23, 95% CI [0.09, 0.36], and a daily-level φ of approximately 0.42 on the full sample (Figure A.1). </w:t>
      </w:r>
      <w:r>
        <w:rPr>
          <w:rFonts w:eastAsia="Times New Roman"/>
        </w:rPr>
        <w:lastRenderedPageBreak/>
        <w:t xml:space="preserve">The two do not stand in the relation </w:t>
      </w:r>
      <w:proofErr w:type="spellStart"/>
      <w:r>
        <w:rPr>
          <w:rFonts w:eastAsia="Times New Roman"/>
        </w:rPr>
        <w:t>φ_day</w:t>
      </w:r>
      <w:proofErr w:type="spellEnd"/>
      <w:r>
        <w:rPr>
          <w:rFonts w:eastAsia="Times New Roman"/>
        </w:rPr>
        <w:t xml:space="preserve"> = φ_obs³ that a single first-order process would imply, so the </w:t>
      </w:r>
      <w:proofErr w:type="gramStart"/>
      <w:r>
        <w:rPr>
          <w:rFonts w:eastAsia="Times New Roman"/>
        </w:rPr>
        <w:t>AR(</w:t>
      </w:r>
      <w:proofErr w:type="gramEnd"/>
      <w:r>
        <w:rPr>
          <w:rFonts w:eastAsia="Times New Roman"/>
        </w:rPr>
        <w:t>1) description should be read as resolution-specific. A local-level state-space decomposition of the daily series, the associated impulse response functions and half-lives, and the smoothed latent trajectory are reported in Appendix A (Figures A.2 and A.3).</w:t>
      </w:r>
    </w:p>
    <w:p w14:paraId="14974BA6" w14:textId="77777777" w:rsidR="00582997" w:rsidRDefault="00000000">
      <w:pPr>
        <w:pStyle w:val="Heading1"/>
        <w:spacing w:line="480" w:lineRule="auto"/>
      </w:pPr>
      <w:r>
        <w:t>4. Discussion</w:t>
      </w:r>
    </w:p>
    <w:p w14:paraId="0B3DDBC6" w14:textId="77777777" w:rsidR="00582997" w:rsidRDefault="00000000">
      <w:pPr>
        <w:pStyle w:val="Heading2"/>
        <w:spacing w:line="480" w:lineRule="auto"/>
      </w:pPr>
      <w:r>
        <w:t>4.1 Internal Behavioral State as the Dominant Predictor of Daily Affect</w:t>
      </w:r>
    </w:p>
    <w:p w14:paraId="5F2504CF" w14:textId="77777777" w:rsidR="00582997" w:rsidRDefault="00000000">
      <w:pPr>
        <w:spacing w:after="120" w:line="480" w:lineRule="auto"/>
        <w:ind w:firstLine="720"/>
        <w:jc w:val="both"/>
      </w:pPr>
      <w:r>
        <w:rPr>
          <w:rFonts w:eastAsia="Times New Roman"/>
        </w:rPr>
        <w:t>The most informative finding in this study is the magnitude of the internal-driver contribution. Daily perceived agency contributed an incremental 19.6% of variance to the daily-mood model after accounting for emotional inertia, the external probe, and metacognitive awareness. Daily metacognition contributed an incremental 11.7% under the same controls. Both effects were estimated with narrow confidence intervals and were reliably distinguishable from zero, and the internal-over-probe contrast persisted in a multilevel re-analysis that did not aggregate to days.</w:t>
      </w:r>
    </w:p>
    <w:p w14:paraId="2A3656C9" w14:textId="77777777" w:rsidR="00582997" w:rsidRDefault="00000000">
      <w:pPr>
        <w:spacing w:after="120" w:line="480" w:lineRule="auto"/>
        <w:ind w:firstLine="720"/>
        <w:jc w:val="both"/>
      </w:pPr>
      <w:r>
        <w:rPr>
          <w:rFonts w:eastAsia="Times New Roman"/>
        </w:rPr>
        <w:t>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14:paraId="01AC31D8" w14:textId="77777777" w:rsidR="00582997" w:rsidRDefault="00000000">
      <w:pPr>
        <w:spacing w:after="120" w:line="480" w:lineRule="auto"/>
        <w:ind w:firstLine="720"/>
        <w:jc w:val="both"/>
      </w:pPr>
      <w:r>
        <w:rPr>
          <w:rFonts w:eastAsia="Times New Roman"/>
        </w:rPr>
        <w:t xml:space="preserve">The agency by melatonin robustness check is consistent with this reading. That interaction provided no evidence that the agency to mood association differed between conditions, so nothing </w:t>
      </w:r>
      <w:r>
        <w:rPr>
          <w:rFonts w:eastAsia="Times New Roman"/>
        </w:rPr>
        <w:lastRenderedPageBreak/>
        <w:t>in these data indicates that the contribution of agency to daily mood depends on whether the participant had taken melatonin. The interval is too wide to establish that the two associations are equal.</w:t>
      </w:r>
    </w:p>
    <w:p w14:paraId="4600D042" w14:textId="77777777" w:rsidR="00582997" w:rsidRDefault="00000000">
      <w:pPr>
        <w:spacing w:after="120" w:line="480" w:lineRule="auto"/>
        <w:ind w:firstLine="720"/>
        <w:jc w:val="both"/>
      </w:pPr>
      <w:r>
        <w:rPr>
          <w:rFonts w:eastAsia="Times New Roman"/>
        </w:rPr>
        <w:t xml:space="preserve">Metacognition behaved more simply than predicted. As a main-effect predictor it contributed reliably to daily mood, suggesting that the system’s read-out of its own state is bound up with that state. The </w:t>
      </w:r>
      <w:proofErr w:type="spellStart"/>
      <w:r>
        <w:rPr>
          <w:rFonts w:eastAsia="Times New Roman"/>
        </w:rPr>
        <w:t>metacontrol</w:t>
      </w:r>
      <w:proofErr w:type="spellEnd"/>
      <w:r>
        <w:rPr>
          <w:rFonts w:eastAsia="Times New Roman"/>
        </w:rPr>
        <w:t xml:space="preserve"> prediction, that higher metacognition would buffer the system against external perturbation, was direction-consistent but did not reach significance. It is reported here as exploratory, and the estimates are in Appendix C.</w:t>
      </w:r>
    </w:p>
    <w:p w14:paraId="284254F0" w14:textId="77777777" w:rsidR="00582997" w:rsidRDefault="00000000">
      <w:pPr>
        <w:pStyle w:val="Heading2"/>
        <w:spacing w:line="480" w:lineRule="auto"/>
      </w:pPr>
      <w:r>
        <w:t>4.2 Interpreting the Probe Result</w:t>
      </w:r>
    </w:p>
    <w:p w14:paraId="13C14751" w14:textId="77777777" w:rsidR="00582997" w:rsidRDefault="00000000">
      <w:pPr>
        <w:spacing w:after="120" w:line="480" w:lineRule="auto"/>
        <w:ind w:firstLine="720"/>
        <w:jc w:val="both"/>
      </w:pPr>
      <w:r>
        <w:rPr>
          <w:rFonts w:eastAsia="Times New Roman"/>
        </w:rPr>
        <w:t xml:space="preserve">The most direct empirical question, whether melatonin shifts average daily mood, yielded a small and statistically non-significant mean difference. The evidential question set out in Section 2.3 is how the probe’s contribution compares in magnitude with the system’s endogenous drivers. The drop-one decomposition in Section 3.2 answers it directly: agency’s unique contribution was 19.6% of daily-mood variance, and the </w:t>
      </w:r>
      <w:proofErr w:type="gramStart"/>
      <w:r>
        <w:rPr>
          <w:rFonts w:eastAsia="Times New Roman"/>
        </w:rPr>
        <w:t>probe’s</w:t>
      </w:r>
      <w:proofErr w:type="gramEnd"/>
      <w:r>
        <w:rPr>
          <w:rFonts w:eastAsia="Times New Roman"/>
        </w:rPr>
        <w:t xml:space="preserve"> was 0.02%, indistinguishable from zero.</w:t>
      </w:r>
    </w:p>
    <w:p w14:paraId="78D9B6E1" w14:textId="77777777" w:rsidR="00582997" w:rsidRDefault="00000000">
      <w:pPr>
        <w:spacing w:after="120" w:line="480" w:lineRule="auto"/>
        <w:ind w:firstLine="720"/>
        <w:jc w:val="both"/>
      </w:pPr>
      <w:r>
        <w:rPr>
          <w:rFonts w:eastAsia="Times New Roman"/>
        </w:rPr>
        <w:t>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14:paraId="5349C861" w14:textId="77777777" w:rsidR="00582997" w:rsidRDefault="00000000">
      <w:pPr>
        <w:spacing w:after="120" w:line="480" w:lineRule="auto"/>
        <w:ind w:firstLine="720"/>
        <w:jc w:val="both"/>
      </w:pPr>
      <w:r>
        <w:rPr>
          <w:rFonts w:eastAsia="Times New Roman"/>
        </w:rPr>
        <w:t xml:space="preserve">The variability analyses point somewhere the mean analysis does not reach. The direction-consistent pattern reported in Section 3.3 </w:t>
      </w:r>
      <w:proofErr w:type="gramStart"/>
      <w:r>
        <w:rPr>
          <w:rFonts w:eastAsia="Times New Roman"/>
        </w:rPr>
        <w:t>is</w:t>
      </w:r>
      <w:proofErr w:type="gramEnd"/>
      <w:r>
        <w:rPr>
          <w:rFonts w:eastAsia="Times New Roman"/>
        </w:rPr>
        <w:t xml:space="preserve"> the one melatonin’s pharmacology predicts. Melatonin is a </w:t>
      </w:r>
      <w:proofErr w:type="spellStart"/>
      <w:r>
        <w:rPr>
          <w:rFonts w:eastAsia="Times New Roman"/>
        </w:rPr>
        <w:t>chronobiotic</w:t>
      </w:r>
      <w:proofErr w:type="spellEnd"/>
      <w:r>
        <w:rPr>
          <w:rFonts w:eastAsia="Times New Roman"/>
        </w:rPr>
        <w:t xml:space="preserve"> whose primary function is the entrainment and stabilization of circadian rhythm, </w:t>
      </w:r>
      <w:r>
        <w:rPr>
          <w:rFonts w:eastAsia="Times New Roman"/>
        </w:rPr>
        <w:lastRenderedPageBreak/>
        <w:t>and an agent that stabilizes the timing of the sleep-wake cycle is plausibly one that stabilizes daily affective state without lifting it. A level-only analysis could not have drawn that distinction.</w:t>
      </w:r>
    </w:p>
    <w:p w14:paraId="509907A1" w14:textId="77777777" w:rsidR="00582997" w:rsidRDefault="00000000">
      <w:pPr>
        <w:pStyle w:val="Heading2"/>
        <w:spacing w:line="480" w:lineRule="auto"/>
      </w:pPr>
      <w:r>
        <w:t>4.3 Limitations</w:t>
      </w:r>
    </w:p>
    <w:p w14:paraId="19C695E4" w14:textId="77777777" w:rsidR="00582997" w:rsidRDefault="00000000">
      <w:pPr>
        <w:spacing w:after="120" w:line="480" w:lineRule="auto"/>
        <w:ind w:firstLine="720"/>
        <w:jc w:val="both"/>
      </w:pPr>
      <w:r>
        <w:rPr>
          <w:rFonts w:eastAsia="Times New Roman"/>
        </w:rPr>
        <w:t xml:space="preserve">The single-subject design limits external generalizability by construction. The findings cannot be extended to other persons, or to this person at other points in time. Whether </w:t>
      </w:r>
      <w:proofErr w:type="gramStart"/>
      <w:r>
        <w:rPr>
          <w:rFonts w:eastAsia="Times New Roman"/>
        </w:rPr>
        <w:t>this individual exhibits</w:t>
      </w:r>
      <w:proofErr w:type="gramEnd"/>
      <w:r>
        <w:rPr>
          <w:rFonts w:eastAsia="Times New Roman"/>
        </w:rPr>
        <w:t xml:space="preserve"> unusually strong internal-driver organization, or whether a comparable contrast between internal and external variance is a general feature of affect under stable environmental conditions, cannot be settled from a single case.</w:t>
      </w:r>
    </w:p>
    <w:p w14:paraId="7270FC9B" w14:textId="77777777" w:rsidR="00582997" w:rsidRDefault="00000000">
      <w:pPr>
        <w:spacing w:after="120" w:line="480" w:lineRule="auto"/>
        <w:ind w:firstLine="720"/>
        <w:jc w:val="both"/>
      </w:pPr>
      <w:r>
        <w:rPr>
          <w:rFonts w:eastAsia="Times New Roman"/>
        </w:rPr>
        <w:t>The variability signal carries an inferential caveat of its own. Four significance tests bear on this signal, the Levene, MSSD, heteroskedasticity and state-dependent decay tests, and the strongest of them reached p = .149</w:t>
      </w:r>
      <w:r>
        <w:rPr>
          <w:rFonts w:eastAsia="Times New Roman"/>
          <w:i/>
        </w:rPr>
      </w:r>
      <w:r>
        <w:rPr>
          <w:rFonts w:eastAsia="Times New Roman"/>
        </w:rPr>
        <w:t>, so the present analysis cannot rule out that this result is a chance product of multiple testing. It is reported as suggestive, and it would need a design powered for variance effects to be treated as more than that.</w:t>
      </w:r>
    </w:p>
    <w:p w14:paraId="7397A9A9" w14:textId="77777777" w:rsidR="00582997" w:rsidRDefault="00000000">
      <w:pPr>
        <w:spacing w:after="120" w:line="480" w:lineRule="auto"/>
        <w:ind w:firstLine="720"/>
        <w:jc w:val="both"/>
      </w:pPr>
      <w:r>
        <w:rPr>
          <w:rFonts w:eastAsia="Times New Roman"/>
        </w:rPr>
        <w:t>Measurement and design impose further constraints. Mood, agency and metacognitive awareness were single-item self-reports collected at the same EMA prompt; single-item momentary measures carry non-trivial measurement error (</w:t>
      </w:r>
      <w:proofErr w:type="spellStart"/>
      <w:r>
        <w:rPr>
          <w:rFonts w:eastAsia="Times New Roman"/>
        </w:rPr>
        <w:t>Dejonckheere</w:t>
      </w:r>
      <w:proofErr w:type="spellEnd"/>
      <w:r>
        <w:rPr>
          <w:rFonts w:eastAsia="Times New Roman"/>
        </w:rPr>
        <w:t xml:space="preserve"> et al., 2022). The three internal variables also share an instrument, a reporter, and a response scale that the probe does not. Common-method variance may therefore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w:t>
      </w:r>
      <w:r>
        <w:rPr>
          <w:rFonts w:eastAsia="Times New Roman"/>
        </w:rPr>
        <w:lastRenderedPageBreak/>
        <w:t>not titrated, and EMA timing was approximate, with delayed responses retained within one hour of the scheduled prompt.</w:t>
      </w:r>
    </w:p>
    <w:p w14:paraId="1C54B30E" w14:textId="77777777" w:rsidR="00582997" w:rsidRDefault="00000000">
      <w:pPr>
        <w:spacing w:after="120" w:line="480" w:lineRule="auto"/>
        <w:ind w:firstLine="720"/>
        <w:jc w:val="both"/>
      </w:pPr>
      <w:r>
        <w:rPr>
          <w:rFonts w:eastAsia="Times New Roman"/>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w:t>
      </w:r>
    </w:p>
    <w:p w14:paraId="7865E0E5" w14:textId="77777777" w:rsidR="00582997" w:rsidRDefault="00000000">
      <w:pPr>
        <w:spacing w:after="120" w:line="480" w:lineRule="auto"/>
        <w:ind w:firstLine="720"/>
        <w:jc w:val="both"/>
      </w:pPr>
      <w:r>
        <w:rPr>
          <w:rFonts w:eastAsia="Times New Roman"/>
        </w:rPr>
        <w:t>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14:paraId="7771B5F6" w14:textId="77777777" w:rsidR="00582997" w:rsidRDefault="00000000">
      <w:pPr>
        <w:pStyle w:val="Heading2"/>
        <w:spacing w:line="480" w:lineRule="auto"/>
      </w:pPr>
      <w:r>
        <w:t>4.4 Contribution</w:t>
      </w:r>
    </w:p>
    <w:p w14:paraId="605E9979" w14:textId="77777777" w:rsidR="00582997" w:rsidRDefault="00000000">
      <w:pPr>
        <w:spacing w:after="120" w:line="480" w:lineRule="auto"/>
        <w:ind w:firstLine="720"/>
        <w:jc w:val="both"/>
      </w:pPr>
      <w:r>
        <w:rPr>
          <w:rFonts w:eastAsia="Times New Roman"/>
        </w:rPr>
        <w:t>What this study adds is an individual-level test of a claim usually argued at the population level. In one densely sampled person, the affective trajectory was far more strongly predicted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14:paraId="2832A195" w14:textId="77777777" w:rsidR="00582997" w:rsidRDefault="00000000">
      <w:pPr>
        <w:spacing w:after="120" w:line="480" w:lineRule="auto"/>
        <w:ind w:firstLine="720"/>
        <w:jc w:val="both"/>
      </w:pPr>
      <w:r>
        <w:rPr>
          <w:rFonts w:eastAsia="Times New Roman"/>
        </w:rPr>
        <w:lastRenderedPageBreak/>
        <w:t>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14:paraId="396D96D0" w14:textId="77777777" w:rsidR="00582997" w:rsidRDefault="00000000">
      <w:pPr>
        <w:spacing w:after="120" w:line="480" w:lineRule="auto"/>
        <w:ind w:firstLine="720"/>
        <w:jc w:val="both"/>
      </w:pPr>
      <w:r>
        <w:rPr>
          <w:rFonts w:eastAsia="Times New Roman"/>
        </w:rPr>
        <w:t xml:space="preserve">A natural extension is to incorporate objective sleep variables, for example actigraphy as in </w:t>
      </w:r>
      <w:proofErr w:type="spellStart"/>
      <w:r>
        <w:rPr>
          <w:rFonts w:eastAsia="Times New Roman"/>
        </w:rPr>
        <w:t>Knapen</w:t>
      </w:r>
      <w:proofErr w:type="spellEnd"/>
      <w:r>
        <w:rPr>
          <w:rFonts w:eastAsia="Times New Roman"/>
        </w:rPr>
        <w:t xml:space="preserve"> et al. (2025), so that the indirect path from melatonin through sleep to mood can be decomposed within the same idiographic framework.</w:t>
      </w:r>
    </w:p>
    <w:p w14:paraId="3C3F808E" w14:textId="77777777" w:rsidR="00582997" w:rsidRDefault="00000000">
      <w:pPr>
        <w:pStyle w:val="Heading1"/>
        <w:spacing w:line="480" w:lineRule="auto"/>
      </w:pPr>
      <w:r>
        <w:t>5. Acknowledgments</w:t>
      </w:r>
    </w:p>
    <w:p w14:paraId="6B339D00" w14:textId="77777777" w:rsidR="00582997" w:rsidRDefault="00000000">
      <w:pPr>
        <w:spacing w:after="120" w:line="480" w:lineRule="auto"/>
        <w:ind w:firstLine="720"/>
        <w:jc w:val="both"/>
      </w:pPr>
      <w:r>
        <w:rPr>
          <w:rFonts w:eastAsia="Times New Roman"/>
        </w:rPr>
        <w:t>This manuscript grew out of a course taught by David Lydon-Staley at the University of Pennsylvania. I am grateful for his extensive comments on the interim report that preceded this manuscript, as well as for his recommendation of the Journal for Person-Oriented Research as a venue for this work. I am also deeply grateful to Michael Rovine, whose detailed comments on two earlier drafts substantially strengthened the present version.</w:t>
      </w:r>
    </w:p>
    <w:p w14:paraId="361B0BE7" w14:textId="77777777" w:rsidR="00582997" w:rsidRDefault="00000000">
      <w:pPr>
        <w:pStyle w:val="Heading1"/>
        <w:spacing w:line="480" w:lineRule="auto"/>
      </w:pPr>
      <w:r>
        <w:t>6. Funding</w:t>
      </w:r>
    </w:p>
    <w:p w14:paraId="46A45CFB" w14:textId="77777777" w:rsidR="00582997" w:rsidRDefault="00000000">
      <w:pPr>
        <w:spacing w:after="120" w:line="480" w:lineRule="auto"/>
        <w:ind w:firstLine="720"/>
        <w:jc w:val="both"/>
      </w:pPr>
      <w:r>
        <w:rPr>
          <w:rFonts w:eastAsia="Times New Roman"/>
        </w:rPr>
        <w:t>This research received no specific grant from any funding agency in the public, commercial, or not-for-profit sectors.</w:t>
      </w:r>
    </w:p>
    <w:p w14:paraId="2A8FEEA3" w14:textId="77777777" w:rsidR="00582997" w:rsidRDefault="00000000">
      <w:pPr>
        <w:pStyle w:val="Heading1"/>
        <w:spacing w:line="480" w:lineRule="auto"/>
      </w:pPr>
      <w:r>
        <w:t>7. Author Contributions</w:t>
      </w:r>
    </w:p>
    <w:p w14:paraId="6EC2BACE" w14:textId="77777777" w:rsidR="00582997" w:rsidRDefault="00000000">
      <w:pPr>
        <w:spacing w:after="120" w:line="480" w:lineRule="auto"/>
        <w:ind w:firstLine="720"/>
        <w:jc w:val="both"/>
      </w:pPr>
      <w:r>
        <w:rPr>
          <w:rFonts w:eastAsia="Times New Roman"/>
        </w:rPr>
        <w:t>Miura Meng (MM) designed the study, collected the data, performed the statistical analyses, and wrote the manuscript. The author read and approved the final manuscript.</w:t>
      </w:r>
    </w:p>
    <w:p w14:paraId="3F8557A3" w14:textId="77777777" w:rsidR="00582997" w:rsidRDefault="00000000">
      <w:pPr>
        <w:pStyle w:val="Heading1"/>
        <w:spacing w:line="480" w:lineRule="auto"/>
      </w:pPr>
      <w:r>
        <w:lastRenderedPageBreak/>
        <w:t>8. Ethics Statement</w:t>
      </w:r>
    </w:p>
    <w:p w14:paraId="797FEA25" w14:textId="77777777" w:rsidR="00582997" w:rsidRDefault="00000000">
      <w:pPr>
        <w:spacing w:after="120" w:line="480" w:lineRule="auto"/>
        <w:ind w:firstLine="720"/>
        <w:jc w:val="both"/>
      </w:pPr>
      <w:r>
        <w:rPr>
          <w:rFonts w:eastAsia="Times New Roman"/>
        </w:rPr>
        <w:t>The University of Pennsylvania Institutional Review Board reviewed this study and determined that it constitutes Not Human Subjects Research, so formal Institutional Review Board approval was not required. The determination was issued by email on May 13, 2026. Determinations of this kind are not assigned an approval number, and the correspondence is available from the author on request. As the sole investigator and sole participant, the author consented to her own participation.</w:t>
      </w:r>
    </w:p>
    <w:p w14:paraId="3B4676CB" w14:textId="77777777" w:rsidR="00582997" w:rsidRDefault="00000000">
      <w:pPr>
        <w:pStyle w:val="Heading1"/>
        <w:spacing w:line="480" w:lineRule="auto"/>
      </w:pPr>
      <w:r>
        <w:t>9. Data and Code Availability</w:t>
      </w:r>
    </w:p>
    <w:p w14:paraId="19480C0F" w14:textId="77777777" w:rsidR="00582997" w:rsidRDefault="00000000">
      <w:pPr>
        <w:spacing w:after="120" w:line="480" w:lineRule="auto"/>
        <w:ind w:firstLine="720"/>
        <w:jc w:val="both"/>
      </w:pPr>
      <w:r>
        <w:rPr>
          <w:rFonts w:eastAsia="Times New Roman"/>
        </w:rPr>
        <w:t>Data and analysis code are available at https://github.com/haomeng797-ship-it/n-of-1-melatonin-study. The repository contains the pre-specified randomization schedule with a script that verifies it against the protocol constraints, the Python validation layer, the archived 195-record EMA log, the documented analysis-inclusion rule and the 193-record analytic dataset it produces, and reproducible scripts for the figures and statistical estimates reported here. Documentation and an installable copy of the Shortcut used for data collection are available at https://github.com/haomeng797-ship-it/melatonin-ema-logger. The same repository also contains source code for a native iOS implementation developed after data collection; that application was not used in this study. The constrained-randomization procedure used to generate the schedule was later incorporated into nof1kit (Version 0.1.0; Meng, 2026).</w:t>
      </w:r>
    </w:p>
    <w:p w14:paraId="7C036BC5" w14:textId="77777777" w:rsidR="00582997" w:rsidRDefault="00000000">
      <w:pPr>
        <w:pStyle w:val="Heading1"/>
      </w:pPr>
      <w:r>
        <w:t>10. Declaration of Interests</w:t>
      </w:r>
    </w:p>
    <w:p w14:paraId="2A4A59FB" w14:textId="77777777" w:rsidR="00582997" w:rsidRDefault="00000000">
      <w:pPr>
        <w:spacing w:line="480" w:lineRule="auto" w:after="120"/>
        <w:ind w:firstLine="720"/>
        <w:jc w:val="both"/>
      </w:pPr>
      <w:r>
        <w:t>The author declares that there is no conflict of interest.</w:t>
      </w:r>
    </w:p>
    <w:p w14:paraId="016ABDF1" w14:textId="77777777" w:rsidR="00582997" w:rsidRDefault="00000000">
      <w:pPr>
        <w:pStyle w:val="Heading1"/>
        <w:spacing w:line="480" w:lineRule="auto"/>
      </w:pPr>
      <w:r>
        <w:t>11. References</w:t>
      </w:r>
    </w:p>
    <w:p w14:paraId="77056C29" w14:textId="77777777" w:rsidR="00582997" w:rsidRDefault="00000000">
      <w:pPr>
        <w:spacing w:after="120" w:line="480" w:lineRule="auto"/>
        <w:ind w:left="720" w:hanging="720"/>
      </w:pPr>
      <w:r>
        <w:rPr>
          <w:rFonts w:eastAsia="Times New Roman"/>
        </w:rPr>
        <w:lastRenderedPageBreak/>
        <w:t xml:space="preserve">Bandura, A. (1989). Human agency in social cognitive theory. </w:t>
      </w:r>
      <w:r>
        <w:rPr>
          <w:rFonts w:eastAsia="Times New Roman"/>
          <w:i/>
          <w:iCs/>
        </w:rPr>
        <w:t>American Psychologist, 44</w:t>
      </w:r>
      <w:r>
        <w:rPr>
          <w:rFonts w:eastAsia="Times New Roman"/>
        </w:rPr>
        <w:t>(9), 1175–1184.</w:t>
      </w:r>
      <w:r>
        <w:rPr>
          <w:rFonts w:eastAsia="Times New Roman"/>
          <w:color w:val="1A56DB"/>
          <w:u w:val="single"/>
        </w:rPr>
        <w:t xml:space="preserve"> https://doi.org/10.1037/0003-066X.44.9.1175</w:t>
      </w:r>
    </w:p>
    <w:p w14:paraId="26136825" w14:textId="77777777" w:rsidR="00582997" w:rsidRDefault="00000000">
      <w:pPr>
        <w:spacing w:after="120" w:line="480" w:lineRule="auto"/>
        <w:ind w:left="720" w:hanging="720"/>
      </w:pPr>
      <w:r>
        <w:rPr>
          <w:rFonts w:eastAsia="Times New Roman"/>
        </w:rPr>
        <w:t xml:space="preserve">Bandura, A. (2001). Social cognitive theory: An agentic perspective. </w:t>
      </w:r>
      <w:r>
        <w:rPr>
          <w:rFonts w:eastAsia="Times New Roman"/>
          <w:i/>
          <w:iCs/>
        </w:rPr>
        <w:t>Annual Review of Psychology, 52</w:t>
      </w:r>
      <w:r>
        <w:rPr>
          <w:rFonts w:eastAsia="Times New Roman"/>
        </w:rPr>
        <w:t>, 1–26.</w:t>
      </w:r>
      <w:r>
        <w:rPr>
          <w:rFonts w:eastAsia="Times New Roman"/>
          <w:color w:val="1A56DB"/>
          <w:u w:val="single"/>
        </w:rPr>
        <w:t xml:space="preserve"> https://doi.org/10.1146/annurev.psych.52.1.1</w:t>
      </w:r>
    </w:p>
    <w:p w14:paraId="518F0D0F" w14:textId="77777777" w:rsidR="00582997" w:rsidRDefault="00000000">
      <w:pPr>
        <w:spacing w:after="120" w:line="480" w:lineRule="auto"/>
        <w:ind w:left="720" w:hanging="720"/>
      </w:pPr>
      <w:r>
        <w:rPr>
          <w:rFonts w:eastAsia="Times New Roman"/>
        </w:rPr>
        <w:t xml:space="preserve">Bandura, A. (2006). Toward a psychology of human agency. </w:t>
      </w:r>
      <w:r>
        <w:rPr>
          <w:rFonts w:eastAsia="Times New Roman"/>
          <w:i/>
          <w:iCs/>
        </w:rPr>
        <w:t>Perspectives on Psychological Science, 1</w:t>
      </w:r>
      <w:r>
        <w:rPr>
          <w:rFonts w:eastAsia="Times New Roman"/>
        </w:rPr>
        <w:t>(2), 164–180.</w:t>
      </w:r>
      <w:r>
        <w:rPr>
          <w:rFonts w:eastAsia="Times New Roman"/>
          <w:color w:val="1A56DB"/>
          <w:u w:val="single"/>
        </w:rPr>
        <w:t xml:space="preserve"> https://doi.org/10.1111/j.1745-6916.2006.00011.x</w:t>
      </w:r>
    </w:p>
    <w:p w14:paraId="77F4EC6F" w14:textId="77777777" w:rsidR="00582997" w:rsidRDefault="00000000">
      <w:pPr>
        <w:spacing w:after="120" w:line="480" w:lineRule="auto"/>
        <w:ind w:left="720" w:hanging="720"/>
      </w:pPr>
      <w:r>
        <w:rPr>
          <w:rFonts w:eastAsia="Times New Roman"/>
        </w:rPr>
        <w:t xml:space="preserve">Barta, W. D., Tennen, H., &amp; Litt, M. D. (2012). Measurement reactivity in diary research. In M. R. Mehl &amp; T. S. Conner (Eds.), </w:t>
      </w:r>
      <w:r>
        <w:rPr>
          <w:rFonts w:eastAsia="Times New Roman"/>
          <w:i/>
          <w:iCs/>
        </w:rPr>
        <w:t>Handbook of research methods for studying daily life</w:t>
      </w:r>
      <w:r>
        <w:rPr>
          <w:rFonts w:eastAsia="Times New Roman"/>
        </w:rPr>
        <w:t xml:space="preserve"> (pp. 108–123). Guilford Press.</w:t>
      </w:r>
    </w:p>
    <w:p w14:paraId="0A1F656C" w14:textId="77777777" w:rsidR="00582997" w:rsidRDefault="00000000">
      <w:pPr>
        <w:spacing w:after="120" w:line="480" w:lineRule="auto"/>
        <w:ind w:left="720" w:hanging="720"/>
      </w:pPr>
      <w:r>
        <w:rPr>
          <w:rFonts w:eastAsia="Times New Roman"/>
        </w:rPr>
        <w:t xml:space="preserve">Bates, D., </w:t>
      </w:r>
      <w:proofErr w:type="spellStart"/>
      <w:r>
        <w:rPr>
          <w:rFonts w:eastAsia="Times New Roman"/>
        </w:rPr>
        <w:t>Mächler</w:t>
      </w:r>
      <w:proofErr w:type="spellEnd"/>
      <w:r>
        <w:rPr>
          <w:rFonts w:eastAsia="Times New Roman"/>
        </w:rPr>
        <w:t xml:space="preserve">, M., Bolker, B., &amp; Walker, S. (2015). Fitting linear mixed-effects models using lme4. </w:t>
      </w:r>
      <w:r>
        <w:rPr>
          <w:rFonts w:eastAsia="Times New Roman"/>
          <w:i/>
          <w:iCs/>
        </w:rPr>
        <w:t>Journal of Statistical Software, 67</w:t>
      </w:r>
      <w:r>
        <w:rPr>
          <w:rFonts w:eastAsia="Times New Roman"/>
        </w:rPr>
        <w:t>(1), 1–48. https://doi.org/10.18637/jss.v067.i01</w:t>
      </w:r>
    </w:p>
    <w:p w14:paraId="7182A6E4" w14:textId="77777777" w:rsidR="00582997" w:rsidRDefault="00000000">
      <w:pPr>
        <w:spacing w:after="120" w:line="480" w:lineRule="auto"/>
        <w:ind w:left="720" w:hanging="720"/>
      </w:pPr>
      <w:r>
        <w:rPr>
          <w:rFonts w:eastAsia="Times New Roman"/>
        </w:rPr>
        <w:t xml:space="preserve">Bringmann, L. F., Vissers, N., Wichers, M., Geschwind, N., </w:t>
      </w:r>
      <w:proofErr w:type="spellStart"/>
      <w:r>
        <w:rPr>
          <w:rFonts w:eastAsia="Times New Roman"/>
        </w:rPr>
        <w:t>Kuppens</w:t>
      </w:r>
      <w:proofErr w:type="spellEnd"/>
      <w:r>
        <w:rPr>
          <w:rFonts w:eastAsia="Times New Roman"/>
        </w:rPr>
        <w:t xml:space="preserve">, P., Peeters, F., Borsboom, D., &amp; </w:t>
      </w:r>
      <w:proofErr w:type="spellStart"/>
      <w:r>
        <w:rPr>
          <w:rFonts w:eastAsia="Times New Roman"/>
        </w:rPr>
        <w:t>Tuerlinckx</w:t>
      </w:r>
      <w:proofErr w:type="spellEnd"/>
      <w:r>
        <w:rPr>
          <w:rFonts w:eastAsia="Times New Roman"/>
        </w:rPr>
        <w:t xml:space="preserve">, F. (2013). A network approach to psychopathology: New insights into clinical longitudinal data. </w:t>
      </w:r>
      <w:proofErr w:type="spellStart"/>
      <w:r>
        <w:rPr>
          <w:rFonts w:eastAsia="Times New Roman"/>
          <w:i/>
          <w:iCs/>
        </w:rPr>
        <w:t>PLoS</w:t>
      </w:r>
      <w:proofErr w:type="spellEnd"/>
      <w:r>
        <w:rPr>
          <w:rFonts w:eastAsia="Times New Roman"/>
          <w:i/>
          <w:iCs/>
        </w:rPr>
        <w:t xml:space="preserve"> ONE, 8</w:t>
      </w:r>
      <w:r>
        <w:rPr>
          <w:rFonts w:eastAsia="Times New Roman"/>
        </w:rPr>
        <w:t>(4), e60188.</w:t>
      </w:r>
      <w:r>
        <w:rPr>
          <w:rFonts w:eastAsia="Times New Roman"/>
          <w:color w:val="1A56DB"/>
          <w:u w:val="single"/>
        </w:rPr>
        <w:t xml:space="preserve"> https://doi.org/10.1371/journal.pone.0060188</w:t>
      </w:r>
    </w:p>
    <w:p w14:paraId="3C495DAF" w14:textId="77777777" w:rsidR="00582997" w:rsidRDefault="00000000">
      <w:pPr>
        <w:spacing w:after="120" w:line="480" w:lineRule="auto"/>
        <w:ind w:left="720" w:hanging="720"/>
      </w:pPr>
      <w:r>
        <w:rPr>
          <w:rFonts w:eastAsia="Times New Roman"/>
        </w:rPr>
        <w:t xml:space="preserve">Bringmann, L. F., Albers, C., Bockting, C., Borsboom, D., Ceulemans, E., Cramer, A. O. J., </w:t>
      </w:r>
      <w:proofErr w:type="spellStart"/>
      <w:r>
        <w:rPr>
          <w:rFonts w:eastAsia="Times New Roman"/>
        </w:rPr>
        <w:t>Epskamp</w:t>
      </w:r>
      <w:proofErr w:type="spellEnd"/>
      <w:r>
        <w:rPr>
          <w:rFonts w:eastAsia="Times New Roman"/>
        </w:rPr>
        <w:t xml:space="preserve">, S., Eronen, M. I., Hamaker, E., </w:t>
      </w:r>
      <w:proofErr w:type="spellStart"/>
      <w:r>
        <w:rPr>
          <w:rFonts w:eastAsia="Times New Roman"/>
        </w:rPr>
        <w:t>Kuppens</w:t>
      </w:r>
      <w:proofErr w:type="spellEnd"/>
      <w:r>
        <w:rPr>
          <w:rFonts w:eastAsia="Times New Roman"/>
        </w:rPr>
        <w:t xml:space="preserve">, P., Lutz, W., McNally, R. J., Molenaar, P., Tio, P., </w:t>
      </w:r>
      <w:proofErr w:type="spellStart"/>
      <w:r>
        <w:rPr>
          <w:rFonts w:eastAsia="Times New Roman"/>
        </w:rPr>
        <w:t>Voelkle</w:t>
      </w:r>
      <w:proofErr w:type="spellEnd"/>
      <w:r>
        <w:rPr>
          <w:rFonts w:eastAsia="Times New Roman"/>
        </w:rPr>
        <w:t xml:space="preserve">, M. C., &amp; Wichers, M. (2022). Psychopathological networks: Theory, methods and practice. </w:t>
      </w:r>
      <w:proofErr w:type="spellStart"/>
      <w:r>
        <w:rPr>
          <w:i/>
        </w:rPr>
        <w:t>Behaviour</w:t>
      </w:r>
      <w:proofErr w:type="spellEnd"/>
      <w:r>
        <w:rPr>
          <w:i/>
        </w:rPr>
        <w:t xml:space="preserve"> Research and Therapy, 149</w:t>
      </w:r>
      <w:r>
        <w:t>, 104011. https://doi.org/10.1016/j.brat.2021.104011</w:t>
      </w:r>
    </w:p>
    <w:p w14:paraId="659BC8C8" w14:textId="77777777" w:rsidR="00582997" w:rsidRDefault="00000000">
      <w:pPr>
        <w:spacing w:after="120" w:line="480" w:lineRule="auto"/>
        <w:ind w:left="720" w:hanging="720"/>
      </w:pPr>
      <w:r>
        <w:rPr>
          <w:rFonts w:eastAsia="Times New Roman"/>
        </w:rPr>
        <w:lastRenderedPageBreak/>
        <w:t xml:space="preserve">Carver, C. S., &amp; Scheier, M. F. (1990). Origins and functions of positive and negative affect: A control-process view. </w:t>
      </w:r>
      <w:r>
        <w:rPr>
          <w:rFonts w:eastAsia="Times New Roman"/>
          <w:i/>
          <w:iCs/>
        </w:rPr>
        <w:t>Psychological Review, 97</w:t>
      </w:r>
      <w:r>
        <w:rPr>
          <w:rFonts w:eastAsia="Times New Roman"/>
        </w:rPr>
        <w:t>(1), 19–35.</w:t>
      </w:r>
      <w:r>
        <w:rPr>
          <w:rFonts w:eastAsia="Times New Roman"/>
          <w:color w:val="1A56DB"/>
          <w:u w:val="single"/>
        </w:rPr>
        <w:t xml:space="preserve"> https://doi.org/10.1037/0033-295X.97.1.19</w:t>
      </w:r>
    </w:p>
    <w:p w14:paraId="24728211" w14:textId="77777777" w:rsidR="00582997" w:rsidRDefault="00000000">
      <w:pPr>
        <w:spacing w:after="120" w:line="480" w:lineRule="auto"/>
        <w:ind w:left="720" w:hanging="720"/>
      </w:pPr>
      <w:r>
        <w:rPr>
          <w:rFonts w:eastAsia="Times New Roman"/>
        </w:rPr>
        <w:t xml:space="preserve">Carver, C. S., &amp; Scheier, M. F. (1998). </w:t>
      </w:r>
      <w:r>
        <w:rPr>
          <w:rFonts w:eastAsia="Times New Roman"/>
          <w:i/>
          <w:iCs/>
        </w:rPr>
        <w:t>On the self-regulation of behavior</w:t>
      </w:r>
      <w:r>
        <w:rPr>
          <w:rFonts w:eastAsia="Times New Roman"/>
        </w:rPr>
        <w:t>. Cambridge University Press.</w:t>
      </w:r>
    </w:p>
    <w:p w14:paraId="57F47EBF" w14:textId="77777777" w:rsidR="00582997" w:rsidRDefault="00000000">
      <w:pPr>
        <w:spacing w:after="120" w:line="480" w:lineRule="auto"/>
        <w:ind w:left="720" w:hanging="720"/>
      </w:pPr>
      <w:r>
        <w:rPr>
          <w:rFonts w:eastAsia="Times New Roman"/>
        </w:rPr>
        <w:t xml:space="preserve">Conner, T. S., &amp; Reid, K. A. (2012). Effects of intensive mobile happiness reporting in daily life. </w:t>
      </w:r>
      <w:r>
        <w:rPr>
          <w:rFonts w:eastAsia="Times New Roman"/>
          <w:i/>
          <w:iCs/>
        </w:rPr>
        <w:t>Social Psychological and Personality Science, 3</w:t>
      </w:r>
      <w:r>
        <w:rPr>
          <w:rFonts w:eastAsia="Times New Roman"/>
        </w:rPr>
        <w:t>(3), 315–323.</w:t>
      </w:r>
      <w:r>
        <w:rPr>
          <w:rFonts w:eastAsia="Times New Roman"/>
          <w:color w:val="1A56DB"/>
          <w:u w:val="single"/>
        </w:rPr>
        <w:t xml:space="preserve"> https://doi.org/10.1177/1948550611419677</w:t>
      </w:r>
    </w:p>
    <w:p w14:paraId="59AF448B" w14:textId="77777777" w:rsidR="00582997" w:rsidRDefault="00000000">
      <w:pPr>
        <w:spacing w:after="120" w:line="480" w:lineRule="auto"/>
        <w:ind w:left="720" w:hanging="720"/>
      </w:pPr>
      <w:proofErr w:type="spellStart"/>
      <w:r>
        <w:rPr>
          <w:rFonts w:eastAsia="Times New Roman"/>
        </w:rPr>
        <w:t>Dejonckheere</w:t>
      </w:r>
      <w:proofErr w:type="spellEnd"/>
      <w:r>
        <w:rPr>
          <w:rFonts w:eastAsia="Times New Roman"/>
        </w:rPr>
        <w:t xml:space="preserve">, E., Demeyer, F., Geusens, B., Piot, M., </w:t>
      </w:r>
      <w:proofErr w:type="spellStart"/>
      <w:r>
        <w:rPr>
          <w:rFonts w:eastAsia="Times New Roman"/>
        </w:rPr>
        <w:t>Tuerlinckx</w:t>
      </w:r>
      <w:proofErr w:type="spellEnd"/>
      <w:r>
        <w:rPr>
          <w:rFonts w:eastAsia="Times New Roman"/>
        </w:rPr>
        <w:t xml:space="preserve">, F., Verdonck, S., &amp; Mestdagh, M. (2022). Assessing the reliability of single-item momentary affective measurements in experience sampling. </w:t>
      </w:r>
      <w:r>
        <w:rPr>
          <w:rFonts w:eastAsia="Times New Roman"/>
          <w:i/>
          <w:iCs/>
        </w:rPr>
        <w:t>Psychological Assessment, 34</w:t>
      </w:r>
      <w:r>
        <w:rPr>
          <w:rFonts w:eastAsia="Times New Roman"/>
        </w:rPr>
        <w:t>(12), 1138–1154.</w:t>
      </w:r>
      <w:r>
        <w:rPr>
          <w:rFonts w:eastAsia="Times New Roman"/>
          <w:color w:val="1A56DB"/>
          <w:u w:val="single"/>
        </w:rPr>
        <w:t xml:space="preserve"> https://doi.org/10.1037/pas0001178</w:t>
      </w:r>
    </w:p>
    <w:p w14:paraId="33E57C90" w14:textId="77777777" w:rsidR="00582997" w:rsidRDefault="00000000">
      <w:pPr>
        <w:spacing w:after="120" w:line="480" w:lineRule="auto"/>
        <w:ind w:left="720" w:hanging="720"/>
      </w:pPr>
      <w:proofErr w:type="spellStart"/>
      <w:r>
        <w:rPr>
          <w:rFonts w:eastAsia="Times New Roman"/>
        </w:rPr>
        <w:t>Efklides</w:t>
      </w:r>
      <w:proofErr w:type="spellEnd"/>
      <w:r>
        <w:rPr>
          <w:rFonts w:eastAsia="Times New Roman"/>
        </w:rPr>
        <w:t xml:space="preserve">, A. (2008). Metacognition: Defining its facets and levels of functioning in relation to self-regulation and co-regulation. </w:t>
      </w:r>
      <w:r>
        <w:rPr>
          <w:rFonts w:eastAsia="Times New Roman"/>
          <w:i/>
          <w:iCs/>
        </w:rPr>
        <w:t>European Psychologist, 13</w:t>
      </w:r>
      <w:r>
        <w:rPr>
          <w:rFonts w:eastAsia="Times New Roman"/>
        </w:rPr>
        <w:t>(4), 277–287.</w:t>
      </w:r>
      <w:r>
        <w:rPr>
          <w:rFonts w:eastAsia="Times New Roman"/>
          <w:color w:val="1A56DB"/>
          <w:u w:val="single"/>
        </w:rPr>
        <w:t xml:space="preserve"> https://doi.org/10.1027/1016-9040.13.4.277</w:t>
      </w:r>
    </w:p>
    <w:p w14:paraId="05E861A7" w14:textId="77777777" w:rsidR="00582997" w:rsidRDefault="00000000">
      <w:pPr>
        <w:spacing w:after="120" w:line="480" w:lineRule="auto"/>
        <w:ind w:left="720" w:hanging="720"/>
      </w:pPr>
      <w:r>
        <w:rPr>
          <w:rFonts w:eastAsia="Times New Roman"/>
        </w:rPr>
        <w:t xml:space="preserve">Eisele, G., Vachon, H., </w:t>
      </w:r>
      <w:proofErr w:type="spellStart"/>
      <w:r>
        <w:rPr>
          <w:rFonts w:eastAsia="Times New Roman"/>
        </w:rPr>
        <w:t>Lafit</w:t>
      </w:r>
      <w:proofErr w:type="spellEnd"/>
      <w:r>
        <w:rPr>
          <w:rFonts w:eastAsia="Times New Roman"/>
        </w:rPr>
        <w:t xml:space="preserve">, G., </w:t>
      </w:r>
      <w:proofErr w:type="spellStart"/>
      <w:r>
        <w:rPr>
          <w:rFonts w:eastAsia="Times New Roman"/>
        </w:rPr>
        <w:t>Kuppens</w:t>
      </w:r>
      <w:proofErr w:type="spellEnd"/>
      <w:r>
        <w:rPr>
          <w:rFonts w:eastAsia="Times New Roman"/>
        </w:rPr>
        <w:t xml:space="preserve">, P., Houben, M., Myin-Germeys, I., &amp; </w:t>
      </w:r>
      <w:proofErr w:type="spellStart"/>
      <w:r>
        <w:rPr>
          <w:rFonts w:eastAsia="Times New Roman"/>
        </w:rPr>
        <w:t>Viechtbauer</w:t>
      </w:r>
      <w:proofErr w:type="spellEnd"/>
      <w:r>
        <w:rPr>
          <w:rFonts w:eastAsia="Times New Roman"/>
        </w:rPr>
        <w:t xml:space="preserve">, W. (2022). The effects of sampling frequency and questionnaire length on perceived burden, compliance, and careless responding in experience sampling data in a student population. </w:t>
      </w:r>
      <w:r>
        <w:rPr>
          <w:rFonts w:eastAsia="Times New Roman"/>
          <w:i/>
          <w:iCs/>
        </w:rPr>
        <w:t>Assessment, 29</w:t>
      </w:r>
      <w:r>
        <w:rPr>
          <w:rFonts w:eastAsia="Times New Roman"/>
        </w:rPr>
        <w:t>(2), 136–151.</w:t>
      </w:r>
      <w:r>
        <w:rPr>
          <w:rFonts w:eastAsia="Times New Roman"/>
          <w:color w:val="1A56DB"/>
          <w:u w:val="single"/>
        </w:rPr>
        <w:t xml:space="preserve"> https://doi.org/10.1177/1073191120957102</w:t>
      </w:r>
    </w:p>
    <w:p w14:paraId="3EF70621" w14:textId="77777777" w:rsidR="00582997" w:rsidRDefault="00000000">
      <w:pPr>
        <w:spacing w:after="120" w:line="480" w:lineRule="auto"/>
        <w:ind w:left="720" w:hanging="720"/>
      </w:pPr>
      <w:r>
        <w:rPr>
          <w:rFonts w:eastAsia="Times New Roman"/>
        </w:rPr>
        <w:t xml:space="preserve">Flavell, J. H. (1979). Metacognition and cognitive monitoring: A new area of cognitive–developmental inquiry. </w:t>
      </w:r>
      <w:r>
        <w:rPr>
          <w:rFonts w:eastAsia="Times New Roman"/>
          <w:i/>
          <w:iCs/>
        </w:rPr>
        <w:t>American Psychologist, 34</w:t>
      </w:r>
      <w:r>
        <w:rPr>
          <w:rFonts w:eastAsia="Times New Roman"/>
        </w:rPr>
        <w:t>(10), 906–911.</w:t>
      </w:r>
      <w:r>
        <w:rPr>
          <w:rFonts w:eastAsia="Times New Roman"/>
          <w:color w:val="1A56DB"/>
          <w:u w:val="single"/>
        </w:rPr>
        <w:t xml:space="preserve"> https://doi.org/10.1037/0003-066X.34.10.906</w:t>
      </w:r>
    </w:p>
    <w:p w14:paraId="25B2FE40" w14:textId="77777777" w:rsidR="00582997" w:rsidRDefault="00000000">
      <w:pPr>
        <w:spacing w:after="120" w:line="480" w:lineRule="auto"/>
        <w:ind w:left="720" w:hanging="720"/>
      </w:pPr>
      <w:r>
        <w:rPr>
          <w:rFonts w:eastAsia="Times New Roman"/>
        </w:rPr>
        <w:lastRenderedPageBreak/>
        <w:t xml:space="preserve">Hamaker, E. L. (2012). Why researchers should think “within-person”: A paradigmatic rationale. In M. R. Mehl &amp; T. S. Conner (Eds.), </w:t>
      </w:r>
      <w:r>
        <w:rPr>
          <w:rFonts w:eastAsia="Times New Roman"/>
          <w:i/>
          <w:iCs/>
        </w:rPr>
        <w:t>Handbook of research methods for studying daily life</w:t>
      </w:r>
      <w:r>
        <w:rPr>
          <w:rFonts w:eastAsia="Times New Roman"/>
        </w:rPr>
        <w:t xml:space="preserve"> (pp. 43–61). Guilford Press.</w:t>
      </w:r>
    </w:p>
    <w:p w14:paraId="5ED0A40E" w14:textId="77777777" w:rsidR="00582997" w:rsidRDefault="00000000">
      <w:pPr>
        <w:spacing w:after="120" w:line="480" w:lineRule="auto"/>
        <w:ind w:left="720" w:hanging="720"/>
      </w:pPr>
      <w:r>
        <w:rPr>
          <w:rFonts w:eastAsia="Times New Roman"/>
        </w:rPr>
        <w:t xml:space="preserve">Houben, M., Van Den Noortgate, W., &amp; </w:t>
      </w:r>
      <w:proofErr w:type="spellStart"/>
      <w:r>
        <w:rPr>
          <w:rFonts w:eastAsia="Times New Roman"/>
        </w:rPr>
        <w:t>Kuppens</w:t>
      </w:r>
      <w:proofErr w:type="spellEnd"/>
      <w:r>
        <w:rPr>
          <w:rFonts w:eastAsia="Times New Roman"/>
        </w:rPr>
        <w:t xml:space="preserve">, P. (2015). The relation between short-term emotion dynamics and psychological well-being: A meta-analysis. </w:t>
      </w:r>
      <w:r>
        <w:rPr>
          <w:rFonts w:eastAsia="Times New Roman"/>
          <w:i/>
          <w:iCs/>
        </w:rPr>
        <w:t>Psychological Bulletin, 141</w:t>
      </w:r>
      <w:r>
        <w:rPr>
          <w:rFonts w:eastAsia="Times New Roman"/>
        </w:rPr>
        <w:t>(4), 901–930.</w:t>
      </w:r>
      <w:r>
        <w:rPr>
          <w:rFonts w:eastAsia="Times New Roman"/>
          <w:color w:val="1A56DB"/>
          <w:u w:val="single"/>
        </w:rPr>
        <w:t xml:space="preserve"> https://doi.org/10.1037/a0038822</w:t>
      </w:r>
    </w:p>
    <w:p w14:paraId="05329FE1" w14:textId="77777777" w:rsidR="00582997" w:rsidRDefault="00000000">
      <w:pPr>
        <w:spacing w:after="120" w:line="480" w:lineRule="auto"/>
        <w:ind w:left="720" w:hanging="720"/>
      </w:pPr>
      <w:r>
        <w:rPr>
          <w:rFonts w:eastAsia="Times New Roman"/>
        </w:rPr>
        <w:t xml:space="preserve">Jahng, S., Wood, P. K., &amp; Trull, T. J. (2008). Analysis of affective instability in ecological momentary assessment: Indices using successive difference and group comparison via multilevel modeling. </w:t>
      </w:r>
      <w:r>
        <w:rPr>
          <w:rFonts w:eastAsia="Times New Roman"/>
          <w:i/>
          <w:iCs/>
        </w:rPr>
        <w:t>Psychological Methods, 13</w:t>
      </w:r>
      <w:r>
        <w:rPr>
          <w:rFonts w:eastAsia="Times New Roman"/>
        </w:rPr>
        <w:t>(4), 354–375.</w:t>
      </w:r>
      <w:r>
        <w:rPr>
          <w:rFonts w:eastAsia="Times New Roman"/>
          <w:color w:val="1A56DB"/>
          <w:u w:val="single"/>
        </w:rPr>
        <w:t xml:space="preserve"> https://doi.org/10.1037/a0014173</w:t>
      </w:r>
    </w:p>
    <w:p w14:paraId="022C38B5" w14:textId="77777777" w:rsidR="00582997" w:rsidRDefault="00000000">
      <w:pPr>
        <w:spacing w:after="120" w:line="480" w:lineRule="auto"/>
        <w:ind w:left="720" w:hanging="720"/>
      </w:pPr>
      <w:proofErr w:type="spellStart"/>
      <w:r>
        <w:rPr>
          <w:rFonts w:eastAsia="Times New Roman"/>
        </w:rPr>
        <w:t xml:space="preserve">Knapen, S. E., Snippe, E., Smit, A. C., Schoevers, R. A., &amp; Riemersma-van der Lek, R. F. (2025). Sleep disturbances in the prodromal phase of mood episodes in patients with bipolar disorder: A replicated single-case design. </w:t>
      </w:r>
      <w:proofErr w:type="spellEnd"/>
      <w:proofErr w:type="spellStart"/>
      <w:proofErr w:type="spellEnd"/>
      <w:r>
        <w:rPr>
          <w:rFonts w:eastAsia="Times New Roman"/>
          <w:i/>
        </w:rPr>
        <w:t>Journal for Person-Oriented Research, 11</w:t>
      </w:r>
      <w:r>
        <w:rPr>
          <w:rFonts w:eastAsia="Times New Roman"/>
          <w:i w:val="0"/>
        </w:rPr>
        <w:t>(3), 142–168. https://doi.org/10.17505/jpor.2025.28202</w:t>
      </w:r>
    </w:p>
    <w:p w14:paraId="7588338B" w14:textId="77777777" w:rsidR="00582997" w:rsidRDefault="00000000">
      <w:pPr>
        <w:spacing w:after="120" w:line="480" w:lineRule="auto"/>
        <w:ind w:left="720" w:hanging="720"/>
      </w:pPr>
      <w:r>
        <w:rPr>
          <w:rFonts w:eastAsia="Times New Roman"/>
        </w:rPr>
        <w:t xml:space="preserve">Koval, P., &amp; </w:t>
      </w:r>
      <w:proofErr w:type="spellStart"/>
      <w:r>
        <w:rPr>
          <w:rFonts w:eastAsia="Times New Roman"/>
        </w:rPr>
        <w:t>Kuppens</w:t>
      </w:r>
      <w:proofErr w:type="spellEnd"/>
      <w:r>
        <w:rPr>
          <w:rFonts w:eastAsia="Times New Roman"/>
        </w:rPr>
        <w:t xml:space="preserve">, P. (2012). Changing emotion dynamics: Individual differences in the effect of anticipatory social stress on emotional inertia. </w:t>
      </w:r>
      <w:r>
        <w:rPr>
          <w:rFonts w:eastAsia="Times New Roman"/>
          <w:i/>
          <w:iCs/>
        </w:rPr>
        <w:t>Emotion, 12</w:t>
      </w:r>
      <w:r>
        <w:rPr>
          <w:rFonts w:eastAsia="Times New Roman"/>
        </w:rPr>
        <w:t>(2), 256–267.</w:t>
      </w:r>
      <w:r>
        <w:rPr>
          <w:rFonts w:eastAsia="Times New Roman"/>
          <w:color w:val="1A56DB"/>
          <w:u w:val="single"/>
        </w:rPr>
        <w:t xml:space="preserve"> https://doi.org/10.1037/a0024756</w:t>
      </w:r>
    </w:p>
    <w:p w14:paraId="052E59C2" w14:textId="77777777" w:rsidR="00582997" w:rsidRDefault="00000000">
      <w:pPr>
        <w:spacing w:after="120" w:line="480" w:lineRule="auto"/>
        <w:ind w:left="720" w:hanging="720"/>
      </w:pPr>
      <w:proofErr w:type="spellStart"/>
      <w:r>
        <w:rPr>
          <w:rFonts w:eastAsia="Times New Roman"/>
        </w:rPr>
        <w:t>Kuppens</w:t>
      </w:r>
      <w:proofErr w:type="spellEnd"/>
      <w:r>
        <w:rPr>
          <w:rFonts w:eastAsia="Times New Roman"/>
        </w:rPr>
        <w:t xml:space="preserve">, P., Allen, N. B., &amp; </w:t>
      </w:r>
      <w:proofErr w:type="spellStart"/>
      <w:r>
        <w:rPr>
          <w:rFonts w:eastAsia="Times New Roman"/>
        </w:rPr>
        <w:t>Sheeber</w:t>
      </w:r>
      <w:proofErr w:type="spellEnd"/>
      <w:r>
        <w:rPr>
          <w:rFonts w:eastAsia="Times New Roman"/>
        </w:rPr>
        <w:t xml:space="preserve">, L. B. (2010). Emotional inertia and psychological maladjustment. </w:t>
      </w:r>
      <w:r>
        <w:rPr>
          <w:rFonts w:eastAsia="Times New Roman"/>
          <w:i/>
          <w:iCs/>
        </w:rPr>
        <w:t>Psychological Science, 21</w:t>
      </w:r>
      <w:r>
        <w:rPr>
          <w:rFonts w:eastAsia="Times New Roman"/>
        </w:rPr>
        <w:t>(7), 984–991.</w:t>
      </w:r>
      <w:r>
        <w:rPr>
          <w:rFonts w:eastAsia="Times New Roman"/>
          <w:color w:val="1A56DB"/>
          <w:u w:val="single"/>
        </w:rPr>
        <w:t xml:space="preserve"> https://doi.org/10.1177/0956797610372634</w:t>
      </w:r>
    </w:p>
    <w:p w14:paraId="5E360E10" w14:textId="77777777" w:rsidR="00582997" w:rsidRDefault="00000000">
      <w:pPr>
        <w:spacing w:after="120" w:line="480" w:lineRule="auto"/>
        <w:ind w:left="720" w:hanging="720"/>
      </w:pPr>
      <w:r>
        <w:rPr>
          <w:rFonts w:eastAsia="Times New Roman"/>
        </w:rPr>
        <w:lastRenderedPageBreak/>
        <w:t xml:space="preserve">Kuznetsova, A., Brockhoff, P. B., &amp; Christensen, R. H. B. (2017). </w:t>
      </w:r>
      <w:proofErr w:type="spellStart"/>
      <w:r>
        <w:rPr>
          <w:rFonts w:eastAsia="Times New Roman"/>
        </w:rPr>
        <w:t>lmerTest</w:t>
      </w:r>
      <w:proofErr w:type="spellEnd"/>
      <w:r>
        <w:rPr>
          <w:rFonts w:eastAsia="Times New Roman"/>
        </w:rPr>
        <w:t xml:space="preserve"> package: Tests in linear mixed effects models. </w:t>
      </w:r>
      <w:r>
        <w:rPr>
          <w:rFonts w:eastAsia="Times New Roman"/>
          <w:i/>
          <w:iCs/>
        </w:rPr>
        <w:t>Journal of Statistical Software, 82</w:t>
      </w:r>
      <w:r>
        <w:rPr>
          <w:rFonts w:eastAsia="Times New Roman"/>
        </w:rPr>
        <w:t>(13), 1–26. https://doi.org/10.18637/jss.v082.i13</w:t>
      </w:r>
    </w:p>
    <w:p w14:paraId="5AC66A8E" w14:textId="77777777" w:rsidR="00582997" w:rsidRDefault="00000000">
      <w:pPr>
        <w:spacing w:after="120" w:line="480" w:lineRule="auto"/>
        <w:ind w:left="720" w:hanging="720"/>
      </w:pPr>
      <w:proofErr w:type="spellStart"/>
      <w:r>
        <w:rPr>
          <w:rFonts w:eastAsia="Times New Roman"/>
        </w:rPr>
        <w:t>Lakens</w:t>
      </w:r>
      <w:proofErr w:type="spellEnd"/>
      <w:r>
        <w:rPr>
          <w:rFonts w:eastAsia="Times New Roman"/>
        </w:rPr>
        <w:t xml:space="preserve">, D. (2017). Equivalence tests: A practical primer for </w:t>
      </w:r>
      <w:r>
        <w:rPr>
          <w:rFonts w:eastAsia="Times New Roman"/>
          <w:i/>
          <w:iCs/>
        </w:rPr>
        <w:t>t</w:t>
      </w:r>
      <w:r>
        <w:rPr>
          <w:rFonts w:eastAsia="Times New Roman"/>
        </w:rPr>
        <w:t xml:space="preserve"> tests, correlations, and meta-analyses. </w:t>
      </w:r>
      <w:r>
        <w:rPr>
          <w:rFonts w:eastAsia="Times New Roman"/>
          <w:i/>
          <w:iCs/>
        </w:rPr>
        <w:t>Social Psychological and Personality Science, 8</w:t>
      </w:r>
      <w:r>
        <w:rPr>
          <w:rFonts w:eastAsia="Times New Roman"/>
        </w:rPr>
        <w:t>(4), 355–362.</w:t>
      </w:r>
      <w:r>
        <w:rPr>
          <w:rFonts w:eastAsia="Times New Roman"/>
          <w:color w:val="1A56DB"/>
          <w:u w:val="single"/>
        </w:rPr>
        <w:t xml:space="preserve"> https://doi.org/10.1177/1948550617697177</w:t>
      </w:r>
    </w:p>
    <w:p w14:paraId="08F2B543" w14:textId="77777777" w:rsidR="00582997" w:rsidRDefault="00000000">
      <w:pPr>
        <w:spacing w:after="120" w:line="480" w:lineRule="auto"/>
        <w:ind w:left="720" w:hanging="720"/>
      </w:pPr>
      <w:r>
        <w:rPr>
          <w:rFonts w:eastAsia="Times New Roman"/>
        </w:rPr>
        <w:t xml:space="preserve">Meng, M. (2026). </w:t>
      </w:r>
      <w:r>
        <w:rPr>
          <w:i/>
        </w:rPr>
        <w:t>nof1kit: Design, monitor, and analyze single-case (N-of-1) intensive longitudinal studies</w:t>
      </w:r>
      <w:r>
        <w:t xml:space="preserve"> (Version 0.1.0) [Computer software]. Comprehensive R Archive Network. https://doi.org/10.32614/CRAN.package.nof1kit</w:t>
      </w:r>
    </w:p>
    <w:p w14:paraId="62207F7D" w14:textId="77777777" w:rsidR="00582997" w:rsidRDefault="00000000">
      <w:pPr>
        <w:spacing w:after="120" w:line="480" w:lineRule="auto"/>
        <w:ind w:left="720" w:hanging="720"/>
      </w:pPr>
      <w:r>
        <w:rPr>
          <w:rFonts w:eastAsia="Times New Roman"/>
        </w:rPr>
        <w:t xml:space="preserve">Metcalfe, J., &amp; Greene, M. J. (2007). Metacognition of agency. </w:t>
      </w:r>
      <w:r>
        <w:rPr>
          <w:rFonts w:eastAsia="Times New Roman"/>
          <w:i/>
          <w:iCs/>
        </w:rPr>
        <w:t>Journal of Experimental Psychology: General, 136</w:t>
      </w:r>
      <w:r>
        <w:rPr>
          <w:rFonts w:eastAsia="Times New Roman"/>
        </w:rPr>
        <w:t>(2), 184–199.</w:t>
      </w:r>
      <w:r>
        <w:rPr>
          <w:rFonts w:eastAsia="Times New Roman"/>
          <w:color w:val="1A56DB"/>
          <w:u w:val="single"/>
        </w:rPr>
        <w:t xml:space="preserve"> https://doi.org/10.1037/0096-3445.136.2.184</w:t>
      </w:r>
    </w:p>
    <w:p w14:paraId="13C7C870" w14:textId="77777777" w:rsidR="00582997" w:rsidRDefault="00000000">
      <w:pPr>
        <w:spacing w:after="120" w:line="480" w:lineRule="auto"/>
        <w:ind w:left="720" w:hanging="720"/>
      </w:pPr>
      <w:r>
        <w:rPr>
          <w:rFonts w:eastAsia="Times New Roman"/>
        </w:rPr>
        <w:t xml:space="preserve">Molenaar, P. C. M. (2004). A manifesto on psychology as idiographic science: Bringing the person back into scientific psychology, this time forever. </w:t>
      </w:r>
      <w:r>
        <w:rPr>
          <w:rFonts w:eastAsia="Times New Roman"/>
          <w:i/>
          <w:iCs/>
        </w:rPr>
        <w:t>Measurement: Interdisciplinary Research and Perspectives, 2</w:t>
      </w:r>
      <w:r>
        <w:rPr>
          <w:rFonts w:eastAsia="Times New Roman"/>
        </w:rPr>
        <w:t>(4), 201–218.</w:t>
      </w:r>
      <w:r>
        <w:rPr>
          <w:rFonts w:eastAsia="Times New Roman"/>
          <w:color w:val="1A56DB"/>
          <w:u w:val="single"/>
        </w:rPr>
        <w:t xml:space="preserve"> https://doi.org/10.1207/s15366359mea0204_1</w:t>
      </w:r>
    </w:p>
    <w:p w14:paraId="726124FC" w14:textId="77777777" w:rsidR="00582997" w:rsidRDefault="00000000">
      <w:pPr>
        <w:spacing w:after="120" w:line="480" w:lineRule="auto"/>
        <w:ind w:left="720" w:hanging="720"/>
      </w:pPr>
      <w:r>
        <w:rPr>
          <w:rFonts w:eastAsia="Times New Roman"/>
        </w:rPr>
        <w:t xml:space="preserve">Molenaar, P. C. M., &amp; Campbell, C. G. (2009). The new person-specific paradigm in psychology. </w:t>
      </w:r>
      <w:r>
        <w:rPr>
          <w:rFonts w:eastAsia="Times New Roman"/>
          <w:i/>
          <w:iCs/>
        </w:rPr>
        <w:t>Current Directions in Psychological Science, 18</w:t>
      </w:r>
      <w:r>
        <w:rPr>
          <w:rFonts w:eastAsia="Times New Roman"/>
        </w:rPr>
        <w:t>(2), 112–117.</w:t>
      </w:r>
      <w:r>
        <w:rPr>
          <w:rFonts w:eastAsia="Times New Roman"/>
          <w:color w:val="1A56DB"/>
          <w:u w:val="single"/>
        </w:rPr>
        <w:t xml:space="preserve"> https://doi.org/10.1111/j.1467-8721.2009.01619.x</w:t>
      </w:r>
    </w:p>
    <w:p w14:paraId="662980B8" w14:textId="77777777" w:rsidR="00582997" w:rsidRDefault="00000000">
      <w:pPr>
        <w:spacing w:after="120" w:line="480" w:lineRule="auto"/>
        <w:ind w:left="720" w:hanging="720"/>
      </w:pPr>
      <w:r>
        <w:rPr>
          <w:rFonts w:eastAsia="Times New Roman"/>
        </w:rPr>
        <w:lastRenderedPageBreak/>
        <w:t xml:space="preserve">Nelson, T. O., &amp; Narens, L. (1990). Metamemory: A theoretical framework and new findings. In G. H. Bower (Ed.), </w:t>
      </w:r>
      <w:r>
        <w:rPr>
          <w:rFonts w:eastAsia="Times New Roman"/>
          <w:i/>
          <w:iCs/>
        </w:rPr>
        <w:t>The psychology of learning and motivation</w:t>
      </w:r>
      <w:r>
        <w:rPr>
          <w:rFonts w:eastAsia="Times New Roman"/>
        </w:rPr>
        <w:t xml:space="preserve"> (Vol. 26, pp. 125–173). Academic Press.</w:t>
      </w:r>
      <w:r>
        <w:t xml:space="preserve"> https://doi.org/10.1016/S0079-7421(08)60053-5</w:t>
      </w:r>
    </w:p>
    <w:p w14:paraId="613C1285" w14:textId="77777777" w:rsidR="00582997" w:rsidRDefault="00000000">
      <w:pPr>
        <w:spacing w:after="120" w:line="480" w:lineRule="auto"/>
        <w:ind w:left="720" w:hanging="720"/>
      </w:pPr>
      <w:r>
        <w:rPr>
          <w:rFonts w:eastAsia="Times New Roman"/>
        </w:rPr>
        <w:t xml:space="preserve">Seabold, S., &amp; </w:t>
      </w:r>
      <w:proofErr w:type="spellStart"/>
      <w:r>
        <w:rPr>
          <w:rFonts w:eastAsia="Times New Roman"/>
        </w:rPr>
        <w:t>Perktold</w:t>
      </w:r>
      <w:proofErr w:type="spellEnd"/>
      <w:r>
        <w:rPr>
          <w:rFonts w:eastAsia="Times New Roman"/>
        </w:rPr>
        <w:t xml:space="preserve">, J. (2010). </w:t>
      </w:r>
      <w:proofErr w:type="spellStart"/>
      <w:r>
        <w:rPr>
          <w:rFonts w:eastAsia="Times New Roman"/>
        </w:rPr>
        <w:t>statsmodels</w:t>
      </w:r>
      <w:proofErr w:type="spellEnd"/>
      <w:r>
        <w:rPr>
          <w:rFonts w:eastAsia="Times New Roman"/>
        </w:rPr>
        <w:t xml:space="preserve">: Econometric and statistical modeling with Python. In </w:t>
      </w:r>
      <w:r>
        <w:rPr>
          <w:rFonts w:eastAsia="Times New Roman"/>
          <w:i/>
          <w:iCs/>
        </w:rPr>
        <w:t>Proceedings of the 9th Python in Science Conference</w:t>
      </w:r>
      <w:r>
        <w:rPr>
          <w:rFonts w:eastAsia="Times New Roman"/>
        </w:rPr>
        <w:t xml:space="preserve"> (pp. 92–96).</w:t>
      </w:r>
      <w:r>
        <w:t xml:space="preserve"> https://doi.org/10.25080/Majora-92bf1922-011</w:t>
      </w:r>
    </w:p>
    <w:p w14:paraId="589F65EF" w14:textId="77777777" w:rsidR="00582997" w:rsidRDefault="00000000">
      <w:pPr>
        <w:spacing w:after="120" w:line="480" w:lineRule="auto"/>
        <w:ind w:left="720" w:hanging="720"/>
      </w:pPr>
      <w:r>
        <w:rPr>
          <w:rFonts w:eastAsia="Times New Roman"/>
        </w:rPr>
        <w:t xml:space="preserve">Wichers, M. (2014). The dynamic nature of depression: A new micro-level perspective of mental disorder that meets current challenges. </w:t>
      </w:r>
      <w:r>
        <w:rPr>
          <w:rFonts w:eastAsia="Times New Roman"/>
          <w:i/>
          <w:iCs/>
        </w:rPr>
        <w:t>Psychological Medicine, 44</w:t>
      </w:r>
      <w:r>
        <w:rPr>
          <w:rFonts w:eastAsia="Times New Roman"/>
        </w:rPr>
        <w:t>(7), 1349–1360.</w:t>
      </w:r>
      <w:r>
        <w:rPr>
          <w:rFonts w:eastAsia="Times New Roman"/>
          <w:color w:val="1A56DB"/>
          <w:u w:val="single"/>
        </w:rPr>
        <w:t xml:space="preserve"> https://doi.org/10.1017/S0033291713001979</w:t>
      </w:r>
    </w:p>
    <w:p w14:paraId="589F65EF" w14:textId="77777777" w:rsidR="00582997" w:rsidRDefault="00000000">
      <w:pPr>
        <w:spacing w:after="120" w:line="480" w:lineRule="auto"/>
        <w:ind w:left="720" w:hanging="720"/>
      </w:pPr>
      <w:r>
        <w:rPr>
          <w:rFonts w:eastAsia="Times New Roman"/>
        </w:rPr>
        <w:t xml:space="preserve">Wolf, G. I., &amp; De Groot, M. (2020). A conceptual framework for personal science. </w:t>
      </w:r>
      <w:r>
        <w:rPr>
          <w:rFonts w:eastAsia="Times New Roman"/>
          <w:i/>
        </w:rPr>
        <w:t>Frontiers in Computer Science, 2</w:t>
      </w:r>
      <w:r>
        <w:rPr>
          <w:rFonts w:eastAsia="Times New Roman"/>
        </w:rPr>
        <w:t>, Article 21. https://doi.org/10.3389/fcomp.2020.00021</w:t>
      </w:r>
    </w:p>
    <w:p w14:paraId="7616780F" w14:textId="77777777" w:rsidR="00582997" w:rsidRDefault="00000000">
      <w:pPr>
        <w:pStyle w:val="Heading1"/>
        <w:spacing w:line="480" w:lineRule="auto"/>
      </w:pPr>
      <w:r>
        <w:t>Appendix A. Dynamic Structure of the Affective Series</w:t>
      </w:r>
    </w:p>
    <w:p w14:paraId="5708C96A" w14:textId="77777777" w:rsidR="00582997" w:rsidRDefault="00000000">
      <w:pPr>
        <w:spacing w:after="120" w:line="480" w:lineRule="auto"/>
        <w:ind w:firstLine="720"/>
        <w:jc w:val="both"/>
      </w:pPr>
      <w:r>
        <w:rPr>
          <w:rFonts w:eastAsia="Times New Roman"/>
        </w:rPr>
        <w:t>This appendix reports the analyses that characterize the dynamic structure of the daily mood series: emotional inertia at two sampling resolutions, the implied impulse response and half-life, and a local-level state-space decomposition. The methods are given in Sections 2.5.2 and 2.5.3, and they use wider samples than the Day 18–70 primary models: the full 70-day daily series and the timestamp-ordered observation series.</w:t>
      </w:r>
    </w:p>
    <w:p w14:paraId="0723CBFE" w14:textId="77777777" w:rsidR="00582997" w:rsidRDefault="00000000">
      <w:pPr>
        <w:spacing w:after="120" w:line="480" w:lineRule="auto"/>
        <w:ind w:firstLine="720"/>
        <w:jc w:val="both"/>
      </w:pPr>
      <w:r>
        <w:rPr>
          <w:rFonts w:eastAsia="Times New Roman"/>
        </w:rPr>
        <w:t xml:space="preserve">Three estimates of emotional inertia were computed. At the observation level (n = 192 lag-1 pairs across the full 193-observation analytic sample), </w:t>
      </w:r>
      <w:proofErr w:type="gramStart"/>
      <w:r>
        <w:rPr>
          <w:rFonts w:eastAsia="Times New Roman"/>
        </w:rPr>
        <w:t>AR(</w:t>
      </w:r>
      <w:proofErr w:type="gramEnd"/>
      <w:r>
        <w:rPr>
          <w:rFonts w:eastAsia="Times New Roman"/>
        </w:rPr>
        <w:t xml:space="preserve">1) estimation yielded </w:t>
      </w:r>
      <w:proofErr w:type="spellStart"/>
      <w:r>
        <w:rPr>
          <w:rFonts w:eastAsia="Times New Roman"/>
        </w:rPr>
        <w:t>φ_obs</w:t>
      </w:r>
      <w:proofErr w:type="spellEnd"/>
      <w:r>
        <w:rPr>
          <w:rFonts w:eastAsia="Times New Roman"/>
        </w:rPr>
        <w:t xml:space="preserve"> = 0.23, 95% CI [0.09, 0.36], </w:t>
      </w:r>
      <w:r>
        <w:rPr>
          <w:rFonts w:eastAsia="Times New Roman"/>
          <w:i/>
        </w:rPr>
        <w:t>p</w:t>
      </w:r>
      <w:r>
        <w:rPr>
          <w:rFonts w:eastAsia="Times New Roman"/>
        </w:rPr>
        <w:t xml:space="preserve"> = .002. At the daily level on the full 70-day sample (n = 69 lag-1 pairs), </w:t>
      </w:r>
      <w:proofErr w:type="spellStart"/>
      <w:r>
        <w:rPr>
          <w:rFonts w:eastAsia="Times New Roman"/>
        </w:rPr>
        <w:t>φ_day</w:t>
      </w:r>
      <w:proofErr w:type="spellEnd"/>
      <w:r>
        <w:rPr>
          <w:rFonts w:eastAsia="Times New Roman"/>
        </w:rPr>
        <w:t xml:space="preserve"> ≈ 0.42 (OLS point estimate 0.4155). On the Day 18–70 subsample used for the nested-model comparison in Section 3.2 (n = 53), the daily-level coefficient was φ = 0.33 (M0 in Table 1). The two daily-level estimates differ because of the sample window: the first 17 days of mood-only data contribute early variability that the nested-model subsample excludes. The system’s typical daily </w:t>
      </w:r>
      <w:r>
        <w:rPr>
          <w:rFonts w:eastAsia="Times New Roman"/>
        </w:rPr>
        <w:lastRenderedPageBreak/>
        <w:t>inertia is best characterized by the full-sample estimate, and the smaller nested-model coefficient should be read as a within-window estimate constrained by data availability.</w:t>
      </w:r>
      <w:r>
        <w:t xml:space="preserve"> At the observation level a second autoregressive lag was significant (φ₂ = 0.36, 95% CI [0.23, 0.49]), consistent with within-day structure that no single first-order process captures, reinforcing the resolution-specific reading in Section 3.4.</w:t>
      </w:r>
    </w:p>
    <w:p w14:paraId="035572A5" w14:textId="77777777" w:rsidR="00582997" w:rsidRDefault="00000000">
      <w:pPr>
        <w:spacing w:before="240" w:after="60"/>
        <w:jc w:val="center"/>
      </w:pPr>
      <w:r>
        <w:rPr>
          <w:noProof/>
        </w:rPr>
        <w:drawing>
          <wp:inline distT="0" distB="0" distL="0" distR="0" wp14:anchorId="27C09FF8" wp14:editId="23C5AE0F">
            <wp:extent cx="3043016" cy="3043016"/>
            <wp:effectExtent l="0" t="0" r="0" b="0"/>
            <wp:docPr id="1472181978"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a:xfrm>
                      <a:off x="0" y="0"/>
                      <a:ext cx="3043016" cy="3043016"/>
                    </a:xfrm>
                    <a:prstGeom prst="rect">
                      <a:avLst/>
                    </a:prstGeom>
                  </pic:spPr>
                </pic:pic>
              </a:graphicData>
            </a:graphic>
          </wp:inline>
        </w:drawing>
      </w:r>
    </w:p>
    <w:p w14:paraId="001BCD3B" w14:textId="77777777" w:rsidR="00582997" w:rsidRDefault="00000000">
      <w:pPr>
        <w:spacing w:before="60" w:after="60" w:line="480" w:lineRule="auto"/>
      </w:pPr>
      <w:r>
        <w:rPr>
          <w:rFonts w:eastAsia="Times New Roman"/>
          <w:b/>
          <w:bCs/>
          <w:sz w:val="22"/>
          <w:szCs w:val="22"/>
        </w:rPr>
        <w:t>Figure A.1.</w:t>
      </w:r>
      <w:r>
        <w:rPr>
          <w:rFonts w:eastAsia="Times New Roman"/>
          <w:bCs/>
          <w:sz w:val="22"/>
          <w:szCs w:val="22"/>
        </w:rPr>
        <w:t xml:space="preserve"> Lag-1 autocorrelation of daily mood across the 70-day sample.</w:t>
      </w:r>
    </w:p>
    <w:p w14:paraId="459D0722"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Each point represents one observation pair (mood at day t plotted against mood at day t − 1). The regression line corresponds to the OLS estimate </w:t>
      </w:r>
      <w:proofErr w:type="spellStart"/>
      <w:r>
        <w:rPr>
          <w:rFonts w:eastAsia="Times New Roman"/>
          <w:sz w:val="20"/>
          <w:szCs w:val="20"/>
        </w:rPr>
        <w:t>φ_day</w:t>
      </w:r>
      <w:proofErr w:type="spellEnd"/>
      <w:r>
        <w:rPr>
          <w:rFonts w:eastAsia="Times New Roman"/>
          <w:sz w:val="20"/>
          <w:szCs w:val="20"/>
        </w:rPr>
        <w:t xml:space="preserve"> ≈ 0.42.</w:t>
      </w:r>
    </w:p>
    <w:p w14:paraId="34276DC2" w14:textId="77777777" w:rsidR="00582997" w:rsidRDefault="00000000">
      <w:pPr>
        <w:spacing w:before="240" w:after="60"/>
        <w:jc w:val="center"/>
      </w:pPr>
      <w:r>
        <w:rPr>
          <w:noProof/>
        </w:rPr>
        <w:lastRenderedPageBreak/>
        <w:drawing>
          <wp:inline distT="0" distB="0" distL="0" distR="0" wp14:anchorId="71B33B6E" wp14:editId="03FBDDD4">
            <wp:extent cx="5138208" cy="3043016"/>
            <wp:effectExtent l="0" t="0" r="0" b="0"/>
            <wp:docPr id="1004438122"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a:xfrm>
                      <a:off x="0" y="0"/>
                      <a:ext cx="5138208" cy="3043016"/>
                    </a:xfrm>
                    <a:prstGeom prst="rect">
                      <a:avLst/>
                    </a:prstGeom>
                  </pic:spPr>
                </pic:pic>
              </a:graphicData>
            </a:graphic>
          </wp:inline>
        </w:drawing>
      </w:r>
    </w:p>
    <w:p w14:paraId="67AA7B7F" w14:textId="77777777" w:rsidR="00582997" w:rsidRDefault="00000000">
      <w:pPr>
        <w:spacing w:before="60" w:after="60" w:line="480" w:lineRule="auto"/>
      </w:pPr>
      <w:r>
        <w:rPr>
          <w:rFonts w:eastAsia="Times New Roman"/>
          <w:b/>
          <w:bCs/>
          <w:sz w:val="22"/>
          <w:szCs w:val="22"/>
        </w:rPr>
        <w:t>Figure A.2.</w:t>
      </w:r>
      <w:r>
        <w:rPr>
          <w:rFonts w:eastAsia="Times New Roman"/>
          <w:bCs/>
          <w:sz w:val="22"/>
          <w:szCs w:val="22"/>
        </w:rPr>
        <w:t xml:space="preserve"> Impulse response and half-life of an affective perturbation.</w:t>
      </w:r>
    </w:p>
    <w:p w14:paraId="1250B70B"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Computed from the estimated </w:t>
      </w:r>
      <w:proofErr w:type="gramStart"/>
      <w:r>
        <w:rPr>
          <w:rFonts w:eastAsia="Times New Roman"/>
          <w:sz w:val="20"/>
          <w:szCs w:val="20"/>
        </w:rPr>
        <w:t>AR(</w:t>
      </w:r>
      <w:proofErr w:type="gramEnd"/>
      <w:r>
        <w:rPr>
          <w:rFonts w:eastAsia="Times New Roman"/>
          <w:sz w:val="20"/>
          <w:szCs w:val="20"/>
        </w:rPr>
        <w:t xml:space="preserve">1) coefficients. Panel (a) shows the observation-level IRF using </w:t>
      </w:r>
      <w:proofErr w:type="spellStart"/>
      <w:r>
        <w:rPr>
          <w:rFonts w:eastAsia="Times New Roman"/>
          <w:sz w:val="20"/>
          <w:szCs w:val="20"/>
        </w:rPr>
        <w:t>φ_obs</w:t>
      </w:r>
      <w:proofErr w:type="spellEnd"/>
      <w:r>
        <w:rPr>
          <w:rFonts w:eastAsia="Times New Roman"/>
          <w:sz w:val="20"/>
          <w:szCs w:val="20"/>
        </w:rPr>
        <w:t xml:space="preserve"> = 0.23, with a within-day half-life of approximately 2.9 hours given a 6.17-hour median between-prompt interval. Panel (b) shows the daily-level IRF using the full-sample coefficient </w:t>
      </w:r>
      <w:proofErr w:type="spellStart"/>
      <w:r>
        <w:rPr>
          <w:rFonts w:eastAsia="Times New Roman"/>
          <w:sz w:val="20"/>
          <w:szCs w:val="20"/>
        </w:rPr>
        <w:t>φ_day</w:t>
      </w:r>
      <w:proofErr w:type="spellEnd"/>
      <w:r>
        <w:rPr>
          <w:rFonts w:eastAsia="Times New Roman"/>
          <w:sz w:val="20"/>
          <w:szCs w:val="20"/>
        </w:rPr>
        <w:t xml:space="preserve"> ≈ 0.42, with a half-life of 0.79 days.</w:t>
      </w:r>
    </w:p>
    <w:p w14:paraId="3D8AD6CC" w14:textId="77777777" w:rsidR="00582997" w:rsidRDefault="00000000">
      <w:pPr>
        <w:spacing w:after="120" w:line="480" w:lineRule="auto"/>
        <w:ind w:firstLine="720"/>
        <w:jc w:val="both"/>
      </w:pPr>
      <w:r>
        <w:rPr>
          <w:rFonts w:eastAsia="Times New Roman"/>
        </w:rPr>
        <w:t>The local-level state-space model decomposed the observed daily series into a smoothed latent trajectory and observation noise. Maximum-likelihood estimates were σ²_v = 17.50 (observation noise) and σ²_w = 1.05 (latent state innovation), implying a signal-to-noise ratio of 0.060. The latent series rises from approximately 70 in the first ten days to approximately 80 by Day 40 and remains in the high 70s thereafter, a slow upward trend across the window that is largely independent of condition assignment.</w:t>
      </w:r>
    </w:p>
    <w:p w14:paraId="125F139F" w14:textId="77777777" w:rsidR="00582997" w:rsidRDefault="00000000">
      <w:pPr>
        <w:spacing w:before="240" w:after="60"/>
        <w:jc w:val="center"/>
      </w:pPr>
      <w:r>
        <w:rPr>
          <w:noProof/>
        </w:rPr>
        <w:lastRenderedPageBreak/>
        <w:drawing>
          <wp:inline distT="0" distB="0" distL="0" distR="0" wp14:anchorId="7079D306" wp14:editId="0CA17230">
            <wp:extent cx="5138208" cy="3043016"/>
            <wp:effectExtent l="0" t="0" r="0" b="0"/>
            <wp:docPr id="2069361368"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a:xfrm>
                      <a:off x="0" y="0"/>
                      <a:ext cx="5138208" cy="3043016"/>
                    </a:xfrm>
                    <a:prstGeom prst="rect">
                      <a:avLst/>
                    </a:prstGeom>
                  </pic:spPr>
                </pic:pic>
              </a:graphicData>
            </a:graphic>
          </wp:inline>
        </w:drawing>
      </w:r>
    </w:p>
    <w:p w14:paraId="6480877D" w14:textId="77777777" w:rsidR="00582997" w:rsidRDefault="00000000">
      <w:pPr>
        <w:spacing w:before="60" w:after="60" w:line="480" w:lineRule="auto"/>
      </w:pPr>
      <w:r>
        <w:rPr>
          <w:rFonts w:eastAsia="Times New Roman"/>
          <w:b/>
          <w:bCs/>
          <w:sz w:val="22"/>
          <w:szCs w:val="22"/>
        </w:rPr>
        <w:t>Figure A.3.</w:t>
      </w:r>
      <w:r>
        <w:rPr>
          <w:rFonts w:eastAsia="Times New Roman"/>
          <w:bCs/>
          <w:sz w:val="22"/>
          <w:szCs w:val="22"/>
        </w:rPr>
        <w:t xml:space="preserve"> Kalman-smoothed latent affective state across the 70-day window.</w:t>
      </w:r>
    </w:p>
    <w:p w14:paraId="31DAA040"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The dark line shows the Kalman-smoothed latent state estimate and the gray band the 95% confidence interval. Daily observed means are plotted as light points for reference.</w:t>
      </w:r>
    </w:p>
    <w:p w14:paraId="2B4288EC" w14:textId="77777777" w:rsidR="00582997" w:rsidRDefault="00000000">
      <w:pPr>
        <w:pStyle w:val="Heading1"/>
        <w:spacing w:line="480" w:lineRule="auto"/>
      </w:pPr>
      <w:r>
        <w:t>Appendix B. Multilevel Re-estimation</w:t>
      </w:r>
    </w:p>
    <w:p w14:paraId="328B9F20" w14:textId="77777777" w:rsidR="00582997" w:rsidRDefault="00000000">
      <w:pPr>
        <w:spacing w:after="120" w:line="480" w:lineRule="auto"/>
        <w:ind w:firstLine="720"/>
        <w:jc w:val="both"/>
      </w:pPr>
      <w:r>
        <w:rPr>
          <w:rFonts w:eastAsia="Times New Roman"/>
        </w:rPr>
        <w:t>This appendix reports the multilevel model summarized in Section 3.4, fit to the momentary observations without daily aggregation. The method is given in Section 2.5.9.</w:t>
      </w:r>
    </w:p>
    <w:p w14:paraId="31645CDA" w14:textId="77777777" w:rsidR="00582997" w:rsidRDefault="00000000">
      <w:pPr>
        <w:spacing w:after="120" w:line="480" w:lineRule="auto"/>
        <w:ind w:firstLine="720"/>
        <w:jc w:val="both"/>
      </w:pPr>
      <w:r>
        <w:rPr>
          <w:rFonts w:eastAsia="Times New Roman"/>
        </w:rPr>
        <w:t>Both internal drivers remained reliably positive predictors of momentary mood and the probe remained indistinguishable from zero (Table B.1).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14:paraId="724AE2F2" w14:textId="77777777" w:rsidR="00582997" w:rsidRDefault="00000000">
      <w:pPr>
        <w:spacing w:before="60" w:after="60" w:line="480" w:lineRule="auto"/>
      </w:pPr>
      <w:r>
        <w:rPr>
          <w:rFonts w:eastAsia="Times New Roman"/>
          <w:b/>
          <w:bCs/>
          <w:sz w:val="22"/>
          <w:szCs w:val="22"/>
        </w:rPr>
        <w:t>Table B.1.</w:t>
      </w:r>
      <w:proofErr w:type="gramStart"/>
      <w:proofErr w:type="gramEnd"/>
      <w:r>
        <w:rPr>
          <w:rFonts w:eastAsia="Times New Roman"/>
          <w:bCs/>
          <w:sz w:val="22"/>
          <w:szCs w:val="22"/>
        </w:rPr>
        <w:t xml:space="preserve"> Fixed-effect estimates for the multilevel model of momentary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2100"/>
        <w:gridCol w:w="1300"/>
        <w:gridCol w:w="2260"/>
      </w:tblGrid>
      <w:tr w:rsidR="00582997" w14:paraId="3B6BC51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DF15041" w14:textId="77777777" w:rsidR="00582997" w:rsidRDefault="00000000">
            <w:r>
              <w:rPr>
                <w:rFonts w:eastAsia="Times New Roman"/>
                <w:b/>
                <w:bCs/>
                <w:sz w:val="20"/>
                <w:szCs w:val="20"/>
              </w:rPr>
              <w:t>Term</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DA0AE7E" w14:textId="77777777" w:rsidR="00582997" w:rsidRDefault="00000000">
            <w:pPr>
              <w:jc w:val="center"/>
            </w:pPr>
            <w:r>
              <w:rPr>
                <w:rFonts w:eastAsia="Times New Roman"/>
                <w:b/>
                <w:bCs/>
                <w:sz w:val="20"/>
                <w:szCs w:val="20"/>
              </w:rPr>
              <w:t>β</w:t>
            </w:r>
          </w:p>
        </w:tc>
        <w:tc>
          <w:tcPr>
            <w:tcW w:w="2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85312A8" w14:textId="77777777" w:rsidR="00582997" w:rsidRDefault="00000000">
            <w:pPr>
              <w:jc w:val="center"/>
            </w:pPr>
            <w:r>
              <w:rPr>
                <w:rFonts w:eastAsia="Times New Roman"/>
                <w:b/>
                <w:bCs/>
                <w:sz w:val="20"/>
                <w:szCs w:val="20"/>
              </w:rPr>
              <w:t>SE</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5FF8CAD" w14:textId="77777777" w:rsidR="00582997" w:rsidRDefault="00000000">
            <w:pPr>
              <w:jc w:val="center"/>
            </w:pPr>
            <w:r>
              <w:rPr>
                <w:rFonts w:eastAsia="Times New Roman"/>
                <w:b/>
                <w:bCs/>
                <w:sz w:val="20"/>
                <w:szCs w:val="20"/>
              </w:rPr>
              <w:t>95% CI</w:t>
            </w:r>
          </w:p>
        </w:tc>
        <w:tc>
          <w:tcPr>
            <w:tcW w:w="22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7C493ED" w14:textId="77777777" w:rsidR="00582997" w:rsidRDefault="00000000">
            <w:pPr>
              <w:jc w:val="center"/>
            </w:pPr>
            <w:r>
              <w:rPr>
                <w:rFonts w:eastAsia="Times New Roman"/>
                <w:b/>
                <w:bCs/>
                <w:i/>
                <w:sz w:val="20"/>
                <w:szCs w:val="20"/>
              </w:rPr>
              <w:t>p</w:t>
            </w:r>
          </w:p>
        </w:tc>
      </w:tr>
      <w:tr w:rsidR="00582997" w14:paraId="1035C3FF"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074BC9A" w14:textId="77777777" w:rsidR="00582997" w:rsidRDefault="00000000">
            <w:r>
              <w:rPr>
                <w:rFonts w:eastAsia="Times New Roman"/>
                <w:sz w:val="20"/>
                <w:szCs w:val="20"/>
              </w:rPr>
              <w:t>Intercept</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9743119" w14:textId="77777777" w:rsidR="00582997" w:rsidRDefault="00000000">
            <w:pPr>
              <w:jc w:val="center"/>
            </w:pPr>
            <w:r>
              <w:rPr>
                <w:rFonts w:eastAsia="Times New Roman"/>
                <w:sz w:val="20"/>
                <w:szCs w:val="20"/>
              </w:rPr>
              <w:t>78.45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98C34B1" w14:textId="77777777" w:rsidR="00582997" w:rsidRDefault="00000000">
            <w:pPr>
              <w:jc w:val="center"/>
            </w:pPr>
            <w:r>
              <w:rPr>
                <w:rFonts w:eastAsia="Times New Roman"/>
                <w:sz w:val="20"/>
                <w:szCs w:val="20"/>
              </w:rPr>
              <w:t>0.44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CE5560" w14:textId="77777777" w:rsidR="00582997" w:rsidRDefault="00000000">
            <w:pPr>
              <w:jc w:val="center"/>
            </w:pPr>
            <w:r>
              <w:rPr>
                <w:rFonts w:eastAsia="Times New Roman"/>
                <w:sz w:val="20"/>
                <w:szCs w:val="20"/>
              </w:rPr>
              <w:t>[77.59, 79.31]</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0AE0D01" w14:textId="77777777" w:rsidR="00582997" w:rsidRDefault="00000000">
            <w:pPr>
              <w:jc w:val="center"/>
            </w:pPr>
            <w:r>
              <w:rPr>
                <w:rFonts w:eastAsia="Times New Roman"/>
                <w:sz w:val="20"/>
                <w:szCs w:val="20"/>
              </w:rPr>
              <w:t>&lt; .001</w:t>
            </w:r>
          </w:p>
        </w:tc>
      </w:tr>
      <w:tr w:rsidR="00582997" w14:paraId="3CCF2EA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9ACBEF0" w14:textId="77777777" w:rsidR="00582997" w:rsidRDefault="00000000">
            <w:r>
              <w:rPr>
                <w:rFonts w:eastAsia="Times New Roman"/>
                <w:sz w:val="20"/>
                <w:szCs w:val="20"/>
              </w:rPr>
              <w:t>Agency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25EAF4" w14:textId="77777777" w:rsidR="00582997" w:rsidRDefault="00000000">
            <w:pPr>
              <w:jc w:val="center"/>
            </w:pPr>
            <w:r>
              <w:rPr>
                <w:rFonts w:eastAsia="Times New Roman"/>
                <w:sz w:val="20"/>
                <w:szCs w:val="20"/>
              </w:rPr>
              <w:t>0.34</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B396E4" w14:textId="77777777" w:rsidR="00582997" w:rsidRDefault="00000000">
            <w:pPr>
              <w:jc w:val="center"/>
            </w:pPr>
            <w:r>
              <w:rPr>
                <w:rFonts w:eastAsia="Times New Roman"/>
                <w:sz w:val="20"/>
                <w:szCs w:val="20"/>
              </w:rPr>
              <w:t>0.06</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4B0733B" w14:textId="77777777" w:rsidR="00582997" w:rsidRDefault="00000000">
            <w:pPr>
              <w:jc w:val="center"/>
            </w:pPr>
            <w:r>
              <w:rPr>
                <w:rFonts w:eastAsia="Times New Roman"/>
                <w:sz w:val="20"/>
                <w:szCs w:val="20"/>
              </w:rPr>
              <w:t>[0.22, 0.46]</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418670" w14:textId="77777777" w:rsidR="00582997" w:rsidRDefault="00000000">
            <w:pPr>
              <w:jc w:val="center"/>
            </w:pPr>
            <w:r>
              <w:rPr>
                <w:rFonts w:eastAsia="Times New Roman"/>
                <w:sz w:val="20"/>
                <w:szCs w:val="20"/>
              </w:rPr>
              <w:t>&lt; .001</w:t>
            </w:r>
          </w:p>
        </w:tc>
      </w:tr>
      <w:tr w:rsidR="00582997" w14:paraId="2A4B9FE5"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3DD72B" w14:textId="77777777" w:rsidR="00582997" w:rsidRDefault="00000000">
            <w:r>
              <w:rPr>
                <w:rFonts w:eastAsia="Times New Roman"/>
                <w:sz w:val="20"/>
                <w:szCs w:val="20"/>
              </w:rPr>
              <w:t>Metacognition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47B4B" w14:textId="77777777" w:rsidR="00582997" w:rsidRDefault="00000000">
            <w:pPr>
              <w:jc w:val="center"/>
            </w:pPr>
            <w:r>
              <w:rPr>
                <w:rFonts w:eastAsia="Times New Roman"/>
                <w:sz w:val="20"/>
                <w:szCs w:val="20"/>
              </w:rPr>
              <w:t>0.48</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AAAAA9" w14:textId="77777777" w:rsidR="00582997" w:rsidRDefault="00000000">
            <w:pPr>
              <w:jc w:val="center"/>
            </w:pPr>
            <w:r>
              <w:rPr>
                <w:rFonts w:eastAsia="Times New Roman"/>
                <w:sz w:val="20"/>
                <w:szCs w:val="20"/>
              </w:rPr>
              <w:t>0.07</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61FAFF" w14:textId="77777777" w:rsidR="00582997" w:rsidRDefault="00000000">
            <w:pPr>
              <w:jc w:val="center"/>
            </w:pPr>
            <w:r>
              <w:rPr>
                <w:rFonts w:eastAsia="Times New Roman"/>
                <w:sz w:val="20"/>
                <w:szCs w:val="20"/>
              </w:rPr>
              <w:t>[0.34, 0.62]</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4E6EE2B" w14:textId="77777777" w:rsidR="00582997" w:rsidRDefault="00000000">
            <w:pPr>
              <w:jc w:val="center"/>
            </w:pPr>
            <w:r>
              <w:rPr>
                <w:rFonts w:eastAsia="Times New Roman"/>
                <w:sz w:val="20"/>
                <w:szCs w:val="20"/>
              </w:rPr>
              <w:t>&lt; .001</w:t>
            </w:r>
          </w:p>
        </w:tc>
      </w:tr>
      <w:tr w:rsidR="00582997" w14:paraId="00668794"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241D77A" w14:textId="77777777" w:rsidR="00582997" w:rsidRDefault="00000000">
            <w:r>
              <w:rPr>
                <w:rFonts w:eastAsia="Times New Roman"/>
                <w:sz w:val="20"/>
                <w:szCs w:val="20"/>
              </w:rPr>
              <w:t>Melatonin</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F44182" w14:textId="77777777" w:rsidR="00582997" w:rsidRDefault="00000000">
            <w:pPr>
              <w:jc w:val="center"/>
            </w:pPr>
            <w:r>
              <w:rPr>
                <w:rFonts w:eastAsia="Times New Roman"/>
                <w:sz w:val="20"/>
                <w:szCs w:val="20"/>
              </w:rPr>
              <w:t>−0.05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81D812" w14:textId="77777777" w:rsidR="00582997" w:rsidRDefault="00000000">
            <w:pPr>
              <w:jc w:val="center"/>
            </w:pPr>
            <w:r>
              <w:rPr>
                <w:rFonts w:eastAsia="Times New Roman"/>
                <w:sz w:val="20"/>
                <w:szCs w:val="20"/>
              </w:rPr>
              <w:t>0.64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34AD4BA" w14:textId="77777777" w:rsidR="00582997" w:rsidRDefault="00000000">
            <w:pPr>
              <w:jc w:val="center"/>
            </w:pPr>
            <w:r>
              <w:rPr>
                <w:rFonts w:eastAsia="Times New Roman"/>
                <w:sz w:val="20"/>
                <w:szCs w:val="20"/>
              </w:rPr>
              <w:t>[−1.30, 1.20]</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8CFA129" w14:textId="77777777" w:rsidR="00582997" w:rsidRDefault="00000000">
            <w:pPr>
              <w:jc w:val="center"/>
            </w:pPr>
            <w:r>
              <w:rPr>
                <w:rFonts w:eastAsia="Times New Roman"/>
                <w:sz w:val="20"/>
                <w:szCs w:val="20"/>
              </w:rPr>
              <w:t>.937</w:t>
            </w:r>
          </w:p>
        </w:tc>
      </w:tr>
    </w:tbl>
    <w:p w14:paraId="786BEF89"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n = 142 momentary observations nested within 53 days (Day 18–70; 27 </w:t>
      </w:r>
      <w:proofErr w:type="gramStart"/>
      <w:r>
        <w:rPr>
          <w:rFonts w:eastAsia="Times New Roman"/>
          <w:sz w:val="20"/>
          <w:szCs w:val="20"/>
        </w:rPr>
        <w:t>control</w:t>
      </w:r>
      <w:proofErr w:type="gramEnd"/>
      <w:r>
        <w:rPr>
          <w:rFonts w:eastAsia="Times New Roman"/>
          <w:sz w:val="20"/>
          <w:szCs w:val="20"/>
        </w:rPr>
        <w:t xml:space="preserve">, 26 melatonin). Random intercept for day: variance = 0.48; within-day residual variance = 12.93. Marginal R² = .50; conditional R² = .52. Agency and metacognition centered at their sample means (77.94 and 79.57). Fit by REML in lme4; 95% CIs are Wald intervals; </w:t>
      </w:r>
      <w:r>
        <w:rPr>
          <w:rFonts w:eastAsia="Times New Roman"/>
          <w:i/>
          <w:sz w:val="20"/>
          <w:szCs w:val="20"/>
        </w:rPr>
        <w:t>p</w:t>
      </w:r>
      <w:r>
        <w:rPr>
          <w:rFonts w:eastAsia="Times New Roman"/>
          <w:sz w:val="20"/>
          <w:szCs w:val="20"/>
        </w:rPr>
        <w:t>-values use the Satterthwaite approximation.</w:t>
      </w:r>
    </w:p>
    <w:p w14:paraId="5FD15281" w14:textId="77777777" w:rsidR="00582997" w:rsidRDefault="00000000">
      <w:pPr>
        <w:pStyle w:val="Heading1"/>
        <w:spacing w:line="480" w:lineRule="auto"/>
      </w:pPr>
      <w:r>
        <w:t>Appendix C. Secondary Analyses</w:t>
      </w:r>
    </w:p>
    <w:p w14:paraId="7C571120" w14:textId="77777777" w:rsidR="00582997" w:rsidRDefault="00000000">
      <w:pPr>
        <w:spacing w:after="120" w:line="480" w:lineRule="auto"/>
        <w:ind w:firstLine="720"/>
        <w:jc w:val="both"/>
      </w:pPr>
      <w:r>
        <w:rPr>
          <w:rFonts w:eastAsia="Times New Roman"/>
        </w:rPr>
        <w:t xml:space="preserve">This appendix reports the analyses referred to in Sections 3.3 and 4.1 as secondary or exploratory: the full variability statistics, the state-dependent decay check, and the </w:t>
      </w:r>
      <w:proofErr w:type="spellStart"/>
      <w:r>
        <w:rPr>
          <w:rFonts w:eastAsia="Times New Roman"/>
        </w:rPr>
        <w:t>metacontrol</w:t>
      </w:r>
      <w:proofErr w:type="spellEnd"/>
      <w:r>
        <w:rPr>
          <w:rFonts w:eastAsia="Times New Roman"/>
        </w:rPr>
        <w:t xml:space="preserve"> interaction.</w:t>
      </w:r>
    </w:p>
    <w:p w14:paraId="3338F8E7" w14:textId="77777777" w:rsidR="00582997" w:rsidRDefault="00000000">
      <w:pPr>
        <w:pStyle w:val="Heading2"/>
        <w:spacing w:line="480" w:lineRule="auto"/>
      </w:pPr>
      <w:r>
        <w:t>C.1 Full variability statistics</w:t>
      </w:r>
    </w:p>
    <w:p w14:paraId="2BB18E8F" w14:textId="77777777" w:rsidR="00582997" w:rsidRDefault="00000000">
      <w:pPr>
        <w:spacing w:after="120" w:line="480" w:lineRule="auto"/>
        <w:ind w:firstLine="720"/>
        <w:jc w:val="both"/>
      </w:pPr>
      <w:r>
        <w:rPr>
          <w:rFonts w:eastAsia="Times New Roman"/>
        </w:rPr>
        <w:t xml:space="preserve">Three descriptive indices of mood variability were computed, with two univariate tests and a model-based heteroskedasticity check. The three descriptive indices pointed the same way, with melatonin days showing lower variability than control days: daily mood SD was 4.42 against 6.41; MSSD across within-condition runs was 57.36 against 88.26; and observation-level mood SD was 6.55 against 8.26. The two univariate tests did not reach conventional significance: the Brown-Forsythe Levene test of homogeneity of variance gave W = 2.07, </w:t>
      </w:r>
      <w:r>
        <w:rPr>
          <w:rFonts w:eastAsia="Times New Roman"/>
          <w:i/>
        </w:rPr>
        <w:t>p</w:t>
      </w:r>
      <w:r>
        <w:rPr>
          <w:rFonts w:eastAsia="Times New Roman"/>
        </w:rPr>
        <w:t xml:space="preserve"> = .155, and the MSSD comparison gave Welch t = −0.94, </w:t>
      </w:r>
      <w:r>
        <w:rPr>
          <w:rFonts w:eastAsia="Times New Roman"/>
          <w:i/>
        </w:rPr>
        <w:t>p</w:t>
      </w:r>
      <w:r>
        <w:rPr>
          <w:rFonts w:eastAsia="Times New Roman"/>
        </w:rPr>
        <w:t xml:space="preserve"> = .355. The heteroskedasticity model regressing log-squared M2 residuals on the melatonin indicator yielded a negative coefficient that also fell short of conventional significance (α₁ = −1.24, 95% CI [−2.93, +0.46], </w:t>
      </w:r>
      <w:r>
        <w:rPr>
          <w:rFonts w:eastAsia="Times New Roman"/>
          <w:i/>
        </w:rPr>
        <w:t>p</w:t>
      </w:r>
      <w:r>
        <w:rPr>
          <w:rFonts w:eastAsia="Times New Roman"/>
        </w:rPr>
        <w:t xml:space="preserve"> = .149), with the point estimate indicating smaller model residual variance on melatonin days.</w:t>
      </w:r>
    </w:p>
    <w:p w14:paraId="55B6D937" w14:textId="77777777" w:rsidR="00582997" w:rsidRDefault="00000000">
      <w:pPr>
        <w:spacing w:after="120" w:line="480" w:lineRule="auto"/>
        <w:ind w:firstLine="720"/>
        <w:jc w:val="both"/>
      </w:pPr>
      <w:r>
        <w:rPr>
          <w:rFonts w:eastAsia="Times New Roman"/>
        </w:rPr>
        <w:lastRenderedPageBreak/>
        <w:t>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14:paraId="62B807F1" w14:textId="77777777" w:rsidR="00582997" w:rsidRDefault="00000000">
      <w:pPr>
        <w:pStyle w:val="Heading2"/>
        <w:spacing w:line="480" w:lineRule="auto"/>
      </w:pPr>
      <w:r>
        <w:t>C.2 State-dependent decay</w:t>
      </w:r>
    </w:p>
    <w:p w14:paraId="49159725" w14:textId="77777777" w:rsidR="00582997" w:rsidRDefault="00000000">
      <w:pPr>
        <w:spacing w:after="120" w:line="480" w:lineRule="auto"/>
        <w:ind w:firstLine="720"/>
        <w:jc w:val="both"/>
      </w:pPr>
      <w:r>
        <w:rPr>
          <w:rFonts w:eastAsia="Times New Roman"/>
        </w:rPr>
        <w:t>The method for this analysis is given in Section 2.5.7.</w:t>
      </w:r>
    </w:p>
    <w:p w14:paraId="5C54442D" w14:textId="77777777" w:rsidR="00582997" w:rsidRDefault="00000000">
      <w:pPr>
        <w:spacing w:after="120" w:line="480" w:lineRule="auto"/>
        <w:ind w:firstLine="720"/>
        <w:jc w:val="both"/>
      </w:pPr>
      <w:r>
        <w:rPr>
          <w:rFonts w:eastAsia="Times New Roman"/>
        </w:rPr>
        <w:t xml:space="preserve">The interaction-augmented </w:t>
      </w:r>
      <w:proofErr w:type="gramStart"/>
      <w:r>
        <w:rPr>
          <w:rFonts w:eastAsia="Times New Roman"/>
        </w:rPr>
        <w:t>AR(</w:t>
      </w:r>
      <w:proofErr w:type="gramEnd"/>
      <w:r>
        <w:rPr>
          <w:rFonts w:eastAsia="Times New Roman"/>
        </w:rPr>
        <w:t xml:space="preserve">1) yielded </w:t>
      </w:r>
      <w:proofErr w:type="spellStart"/>
      <w:r>
        <w:rPr>
          <w:rFonts w:eastAsia="Times New Roman"/>
        </w:rPr>
        <w:t>φ_control</w:t>
      </w:r>
      <w:proofErr w:type="spellEnd"/>
      <w:r>
        <w:rPr>
          <w:rFonts w:eastAsia="Times New Roman"/>
        </w:rPr>
        <w:t xml:space="preserve"> = 0.47 and </w:t>
      </w:r>
      <w:proofErr w:type="spellStart"/>
      <w:r>
        <w:rPr>
          <w:rFonts w:eastAsia="Times New Roman"/>
        </w:rPr>
        <w:t>φ_melatonin</w:t>
      </w:r>
      <w:proofErr w:type="spellEnd"/>
      <w:r>
        <w:rPr>
          <w:rFonts w:eastAsia="Times New Roman"/>
        </w:rPr>
        <w:t xml:space="preserve"> = 0.22, with a lag-1 by melatonin interaction coefficient of δ = −0.25, 95% CI [−0.79, +0.29], </w:t>
      </w:r>
      <w:r>
        <w:rPr>
          <w:rFonts w:eastAsia="Times New Roman"/>
          <w:i/>
        </w:rPr>
        <w:t>p</w:t>
      </w:r>
      <w:r>
        <w:rPr>
          <w:rFonts w:eastAsia="Times New Roman"/>
        </w:rPr>
        <w:t xml:space="preserve"> = .350. The coefficient is not statistically distinguishable from zero. Its direction, faster decay on melatonin days, is consistent with the variability pattern in C.1.</w:t>
      </w:r>
    </w:p>
    <w:p w14:paraId="27C8551B" w14:textId="77777777" w:rsidR="00582997" w:rsidRDefault="00000000">
      <w:pPr>
        <w:pStyle w:val="Heading2"/>
        <w:spacing w:line="480" w:lineRule="auto"/>
      </w:pPr>
      <w:r>
        <w:t xml:space="preserve">C.3 </w:t>
      </w:r>
      <w:proofErr w:type="spellStart"/>
      <w:r>
        <w:t>Metacontrol</w:t>
      </w:r>
      <w:proofErr w:type="spellEnd"/>
      <w:r>
        <w:t xml:space="preserve"> interaction</w:t>
      </w:r>
    </w:p>
    <w:p w14:paraId="4B75AFB8" w14:textId="77777777" w:rsidR="00582997" w:rsidRDefault="00000000">
      <w:pPr>
        <w:spacing w:after="120" w:line="480" w:lineRule="auto"/>
        <w:ind w:firstLine="720"/>
        <w:jc w:val="both"/>
      </w:pPr>
      <w:r>
        <w:rPr>
          <w:rFonts w:eastAsia="Times New Roman"/>
        </w:rPr>
        <w:t>The method for this analysis is given in Section 2.5.5.</w:t>
      </w:r>
    </w:p>
    <w:p w14:paraId="7CE3078C" w14:textId="77777777" w:rsidR="00582997" w:rsidRDefault="00000000">
      <w:pPr>
        <w:spacing w:after="120" w:line="480" w:lineRule="auto"/>
        <w:ind w:firstLine="720"/>
        <w:jc w:val="both"/>
      </w:pPr>
      <w:r>
        <w:rPr>
          <w:rFonts w:eastAsia="Times New Roman"/>
        </w:rPr>
        <w:t xml:space="preserve">The interaction term was negative as predicted (β₃ = −0.14) but not reliably distinguishable from zero (95% CI [−0.59, +0.31], </w:t>
      </w:r>
      <w:r>
        <w:rPr>
          <w:rFonts w:eastAsia="Times New Roman"/>
          <w:i/>
        </w:rPr>
        <w:t>p</w:t>
      </w:r>
      <w:r>
        <w:rPr>
          <w:rFonts w:eastAsia="Times New Roman"/>
        </w:rPr>
        <w:t xml:space="preserve"> = .540). Simple-slope decomposition placed the melatonin slope at +0.65 at one standard deviation below mean metacognition, +0.14 at the mean, and −0.36 at one standard deviation above. The qualitative pattern is consistent with the hypothesis, since the apparent direction of the melatonin effect reverses across the metacognition continuum, but the sample is underpowered to support this as an inferential claim.</w:t>
      </w:r>
    </w:p>
    <w:sectPr w:rsidR="00582997">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A4987B" w14:textId="77777777" w:rsidR="00CD5666" w:rsidRDefault="00CD5666">
      <w:r>
        <w:separator/>
      </w:r>
    </w:p>
  </w:endnote>
  <w:endnote w:type="continuationSeparator" w:id="0">
    <w:p w14:paraId="24073266" w14:textId="77777777" w:rsidR="00CD5666" w:rsidRDefault="00CD56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DD50F" w14:textId="77777777" w:rsidR="00582997" w:rsidRDefault="00000000">
    <w:pPr>
      <w:jc w:val="center"/>
    </w:pPr>
    <w:r>
      <w:rPr>
        <w:sz w:val="20"/>
        <w:szCs w:val="20"/>
      </w:rPr>
      <w:fldChar w:fldCharType="begin"/>
    </w:r>
    <w:r>
      <w:rPr>
        <w:rFonts w:eastAsia="Times New Roman"/>
        <w:sz w:val="20"/>
        <w:szCs w:val="20"/>
      </w:rPr>
      <w:instrText>PAGE</w:instrText>
    </w:r>
    <w:r>
      <w:rPr>
        <w:sz w:val="20"/>
        <w:szCs w:val="20"/>
      </w:rPr>
      <w:fldChar w:fldCharType="separate"/>
    </w:r>
    <w:r w:rsidR="00645DB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C24AE0" w14:textId="77777777" w:rsidR="00CD5666" w:rsidRDefault="00CD5666">
      <w:r>
        <w:separator/>
      </w:r>
    </w:p>
  </w:footnote>
  <w:footnote w:type="continuationSeparator" w:id="0">
    <w:p w14:paraId="24641B47" w14:textId="77777777" w:rsidR="00CD5666" w:rsidRDefault="00CD56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7B18CD" w14:textId="77777777" w:rsidR="00582997" w:rsidRDefault="00000000">
    <w:pPr>
      <w:jc w:val="right"/>
    </w:pPr>
    <w:r>
      <w:rPr>
        <w:rFonts w:eastAsia="Times New Roman"/>
        <w:color w:val="555555"/>
        <w:sz w:val="20"/>
        <w:szCs w:val="20"/>
      </w:rPr>
      <w:t>WHAT ORGANIZES DAILY AFFECT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E70325"/>
    <w:multiLevelType w:val="hybridMultilevel"/>
    <w:tmpl w:val="84A89D7E"/>
    <w:lvl w:ilvl="0" w:tplc="6D6C4E44">
      <w:start w:val="1"/>
      <w:numFmt w:val="bullet"/>
      <w:lvlText w:val="●"/>
      <w:lvlJc w:val="left"/>
      <w:pPr>
        <w:ind w:left="720" w:hanging="360"/>
      </w:pPr>
    </w:lvl>
    <w:lvl w:ilvl="1" w:tplc="EDB836AA">
      <w:start w:val="1"/>
      <w:numFmt w:val="bullet"/>
      <w:lvlText w:val="○"/>
      <w:lvlJc w:val="left"/>
      <w:pPr>
        <w:ind w:left="1440" w:hanging="360"/>
      </w:pPr>
    </w:lvl>
    <w:lvl w:ilvl="2" w:tplc="A430468E">
      <w:start w:val="1"/>
      <w:numFmt w:val="bullet"/>
      <w:lvlText w:val="■"/>
      <w:lvlJc w:val="left"/>
      <w:pPr>
        <w:ind w:left="2160" w:hanging="360"/>
      </w:pPr>
    </w:lvl>
    <w:lvl w:ilvl="3" w:tplc="45FC4050">
      <w:start w:val="1"/>
      <w:numFmt w:val="bullet"/>
      <w:lvlText w:val="●"/>
      <w:lvlJc w:val="left"/>
      <w:pPr>
        <w:ind w:left="2880" w:hanging="360"/>
      </w:pPr>
    </w:lvl>
    <w:lvl w:ilvl="4" w:tplc="A15276B0">
      <w:start w:val="1"/>
      <w:numFmt w:val="bullet"/>
      <w:lvlText w:val="○"/>
      <w:lvlJc w:val="left"/>
      <w:pPr>
        <w:ind w:left="3600" w:hanging="360"/>
      </w:pPr>
    </w:lvl>
    <w:lvl w:ilvl="5" w:tplc="A92C6E96">
      <w:start w:val="1"/>
      <w:numFmt w:val="bullet"/>
      <w:lvlText w:val="■"/>
      <w:lvlJc w:val="left"/>
      <w:pPr>
        <w:ind w:left="4320" w:hanging="360"/>
      </w:pPr>
    </w:lvl>
    <w:lvl w:ilvl="6" w:tplc="CF44DE46">
      <w:start w:val="1"/>
      <w:numFmt w:val="bullet"/>
      <w:lvlText w:val="●"/>
      <w:lvlJc w:val="left"/>
      <w:pPr>
        <w:ind w:left="5040" w:hanging="360"/>
      </w:pPr>
    </w:lvl>
    <w:lvl w:ilvl="7" w:tplc="A962AFDA">
      <w:start w:val="1"/>
      <w:numFmt w:val="bullet"/>
      <w:lvlText w:val="●"/>
      <w:lvlJc w:val="left"/>
      <w:pPr>
        <w:ind w:left="5760" w:hanging="360"/>
      </w:pPr>
    </w:lvl>
    <w:lvl w:ilvl="8" w:tplc="CF8EF1C8">
      <w:start w:val="1"/>
      <w:numFmt w:val="bullet"/>
      <w:lvlText w:val="●"/>
      <w:lvlJc w:val="left"/>
      <w:pPr>
        <w:ind w:left="6480" w:hanging="360"/>
      </w:pPr>
    </w:lvl>
  </w:abstractNum>
  <w:num w:numId="1" w16cid:durableId="195189043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997"/>
    <w:rsid w:val="005342EA"/>
    <w:rsid w:val="00582997"/>
    <w:rsid w:val="00645DBF"/>
    <w:rsid w:val="00A1777A"/>
    <w:rsid w:val="00CD56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D6E8396"/>
  <w15:docId w15:val="{25B0159A-0BEA-9147-AD8A-1DFA564A6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360" w:after="240"/>
      <w:outlineLvl w:val="0"/>
    </w:pPr>
    <w:rPr>
      <w:rFonts w:eastAsia="Times New Roman"/>
      <w:b/>
      <w:bCs/>
      <w:sz w:val="28"/>
      <w:szCs w:val="28"/>
    </w:rPr>
  </w:style>
  <w:style w:type="paragraph" w:styleId="Heading2">
    <w:name w:val="heading 2"/>
    <w:uiPriority w:val="9"/>
    <w:unhideWhenUsed/>
    <w:qFormat/>
    <w:pPr>
      <w:keepNext/>
      <w:keepLines/>
      <w:spacing w:before="240" w:after="120"/>
      <w:outlineLvl w:val="1"/>
    </w:pPr>
    <w:rPr>
      <w:rFonts w:eastAsia="Times New Roman"/>
      <w:b/>
      <w:bCs/>
      <w:sz w:val="26"/>
      <w:szCs w:val="26"/>
    </w:rPr>
  </w:style>
  <w:style w:type="paragraph" w:styleId="Heading3">
    <w:name w:val="heading 3"/>
    <w:uiPriority w:val="9"/>
    <w:unhideWhenUsed/>
    <w:qFormat/>
    <w:pPr>
      <w:keepNext/>
      <w:keepLines/>
      <w:spacing w:before="180" w:after="60"/>
      <w:outlineLvl w:val="2"/>
    </w:pPr>
    <w:rPr>
      <w:rFonts w:eastAsia="Times New Roman"/>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45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meng10@upenn.edu"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9211</Words>
  <Characters>52503</Characters>
  <Application>Microsoft Office Word</Application>
  <DocSecurity>0</DocSecurity>
  <Lines>437</Lines>
  <Paragraphs>123</Paragraphs>
  <ScaleCrop>false</ScaleCrop>
  <HeadingPairs>
    <vt:vector size="2" baseType="variant">
      <vt:variant>
        <vt:lpstr>What Organizes Daily Affect in One Person: A 70-Day N-of-1 Characterization With a Nightly Melatonin Probe</vt:lpstr>
      </vt:variant>
      <vt:variant>
        <vt:i4>1</vt:i4>
      </vt:variant>
    </vt:vector>
  </HeadingPairs>
  <TitlesOfParts>
    <vt:vector size="1" baseType="lpstr">
      <vt:lpstr>What Organizes Daily Affect in One Person: A 70-Day N-of-1 Characterization With a Nightly Melatonin Probe</vt:lpstr>
    </vt:vector>
  </TitlesOfParts>
  <Company/>
  <LinksUpToDate>false</LinksUpToDate>
  <CharactersWithSpaces>61591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Organizes Daily Affect in One Person: A 70-Day N-of-1 Characterization With a Nightly Melatonin Probe</dc:title>
  <dc:creator>Miura Meng</dc:creator>
  <cp:lastModifiedBy>Miura Meng</cp:lastModifiedBy>
  <cp:revision>2</cp:revision>
  <dcterms:created xsi:type="dcterms:W3CDTF">2026-08-13T19:12:00Z</dcterms:created>
  <dcterms:modified xsi:type="dcterms:W3CDTF">2026-08-13T19:12:00Z</dcterms:modified>
  <dc:subject>N-of-1 affect study</dc:subject>
</cp:coreProperties>
</file>