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Characterizing daily affective dynamics in a single individual:</w:t>
      </w:r>
    </w:p>
    <w:p>
      <w:pPr>
        <w:spacing w:after="720" w:line="360"/>
        <w:jc w:val="center"/>
      </w:pPr>
      <w:r>
        <w:rPr>
          <w:rFonts w:ascii="Times New Roman" w:cs="Times New Roman" w:eastAsia="Times New Roman" w:hAnsi="Times New Roman"/>
          <w:b/>
          <w:bCs/>
          <w:sz w:val="32"/>
          <w:szCs w:val="32"/>
        </w:rPr>
        <w:t xml:space="preserve">A control-theoretic N-of-1 study with ecological momentary assessment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This study applies a control-theoretic framework to the intensive longitudinal self-study of affective dynamics in a single individual. The aim was to characterize how internal self-regulatory variables and an external pharmacological probe each shape daily mood. Over a 70-day protocol, momentary emotional valence, perceived agency, and metacognitive awareness were sampled three times daily via ecological momentary assessment (195 observations, 92.9% compliance). Nightly 3 mg melatonin administration was introduced according to a pre-generated randomized schedule. The pre-specified design yielded 35 control and 35 melatonin daily aggregates. The individual was modeled as a dynamical system; melatonin was treated as a probe to characterize the system’s response, not as a candidate treatment. Time-series methods (autoregressive, state-space, impulse response, heteroskedasticity, and metacontrol interaction analyses) were used to estimate the contributions of internal behavioral drivers and the external probe. Internal drivers (agency and metacognitive awareness) accounted for an additional 51.5% of daily-mood variance beyond autoregressive carryover and the melatonin probe (model R² rising from .125 to .641), while melatonin contributed negligibly to mean-level mood (Δ = +0.92 on a 0–100 scale, d = 0.17; an equivalence test bounded this effect within ±5 points). A heteroskedasticity analysis suggested smaller residual variance on melatonin days, compatible with melatonin’s chronobiotic function. The metacontrol interaction was direction-consistent but underpowered. This case illustrates how internal self-regulatory variables and an external pharmacological probe contribute differentially to affective dynamics; the probe defined a sensitivity boundary rather than signaling absent effects.</w:t>
      </w:r>
    </w:p>
    <w:p>
      <w:pPr>
        <w:spacing w:after="120" w:before="240" w:line="36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N-of-1; ecological momentary assessment; dynamical systems; autoregressive model; idiographic; personal science; intensive longitudinal data; affect dynamics</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 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 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 that it transmits the input without transformation, 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 inertia, attractor states, sensitivity to inputs of particular magnitude and timing (Bringmann et al., 2013, 2022; Hamaker, 2012; Wichers, 2014). The response is therefore informative not primarily about the perturbation, but about the system itself. The input becomes a probe of system response, 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Smit et al., 2023).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This reframing carries a methodological consequence: a non-significant intervention effect is not a design failure. The conventional reading, that the design lacks power to reject the null, presupposes a hypothesis-testing framework in which the intervention is a treatment whose efficacy is being assayed.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 The control-theoretic vocabulary used throughout (perturbation, probe, sensitivity boundary, system identification) is intended in an analytic and conceptual sense, as a way of organizing dynamical questions about a single person across time; it is not a claim that the present analyses estimate engineering transfer functions or recover a closed-form physical plant model.</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has been modeled in many ways: as a dimensional state of valence and arousal (Russell, 1980; Russell &amp; Barrett, 1999), as the output of cognitive appraisal (Frijda, 1986; Lazarus, 1991), as a regulator of homeostasis and somatic state (Craig, 2009; Damasio, 1999), and as a property of self-organizing dynamical systems (Kuppens et al., 2010; Wichers, 2014). The present study takes no comprehensive position. It addresses a narrower empirical question: in this individual, sampled three times daily for 70 days, what proportion of daily mood variation is accounted for by a discrete external input versus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 (better sleep, reduced stress, optimized nutrition, pharmacological support). Mood becomes a passive output of external conditions; intervention becomes a question of which conditions to optimize. The present study does not contest this frame at the population level; it contests only the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internal behavioral dynamics: by the degree to which the individual is acting intentionally, making progress toward goals, and maintaining awareness of her own state. On this view, mood is less a response to external inputs than a signature of how well the individual’s behavioral system is functioning as a self-regulating agent. The present study compares these accounts at the individual level, grounded in two theoretical commitments.</w:t>
      </w:r>
    </w:p>
    <w:p>
      <w:pPr>
        <w:spacing w:after="120" w:before="0" w:line="480"/>
        <w:jc w:val="both"/>
      </w:pPr>
      <w:r>
        <w:rPr>
          <w:rFonts w:ascii="Times New Roman" w:cs="Times New Roman" w:eastAsia="Times New Roman" w:hAnsi="Times New Roman"/>
          <w:sz w:val="24"/>
          <w:szCs w:val="24"/>
        </w:rPr>
        <w:t xml:space="preserve">The first commitment is that perceived agency, the felt sense of intentional, goal-directed action, is a primary internal driver of affective state. This commitment draws on Bandura’s (1989, 2001, 2006) social cognitive theory of human agency, in which persons exercise causal influence over their own functioning through intentional, self-regulating action. Carver and Scheier’s (1990, 1998) control-process model further specifies that affect is generated by the perceived rate of progress toward active goals: positive affect arises when progress exceeds expectation, negative affect when it falls below. Self-determination theory (Deci &amp; Ryan, 2000; Ryan &amp; Deci, 2017) adds that autonomy, experienced as self-endorsed action, is a basic psychological need predictive of well-being. Agency is operationalized here as the moment-to-moment sense of task progress and forward motion.</w:t>
      </w:r>
    </w:p>
    <w:p>
      <w:pPr>
        <w:spacing w:after="120" w:before="0" w:line="480"/>
        <w:jc w:val="both"/>
      </w:pPr>
      <w:r>
        <w:rPr>
          <w:rFonts w:ascii="Times New Roman" w:cs="Times New Roman" w:eastAsia="Times New Roman" w:hAnsi="Times New Roman"/>
          <w:sz w:val="24"/>
          <w:szCs w:val="24"/>
        </w:rPr>
        <w:t xml:space="preserve">The second commitment is that metacognitive awareness, the system’s read-out of its own internal state, both predicts mood and modulates responsiveness to external perturbation. Flavell (1979) defined metacognition as cognition about cognition; Efklides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 this framework suits high-frequency sampling because metacognition varies in real time. Metcalfe and Greene (2007) extend the framework to agency, showing that judgments of personal control are products of metacognitive monitoring. The joint operation of agency and metacognition motivates the metacontrol hypothesis tested below: a system better able to monitor its own state may be less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these commitments imply a parsimonious empirical prediction: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their effect is small relative to the system’s own self-regulatory machinery, and that any effect may appear in features of the trajectory other than its mean level (variability or decay rate). The research questions in Section 1.4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Because agency and metacognition carry divergent meanings across traditions, their scope here is delimited explicitly. Agency is used not in its sociological sense (acting within social structure; Giddens, 1984), nor in the philosophical sense concerning the veridicality of the felt authorship of action (Wegner, 2002; Synofzik et al., 2008), but only as the participant’s moment-to-moment phenomenological sense of intentional progress toward immediate task goals—a signal the system tracks and reports. Metacognition is likewise restricted to in-the-moment self-monitoring in the Nelson and Narens (1990) sense—not the stable metacognitive knowledge of Flavell’s (1979) typology—a measurement choice imposed by the high-frequency sampling design.</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 Melatonin is widely consumed as a chronobiotic and sleep aid and is sometimes assumed to also lift mood; the present design tests this assumption at the individual level in a system where the cyclical hormonal contribution to affect has been pharmacologically stabilized.</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 (agency and metacognitive awareness) account for substantially more variance than the external intervention? This reframes a null pharmacological result not as a design failure but as a system-identification result: a finding that this system is more sensitive to internal self-regulatory variation than to an external probe of this magnitude.</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 A buffering interaction would indicate that monitoring one’s own state changes the system’s functional coupling to external inputs, a higher-order regulatory property not captured by main effects alone.</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for which the participant designed a randomized N-of-1 alternating-treatment experiment with three-times-daily ecological momentary assessment (EMA) sampling. The full 70-day randomization schedule was generated from a pre-specified algorithm and fixed in a stored protocol file before any data were collected (Section 2.3). At the course deadline only the first 44 days had been collected, so the course-required analysis reported that interim window under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analyzes the complete, pre-specified 70-day protocol and shifts the analytic question from “did the intervention produce an average effect?” to “what is the dynamic structure of the system, and how do internal and external drivers contribute to it?” The methods reported here (autoregressive modeling with exogenous inputs, state-space modeling with Kalman filtering, impulse response analysis, and conditional heteroskedasticity) 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Methods</w:t>
      </w:r>
    </w:p>
    <w:p>
      <w:pPr>
        <w:pStyle w:val="Heading2"/>
        <w:spacing w:after="120" w:before="240" w:line="360"/>
      </w:pPr>
      <w:r>
        <w:rPr>
          <w:rFonts w:ascii="Times New Roman" w:cs="Times New Roman" w:eastAsia="Times New Roman" w:hAnsi="Times New Roman"/>
          <w:b/>
          <w:bCs/>
          <w:sz w:val="26"/>
          <w:szCs w:val="26"/>
        </w:rPr>
        <w:t xml:space="preserve">2.1 Participants</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The protocol began with the 22:00 evening prompt on the first study day; EMA observations were aggregated to the study day, yielding the planned 35 control and 35 melatonin daily aggregates over the 70-day window (2026-02-18 to 2026-04-29). One study day (Day 44) had EMA pings recorded on two adjacent calendar dates under this evening-start convention; these were aggregated into a single day-level observation (cf. Section 3.1). Of 210 planned EMA observations across the 70-day window, 195 were recorded (compliance rate = 92.9%; 54 days with three observations, 13 with two, 2 with one, and 1 with five).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53 daily aggregates (27 control and 26 melatonin days) and 144 momentary observations; the AR(1) model with lag-1 alignment uses 53 days, with the first day in the window (Day 18) using Day 17's mood as its lag-1 predecessor. Mood-only analyses (descriptive statistics, between-condition mean comparison, and the observation-level AR(1) inertia estimate) 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 the number of time steps required for an external impulse to decay to half its initial magnitude, 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 that metacognitive awareness moderates the system’s responsiveness to external perturbation, 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 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2.5.9 Supplementary Bayesian robustness analysis</w:t>
      </w:r>
    </w:p>
    <w:p>
      <w:pPr>
        <w:spacing w:after="120" w:before="0" w:line="480"/>
        <w:jc w:val="both"/>
      </w:pPr>
      <w:r>
        <w:rPr>
          <w:rFonts w:ascii="Times New Roman" w:cs="Times New Roman" w:eastAsia="Times New Roman" w:hAnsi="Times New Roman"/>
          <w:sz w:val="24"/>
          <w:szCs w:val="24"/>
        </w:rPr>
        <w:t xml:space="preserve">As a supplementary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posterior draws per parameter. A secondary Bayesian model additionally included a melatonin × metacognition interaction to provide a Bayesian counterpart of the metacontrol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360"/>
      </w:pPr>
      <w:r>
        <w:rPr>
          <w:rFonts w:ascii="Times New Roman" w:cs="Times New Roman" w:eastAsia="Times New Roman" w:hAnsi="Times New Roman"/>
          <w:b/>
          <w:bCs/>
          <w:i/>
          <w:iCs/>
          <w:sz w:val="24"/>
          <w:szCs w:val="24"/>
        </w:rPr>
        <w:t xml:space="preserve">2.5.10 Multilevel (mixed-effects) robustness analysis</w:t>
      </w:r>
    </w:p>
    <w:p>
      <w:pPr>
        <w:spacing w:after="120" w:before="0" w:line="480"/>
        <w:jc w:val="both"/>
      </w:pPr>
      <w:r>
        <w:rPr>
          <w:rFonts w:ascii="Times New Roman" w:cs="Times New Roman" w:eastAsia="Times New Roman" w:hAnsi="Times New Roman"/>
          <w:sz w:val="24"/>
          <w:szCs w:val="24"/>
        </w:rPr>
        <w:t xml:space="preserve">The primary models in Section 2.5.1 were fit to daily mean mood, collapsing the up-to-three momentary observations recorded each day into a single value. Although this aggregation stabilizes daily estimates, it discards within-day variation and treats each day as a single observation. As a robustness check on the internal-versus-external comparison, the relation among the internal drivers, the external probe, and mood was therefore re-estimated at the momentary level using a linear mixed-effects model that retained every EMA observation and accounted for its nesting within days. Momentary mood was regressed on momentary agency and momentary metacognitive awareness (both grand-mean-centered) and the day’s melatonin indicator, with a random intercept for day:</w:t>
      </w:r>
    </w:p>
    <w:p>
      <w:pPr>
        <w:spacing w:after="120" w:before="0" w:line="480"/>
        <w:jc w:val="center"/>
      </w:pPr>
      <w:r>
        <w:rPr>
          <w:rFonts w:ascii="Times New Roman" w:cs="Times New Roman" w:eastAsia="Times New Roman" w:hAnsi="Times New Roman"/>
          <w:sz w:val="24"/>
          <w:szCs w:val="24"/>
        </w:rPr>
        <w:t xml:space="preserve">moodᵢⱼ = γ₀₀ + γ₁₀ · agencyᵢⱼ + γ₂₀ · metacognitionᵢⱼ + γ₃₀ · melatoninⱼ + u₀ⱼ + eᵢⱼ ,</w:t>
      </w:r>
    </w:p>
    <w:p>
      <w:pPr>
        <w:spacing w:after="120" w:before="0" w:line="480"/>
        <w:jc w:val="both"/>
      </w:pPr>
      <w:r>
        <w:rPr>
          <w:rFonts w:ascii="Times New Roman" w:cs="Times New Roman" w:eastAsia="Times New Roman" w:hAnsi="Times New Roman"/>
          <w:sz w:val="24"/>
          <w:szCs w:val="24"/>
        </w:rPr>
        <w:t xml:space="preserve">where i indexes the momentary observation within day j, u₀ⱼ ~ N(0, τ₀₀) is the day-level random intercept, and eᵢⱼ ~ N(0, σ²) is the within-day residual. The random intercept absorbs the between-day dependence that daily aggregation had otherwise handled by collapsing each day to its mean. Models were fit by restricted maximum likelihood in R 4.5 using lme4 (Bates, Mächler, Bolker, &amp; Walker, 2015), with Satterthwaite-approximated p-values from lmerTest (Kuznetsova, Brockhoff, &amp; Christensen, 2017). Between-day clustering was summarized by the intraclass correlation (ICC) from an unconditional model; variance explained was summarized by marginal R² (fixed effects only) and conditional R² (fixed effects plus random intercept). This analysis is restricted to the Day 18–70 window in which agency and metacognition were collected.</w:t>
      </w:r>
    </w:p>
    <w:p>
      <w:pPr>
        <w:pStyle w:val="Heading3"/>
        <w:spacing w:after="60" w:before="180" w:line="360"/>
      </w:pPr>
      <w:r>
        <w:rPr>
          <w:rFonts w:ascii="Times New Roman" w:cs="Times New Roman" w:eastAsia="Times New Roman" w:hAnsi="Times New Roman"/>
          <w:b/>
          <w:bCs/>
          <w:i/>
          <w:iCs/>
          <w:sz w:val="24"/>
          <w:szCs w:val="24"/>
        </w:rPr>
        <w:t xml:space="preserve">2.5.11 Equivalence test for the melatonin mean effect</w:t>
      </w:r>
    </w:p>
    <w:p>
      <w:pPr>
        <w:spacing w:after="120" w:before="0" w:line="480"/>
        <w:jc w:val="both"/>
      </w:pPr>
      <w:r>
        <w:rPr>
          <w:rFonts w:ascii="Times New Roman" w:cs="Times New Roman" w:eastAsia="Times New Roman" w:hAnsi="Times New Roman"/>
          <w:sz w:val="24"/>
          <w:szCs w:val="24"/>
        </w:rPr>
        <w:t xml:space="preserve">Because a non-significant mean difference does not by itself establish the absence of a meaningful effect, the melatonin mean effect was also evaluated with a two one-sided tests (TOST) equivalence procedure (Lakens, 2017). A smallest effect size of interest (SESOI) of ±5 points on the 0–100 mood scale was specified as the smallest day-level mean shift judged practically meaningful for this individual, approximately 0.9 of the daily mood standard deviation. The TOST evaluates whether the observed effect is statistically closer to zero than to either equivalence bound, which is equivalent to testing whether the 90% confidence interval of the mean difference falls entirely within the bounds. A tighter ±3-point bound is reported alongside for comparison.</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Supplementary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6. The multilevel robustness models (Section 3.7) were fit in R 4.5 using lme4 (Bates et al., 2015) and lmerTest (Kuznetsova et al., 2017).</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Of 210 planned EMA observations across the 70-day study window (2026-02-18 to 2026-04-29), 195 were recorded, yielding a compliance rate of 92.9% (54 study days with three observations, 13 with two, 2 with one, and 1 with five). As described in Section 2.3, the protocol’s 70-day randomized schedule yielded 35 control and 35 melatonin study days (Day 44, whose EMA pings spanned two adjacent calendar dates, was aggregated into a single study-day observation). Within the Day 18–70 window in which agency and metacognition were also collected, 27 control and 26 melatonin days yielded 144 complete observations.</w:t>
      </w:r>
    </w:p>
    <w:p>
      <w:pPr>
        <w:spacing w:after="120" w:before="0" w:line="480"/>
        <w:jc w:val="both"/>
      </w:pPr>
      <w:r>
        <w:rPr>
          <w:rFonts w:ascii="Times New Roman" w:cs="Times New Roman" w:eastAsia="Times New Roman" w:hAnsi="Times New Roman"/>
          <w:sz w:val="24"/>
          <w:szCs w:val="24"/>
        </w:rPr>
        <w:t>Daily mean mood was high overall (M = 77.13, SD = 5.50), with a range from 60.00 to 86.50 across the 70-day window. By condition, daily mood averaged 76.67 (SD = 6.41) on control days and 77.59 (SD = 4.45) on melatonin days. Daily agency averaged 77.71 (SD = 4.50) on control days and 78.50 (SD = 3.19) on melatonin days. Daily metacognition averaged 79.39 (SD = 3.98) on control days and 80.17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38208" cy="2245587"/>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Daily mean mood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38208" cy="2245587"/>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All momentary mood observations with 7-day rolling mean.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195 momentary mood observations are colored by daily condition. The dark line shows the 7-day rolling mean,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Three nested autoregressive models were fit to daily mean mood on the Day 18–70 subsample (n = 53 days; Table 1). The baseline AR(1) model (M0) yielded φ = 0.34, 95% CI [0.08, 0.61], p = .013, accounting for 11.6% of the variance in daily mood and confirming the presence of day-to-day emotional inertia. Adding the melatonin probe (M1) increased explained variance only marginally (R² = 0.125, ΔR² = 0.009; β = 0.72, 95% CI [−1.25, 2.69], p = .466). Adding the two internal drivers (M2) increased explained variance dramatically (R² = 0.641, adjusted R² = 0.611).</w:t>
      </w:r>
    </w:p>
    <w:p>
      <w:pPr>
        <w:spacing w:after="120" w:before="0" w:line="480"/>
        <w:jc w:val="both"/>
      </w:pPr>
      <w:r>
        <w:rPr>
          <w:rFonts w:ascii="Times New Roman" w:cs="Times New Roman" w:eastAsia="Times New Roman" w:hAnsi="Times New Roman"/>
          <w:sz w:val="24"/>
          <w:szCs w:val="24"/>
        </w:rPr>
        <w:t>In the full M2 model, agency emerged as a strong positive predictor of daily mood (β = 0.53, 95% CI [0.32, 0.73], p &lt; .001), as did metacognition (β = 0.45, 95% CI [0.22, 0.69], p &lt; .001). The melatonin coefficient was estimated near zero (β = −0.07, 95% CI [−1.37, 1.24], p = .919). The autoregressive coefficient flipped sign in the full model and was no longer reliably distinguishable from zero (β = −0.14, 95% CI [−0.36, 0.07], p = .181),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10.38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[30.88, 72.58]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10.45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[30.36, 72.32]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0.72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[−1.25, 2.69]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.466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12.75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8.29</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[−3.92, 29.41]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0.11</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.181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−0.07</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[−1.37, 1.24]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.919</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[0.32, 0.73]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[0.22, 0.69]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All models fit on the Day 18–70 subsample (n = 53 days). M0: R² = .116, adjusted R² = .099. M1: R² = .125, adjusted R² = .090. M2: R² = .641, adjusted R² = .611. Predictors are on their original 0–100 scales. M2 residuals showed no remaining serial dependence (Ljung–Box p &gt; .16 at lags 1, 5, 10) and were approximately normal (Shapiro–Wilk W = 0.98, p = .483).</w:t>
      </w:r>
    </w:p>
    <w:p>
      <w:pPr>
        <w:spacing w:after="120" w:before="0" w:line="480"/>
        <w:jc w:val="both"/>
      </w:pPr>
      <w:r>
        <w:rPr>
          <w:rFonts w:ascii="Times New Roman" w:cs="Times New Roman" w:eastAsia="Times New Roman" w:hAnsi="Times New Roman"/>
          <w:sz w:val="24"/>
          <w:szCs w:val="24"/>
        </w:rPr>
        <w:t>The drop-one incremental R² comparison made the magnitudes of these contributions directly comparable (Figure 3). Agency uniquely accounted for 19.7% of the variance in daily mood beyond what the other predictors in M2 captured; metacognition uniquely accounted for 11.0%; melatonin uniquely accounted for 0.01%. The internal-driver block (agency and metacognition jointly) accounted for 51.5% of the variance beyond the autoregressive-plus-melatonin model (M1), raising R² from .125 (M1) to .641 (M2). Because agency and metacognition are themselves correlated, this joint contribution exceeds the sum of their unique drop-one contributions (19.7% and 11.0%); the difference reflects variance the two share.</w:t>
      </w:r>
    </w:p>
    <w:p>
      <w:pPr>
        <w:spacing w:after="60" w:before="240"/>
        <w:jc w:val="center"/>
      </w:pPr>
      <w:r>
        <w:drawing>
          <wp:inline distT="0" distB="0" distL="0" distR="0">
            <wp:extent cx="5138208" cy="3043016"/>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38208" cy="3043016"/>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Incremental R² for each predictor in the AR(1) model.</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Incremental R² is computed as the drop in R² when that predictor is removed from the full AR(1)-with-exogenous-inputs model. Agency and metacognition together account for over half of the day-to-day variance in mood; the melatonin probe accounts for essentially none.</w:t>
      </w:r>
    </w:p>
    <w:p>
      <w:pPr>
        <w:spacing w:after="120" w:before="0" w:line="480"/>
        <w:jc w:val="both"/>
      </w:pPr>
      <w:r>
        <w:rPr>
          <w:rFonts w:ascii="Times New Roman" w:cs="Times New Roman" w:eastAsia="Times New Roman" w:hAnsi="Times New Roman"/>
          <w:sz w:val="24"/>
          <w:szCs w:val="24"/>
        </w:rPr>
        <w:t>The same qualitative pattern was recovered in a supplementary Bayesian analysis with weakly informative priors on all model parameters, with high posterior probability for the agency and metacognition coefficients (see Section 3.6). A multilevel re-analysis of all 144 momentary observations, without daily aggregation, reproduced the same pattern (Section 3.7).</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69 lag-1 pairs), φ_day ≈ 0.42 (Figure 4; OLS point estimate φ̂ = 0.4204, rounded for reporting consistency with the figure). On the Day 18–70 subsample used in the nested-model comparison reported in Section 3.2 (n = 53), the corresponding daily-level coefficient was φ = 0.34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0.42; the smaller nested-model coefficient should be interpreted as a within-window estimate constrained by data availability.</w:t>
      </w:r>
    </w:p>
    <w:p>
      <w:pPr>
        <w:spacing w:after="60" w:before="240"/>
        <w:jc w:val="center"/>
      </w:pPr>
      <w:r>
        <w:drawing>
          <wp:inline distT="0" distB="0" distL="0" distR="0">
            <wp:extent cx="5138208" cy="4734683"/>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38208" cy="4734683"/>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Lag-1 autocorrelation of daily mood across the 70-day sample.</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Each point represents one observation pair (mood at day t plotted against mood at day t − 1). The red regression line corresponds to the OLS estimate φ_day ≈ 0.42.</w:t>
      </w:r>
    </w:p>
    <w:p>
      <w:pPr>
        <w:spacing w:after="60" w:before="240"/>
        <w:jc w:val="center"/>
      </w:pPr>
      <w:r>
        <w:drawing>
          <wp:inline distT="0" distB="0" distL="0" distR="0">
            <wp:extent cx="5138208" cy="2139473"/>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38208" cy="2139473"/>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Impulse response and half-life of an affective perturbation.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Computed from the estimated AR(1) coefficients. Panel (a) shows the observation-level IRF using φ_obs = 0.23, with a within-day half-life of approximately 2.9 hours given a 6.17-hour median between-prompt interval. Panel (b) shows the daily-level IRF using the full-sample coefficient φ_day ≈ 0.42, with a half-life of 0.80 days.</w:t>
      </w:r>
    </w:p>
    <w:p>
      <w:pPr>
        <w:spacing w:after="120" w:before="0" w:line="480"/>
        <w:jc w:val="both"/>
      </w:pPr>
      <w:r>
        <w:rPr>
          <w:rFonts w:ascii="Times New Roman" w:cs="Times New Roman" w:eastAsia="Times New Roman" w:hAnsi="Times New Roman"/>
          <w:sz w:val="24"/>
          <w:szCs w:val="24"/>
        </w:rPr>
        <w:t>The local-level state-space model (Section 2.5.2) decomposed the observed daily mood series into a smoothed latent trajectory and observation noise. Maximum-likelihood estimates were σ²_v = 17.40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38208" cy="2356621"/>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38208" cy="2356621"/>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Kalman-smoothed latent affective state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dark line shows the Kalman-smoothed latent state estimate; the gray band shows the 95% confidence interval. Daily observed means are plotted as light points for reference. The latent series rises from approximately 70 in the first ten days to approximately 80 by Day 40 and remains in the high range thereafter.</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Consistent with the M1 result above, the between-condition comparison of daily mean mood yielded a small and non-significant difference: melatonin minus control = +0.92 mood points, Welch t(60.6) = 0.70, p = .489, Cohen's d = 0.17 (Figure 7). A two one-sided tests (TOST) equivalence procedure sharpened this null: the 90% confidence interval for the mean difference, [−1.29, +3.12] points, fell within the pre-specified ±5-point bound, establishing equivalence at that bound (TOST p = .002), so effects larger than about 5 points (d ≈ 0.9) can be rejected; at a tighter ±3-point bound the interval was not fully contained and equivalence was not established (TOST p = .060). The data therefore bound the melatonin mean effect to at most roughly +3 points on the high side.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38208" cy="2135666"/>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38208" cy="2135666"/>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Between-condition comparison of daily mood, agency, and metacognition.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Boxes show interquartile range; horizontal lines show medians; jittered points show individual days. Mean differences (melatonin minus control) are annotated within each panel and are small for all three variables.</w:t>
      </w:r>
    </w:p>
    <w:p>
      <w:pPr>
        <w:spacing w:after="120" w:before="0" w:line="480"/>
        <w:jc w:val="both"/>
      </w:pPr>
      <w:r>
        <w:rPr>
          <w:rFonts w:ascii="Times New Roman" w:cs="Times New Roman" w:eastAsia="Times New Roman" w:hAnsi="Times New Roman"/>
          <w:sz w:val="24"/>
          <w:szCs w:val="24"/>
        </w:rPr>
        <w:t>The variability analyses (Section 2.5.6) yielded a more nuanced picture. Three of four indices pointed in the same direction, with melatonin days showing lower mood variability than control days: daily mood SD was 4.45 (melatonin) versus 6.41 (control); MSSD across within-condition runs was 57.35 versus 88.26; observation-level mood SD was 6.54 versus 8.26. The univariate Levene and MSSD tests did not reach significance (Levene W = 1.94, p = .168; MSSD Welch t = −0.94, p = .355). The heteroskedasticity model regressing log-squared M2 residuals on the melatonin indicator, however, yielded a negative but non-significant coefficient (α₁ = −1.11, 95% CI [−2.31, +0.10], p = .071), with a point estimate indicating that the model's residual variance was smaller on melatonin days than on control days. The collective pattern, three direction-consistent variability indices, none of which reached conventional significance, 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The state-dependent decay analysis (Section 2.5.7) cohered with this pattern in direction. The interaction-augmented AR(1) yielded estimated φ_control = 0.48 and φ_melatonin = 0.22, with the lag-1 × melatonin interaction coefficient δ = −0.26, 95% CI [−0.79, +0.28], p = .343. Although this coefficient was not statistically distinguishable from zero, its direction, faster decay on melatonin days, 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The metacontrol interaction term β₃ was negative, as predicted by the metacontrol hypothesis (β₃ = −0.13), but not reliably distinguishable from zero (95% CI [−0.59, +0.33], p = .564). Simple-slope decomposition placed the melatonin slope at +0.66 at one standard deviation below mean metacognition, +0.17 at the mean, and −0.31 at one standard deviation above mean metacognition. The qualitative pattern is consistent with the metacontrol hypothesis (the apparent direction of the melatonin effect reverses across the metacognition continuum), 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The agency × melatonin robustness check (Section 2.5.8) yielded an interaction coefficient indistinguishable from zero (β = −0.05, 95% CI [−0.41, +0.31], p = .791),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2"/>
        <w:spacing w:after="120" w:before="240" w:line="360"/>
      </w:pPr>
      <w:r>
        <w:rPr>
          <w:rFonts w:ascii="Times New Roman" w:cs="Times New Roman" w:eastAsia="Times New Roman" w:hAnsi="Times New Roman"/>
          <w:b/>
          <w:bCs/>
          <w:sz w:val="26"/>
          <w:szCs w:val="26"/>
        </w:rPr>
        <w:t xml:space="preserve">3.6 Supplementary Bayesian Robustness</w:t>
      </w:r>
    </w:p>
    <w:p>
      <w:pPr>
        <w:spacing w:after="120" w:before="0" w:line="480"/>
        <w:jc w:val="both"/>
      </w:pPr>
      <w:r>
        <w:rPr>
          <w:rFonts w:ascii="Times New Roman" w:cs="Times New Roman" w:eastAsia="Times New Roman" w:hAnsi="Times New Roman"/>
          <w:sz w:val="24"/>
          <w:szCs w:val="24"/>
        </w:rPr>
        <w:t xml:space="preserve">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pPr>
        <w:spacing w:after="120" w:before="0" w:line="480"/>
        <w:jc w:val="both"/>
      </w:pPr>
      <w:r>
        <w:rPr>
          <w:rFonts w:ascii="Times New Roman" w:cs="Times New Roman" w:eastAsia="Times New Roman" w:hAnsi="Times New Roman"/>
          <w:sz w:val="24"/>
          <w:szCs w:val="24"/>
        </w:rPr>
        <w:t>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8,000 for every parameter, indicating excellent MCMC convergence.</w:t>
      </w:r>
    </w:p>
    <w:p>
      <w:pPr>
        <w:spacing w:after="60" w:before="240" w:line="320"/>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Posterior summaries for the supplementary Bayesian M2 robustness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Posterior M</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CrI</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Pr(β &gt; 0)</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R̂ / ESS_bulk</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+0.01</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[−0.24, +0.25]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.53</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11699</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[−0.35, +0.07]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8902</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+0.34]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.46</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11315</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[+0.33, +0.75]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 / 8654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[+0.21, +0.67]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 / 8035</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[+0.52, +0.78]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n/a</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11519</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Day 18–70 subsample (n = 53). Continuous variables standardized; melatonin retained as 0/1. Priors: coefficients ~ Normal(0, 1); intercept ~ Student-t(3, 0, 2.5); σ ~ Exponential(1). Four MCMC chains yielded 12,000 post-warmup posterior draws. Posterior M = posterior mean. CrI = 95% equal-tailed credible interval. Pr(β &gt; 0) = proportion of posterior draws greater than zero. All R̂ values ≤ 1.001; ESS_bulk reported. All ESS_tail also exceeded 7,000 (not shown), indicating adequate sampling convergence.</w:t>
      </w:r>
    </w:p>
    <w:p>
      <w:pPr>
        <w:spacing w:after="120" w:before="0" w:line="480"/>
        <w:jc w:val="both"/>
      </w:pPr>
      <w:r>
        <w:rPr>
          <w:rFonts w:ascii="Times New Roman" w:cs="Times New Roman" w:eastAsia="Times New Roman" w:hAnsi="Times New Roman"/>
          <w:sz w:val="24"/>
          <w:szCs w:val="24"/>
        </w:rPr>
        <w:t>The Bayesian metacontrol model (Section 2.5.9, secondary) yielded a negative posterior mean for the melatonin × metacognition interaction (β = −0.04, 95% CrI [−0.39, +0.32], Pr(β &lt; 0) = .59), consistent with the hypothesized direction of metacognitive buffering but with a credible interval clearly spanning zero. The metacontrol interaction therefore remains direction-consistent but underpowered under both frequentist and Bayesian inferential frameworks, and is interpreted as suggestive rather than confirmatory.</w:t>
      </w:r>
    </w:p>
    <w:p>
      <w:pPr>
        <w:pStyle w:val="Heading2"/>
        <w:spacing w:after="120" w:before="240" w:line="360"/>
      </w:pPr>
      <w:r>
        <w:rPr>
          <w:rFonts w:ascii="Times New Roman" w:cs="Times New Roman" w:eastAsia="Times New Roman" w:hAnsi="Times New Roman"/>
          <w:b/>
          <w:bCs/>
          <w:sz w:val="26"/>
          <w:szCs w:val="26"/>
        </w:rPr>
        <w:t xml:space="preserve">3.7 Multilevel Robustness: Internal-Driver Dominance Without Aggregation</w:t>
      </w:r>
    </w:p>
    <w:p>
      <w:pPr>
        <w:spacing w:after="120" w:before="0" w:line="480"/>
        <w:jc w:val="both"/>
      </w:pPr>
      <w:r>
        <w:rPr>
          <w:rFonts w:ascii="Times New Roman" w:cs="Times New Roman" w:eastAsia="Times New Roman" w:hAnsi="Times New Roman"/>
          <w:sz w:val="24"/>
          <w:szCs w:val="24"/>
        </w:rPr>
        <w:t xml:space="preserve">An unconditional multilevel model confirmed that the momentary mood ratings were substantially clustered within days: approximately 32% of the variance in momentary mood lay between days (ICC = .32 in the full 195-observation sample; .26 within the Day 18–70 analysis window), confirming that the three daily pings are not independent and that a model accounting for this nesting, or aggregation to daily means, is required.</w:t>
      </w:r>
    </w:p>
    <w:p>
      <w:pPr>
        <w:spacing w:after="120" w:before="0" w:line="480"/>
        <w:jc w:val="both"/>
      </w:pPr>
      <w:r>
        <w:rPr>
          <w:rFonts w:ascii="Times New Roman" w:cs="Times New Roman" w:eastAsia="Times New Roman" w:hAnsi="Times New Roman"/>
          <w:sz w:val="24"/>
          <w:szCs w:val="24"/>
        </w:rPr>
        <w:t>Re-estimating the internal-versus-external comparison at the momentary level, on all 144 EMA observations rather than 53 daily means, reproduced the primary pattern (Table 3). Both internal drivers remained strong, reliably positive predictors of momentary mood: agency β = 0.34, 95% CI [0.22, 0.47], p &lt; .001; metacognition β = 0.48, 95% CI [0.34, 0.62], p &lt; .001. The melatonin probe, by contrast, remained indistinguishable from zero (β = 0.04, 95% CI [−1.22, 1.31], p = .946). The fixed effects jointly accounted for half of the variance in momentary mood (marginal R² = .50), comparable in magnitude to the internal-driver contribution estimated in the daily-aggregated model (Section 3.2); adding the day-level random intercept changed this little (conditional R² = .52), indicating that the internal drivers, rather than stable day-level offsets, carry most of the explained variance.</w:t>
      </w:r>
    </w:p>
    <w:p>
      <w:pPr>
        <w:spacing w:after="120" w:before="0" w:line="480"/>
        <w:jc w:val="both"/>
      </w:pPr>
      <w:r>
        <w:rPr>
          <w:rFonts w:ascii="Times New Roman" w:cs="Times New Roman" w:eastAsia="Times New Roman" w:hAnsi="Times New Roman"/>
          <w:sz w:val="24"/>
          <w:szCs w:val="24"/>
        </w:rPr>
        <w:t>The momentary-level coefficients differ slightly in magnitude from the daily-aggregated M2 estimates (agency 0.53, metacognition 0.45; Section 3.2). This is expected: the mixed-effects coefficients blend within-day and between-day association, whereas the daily-mean analysis estimated a purely between-day relation. A full within/between decomposition (person-mean centering of the momentary predictors) is left to future work. The present analysis establishes only that the study’s central conclusion, that internal behavioral drivers dominate the external probe, does not depend on daily aggregation: the daily-aggregated (Section 3.2), Bayesian (Section 3.6), and momentary multilevel analyses converge on the same ordering, agency ≈ metacognition ≫ melatonin ≈ 0.</w:t>
      </w:r>
    </w:p>
    <w:p>
      <w:pPr>
        <w:spacing w:after="60" w:before="240" w:line="320"/>
      </w:pPr>
      <w:r>
        <w:rPr>
          <w:rFonts w:ascii="Times New Roman" w:cs="Times New Roman" w:eastAsia="Times New Roman" w:hAnsi="Times New Roman"/>
          <w:b/>
          <w:bCs/>
          <w:i/>
          <w:iCs/>
          <w:sz w:val="22"/>
          <w:szCs w:val="22"/>
        </w:rPr>
        <w:t xml:space="preserve">Table 3. </w:t>
      </w:r>
      <w:r>
        <w:rPr>
          <w:rFonts w:ascii="Times New Roman" w:cs="Times New Roman" w:eastAsia="Times New Roman" w:hAnsi="Times New Roman"/>
          <w:i/>
          <w:iCs/>
          <w:sz w:val="22"/>
          <w:szCs w:val="22"/>
        </w:rPr>
        <w:t xml:space="preserve">Fixed-effect estimates for the multilevel (mixed-effects) robustness model of momentary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2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78.47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0.45</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[77.59, 79.34]</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Agency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0.34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0.06</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[0.22, 0.47]</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Metacognition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0.48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0.07</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[0.34, 0.62]</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0.04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[−1.22, 1.31]</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.946</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n = 144 momentary observations nested within 53 days (Day 18–70; 27 control, 26 melatonin). Random intercept for day: variance = 0.74; within-day residual variance = 12.71. Marginal R² = .50 (fixed effects); conditional R² = .52 (fixed effects plus random intercept). Agency and metacognition were centered at their sample means (77.98 and 79.57); melatonin retained as a 0/1 indicator. Models fit by REML in lme4; 95% CIs are Wald intervals; p-values use the Satterthwaite approximation (lmerTest).</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The most direct empirical question, whether melatonin shifts average daily mood, yielded a small and statistically non-significant mean difference. The point estimate was Δ = +0.92 on a 0–100 scale (d = 0.17), the M1 model added negligible variance over the AR(1) baseline (ΔR² = 0.009), and within the full model containing internal drivers the melatonin coefficient was essentially zero (β = −0.07, 95% CI [−1.37, +1.24]).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on this individual’s data, agency and metacognition predict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A two one-sided tests procedure quantified this bound directly: the 90% confidence interval for the raw mean difference fell within ±5 points (equivalence at that bound, p = .002) but not within ±3 points (p = .060), bounding the effect at roughly 3 to 5 points even though smaller effects cannot be excluded.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Dominant Predictor of Daily Affect</w:t>
      </w:r>
    </w:p>
    <w:p>
      <w:pPr>
        <w:spacing w:after="120" w:before="0" w:line="480"/>
        <w:jc w:val="both"/>
      </w:pPr>
      <w:r>
        <w:rPr>
          <w:rFonts w:ascii="Times New Roman" w:cs="Times New Roman" w:eastAsia="Times New Roman" w:hAnsi="Times New Roman"/>
          <w:sz w:val="24"/>
          <w:szCs w:val="24"/>
        </w:rPr>
        <w:t>The most informative finding in this study is the magnitude of the internal-driver contribution. Daily perceived agency contributed an incremental 19.7% of variance to the daily-mood model after accounting for emotional inertia, the external probe, and metacognitive awareness. Daily metacognition contributed an incremental 11.0% under the same controls. Both effects were estimated with narrow confidence intervals and reliably distinguishable from zero (β_agency = 0.53, 95% CI [0.32, 0.73], p &lt; .001; β_metacog = 0.45, 95% CI [0.22, 0.69], p &lt; .001). The two internal drivers jointly raised the model R² from .125 (M1) to .641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The agency × melatonin robustness check provided further evidence for agency as a stable internal organizer. The interaction coefficient was indistinguishable from zero (β = −0.05, 95% CI [−0.41, +0.31], p = .791),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The role of metacognition was somewhat more complex. As a main-effect predictor, metacognition contributed reliably to daily mood (β = 0.45, p &lt; .001), suggesting that the system’s awareness of its own state is itself bound up with its affective state. The metacontrol interaction, the prediction that higher metacognition would buffer the system against external perturbation, was direction-consistent but not statistically distinguishable from zero (β₃ = −0.13, 95% CI [−0.59, +0.33], p = .564). The simple-slope pattern, in which the apparent melatonin slope reversed sign across the metacognition continuum (from +0.66 at one SD below mean metacognition to −0.31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 the heteroskedasticity model regressing log-squared M2 residuals on the melatonin indicator, pointed in the same direction but did not reach conventional significance (α₁ = −1.11, p = .071). The state-dependent decay analysis, although individually underpowered, was direction-consistent with this variability pattern: the daily AR(1) coefficient was lower on melatonin days (φ = 0.22) than on control days (φ = 0.48),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generalized to other persons or to the same person at other points in time. Whether this individual exhibits unusually strong internal-driver organization, or whether a comparable contrast between internal-driver variance and external-probe variance is a general feature of human affect under stable environmental conditions, cannot be distinguished from a single-subject design. The variance contrast is informative about this system but not about whether the system is typical. The contribution claimed here is therefore methodological and theoretical (a template for control-theoretic single-system characterization, and an individual-level instance consistent with the agency framework) rather than evidence of inter-individual differences. Multi-subject extensions of the same idiographic pipeline are needed to evaluate whether the pattern reflects this person specifically or a broader regularity.</w:t>
      </w:r>
    </w:p>
    <w:p>
      <w:pPr>
        <w:spacing w:after="120" w:before="0" w:line="480"/>
        <w:jc w:val="both"/>
      </w:pPr>
      <w:r>
        <w:rPr>
          <w:rFonts w:ascii="Times New Roman" w:cs="Times New Roman" w:eastAsia="Times New Roman" w:hAnsi="Times New Roman"/>
          <w:sz w:val="24"/>
          <w:szCs w:val="24"/>
        </w:rPr>
        <w:t xml:space="preserve">Several measurement-level concerns constrain interpretation. Single-item momentary affect measures carry non-trivial measurement error (Dejonckheere et al., 2022), and the Day-18 protocol amendment restricts the data window for analyses involving agency and metacognition to 53 days, limiting statistical power for interaction tests. Mood, agency, and metacognitive awareness were all measured by single-item self-report at the same EMA prompt, while the melatonin indicator was recorded objectively. The three internal variables share an instrument, a reporter, and a response scale that the external probe does not; their covariance therefore carries a common-method component that may inflate the apparent predictive contribution of agency and metacognition. The variance contrast should be read as a comparison that favors the internal drivers on measurement grounds, not as a calibrated estimate across measurement modalities. Thrice-daily monitoring may also have increased the salience of these internal states and thereby their observed predictive contribution (Barta et al., 2012; Conner &amp; Reid, 2012).</w:t>
      </w:r>
    </w:p>
    <w:p>
      <w:pPr>
        <w:spacing w:after="120" w:before="0" w:line="480"/>
        <w:jc w:val="both"/>
      </w:pPr>
      <w:r>
        <w:rPr>
          <w:rFonts w:ascii="Times New Roman" w:cs="Times New Roman" w:eastAsia="Times New Roman" w:hAnsi="Times New Roman"/>
          <w:sz w:val="24"/>
          <w:szCs w:val="24"/>
        </w:rPr>
        <w:t xml:space="preserve">Several design choices warrant note. Blinding was partial; the participant was aware of having taken melatonin within minutes of bedtime, and complete blinding is not achievable in self-administered, self-reported N-of-1 designs. The melatonin dose (3 mg) was not titrated, and dose-response characterization is beyond the present scope. EMA timing was approximate: delayed responses were retained within one hour of the scheduled prompt, adding minor noise to observation-level analyses but unlikely to affect daily-mean analyses. The participant’s continuous use of a combined oral contraceptive (Section 2.2) suppressed cyclical affective variation associated with the menstrual cycle; while this served the design goal of reducing baseline noise, it also restricts generalizability, as the relative contribution of stable internal drivers might be diminished in the presence of stronger cyclically varying internal perturbations.</w:t>
      </w:r>
    </w:p>
    <w:p>
      <w:pPr>
        <w:spacing w:after="120" w:before="0" w:line="480"/>
        <w:jc w:val="both"/>
      </w:pPr>
      <w:r>
        <w:rPr>
          <w:rFonts w:ascii="Times New Roman" w:cs="Times New Roman" w:eastAsia="Times New Roman" w:hAnsi="Times New Roman"/>
          <w:sz w:val="24"/>
          <w:szCs w:val="24"/>
        </w:rPr>
        <w:t xml:space="preserve">Three inferential limitations should also be noted. The autoregressive lag in M2 does not resolve contemporaneous endogeneity between mood and the internal-driver variables; because the EMA protocol measures mood, agency, and metacognitive awareness simultaneously, the design cannot construct a cross-lagged identification, and the causal direction between affect and the felt sense of intentional progress cannot be tested. The analysis estimates predictive, not causal, contributions. The within-day temporal dependence between lagged mood and the internal drivers may also produce multicollinearity that partly inflates the internal-driver coefficients in M2: the sign reversal of the autoregressive coefficient when agency and metacognition are added (Section 3.2) is consistent with such absorption, and the present analysis does not formally distinguish substantive absorption from shared variance. Future replications should report variance inflation factors and fit cross-lagged structures. Finally, the variability findings (Section 3.4) derive significance support from a single test in a multi-test family; the direction-consistent pattern across four indices is informative, but the signal should be treated as suggestive pending pre-registered replication.</w:t>
      </w:r>
    </w:p>
    <w:p>
      <w:pPr>
        <w:spacing w:after="120" w:before="0" w:line="480"/>
        <w:jc w:val="both"/>
      </w:pPr>
      <w:r>
        <w:rPr>
          <w:rFonts w:ascii="Times New Roman" w:cs="Times New Roman" w:eastAsia="Times New Roman" w:hAnsi="Times New Roman"/>
          <w:sz w:val="24"/>
          <w:szCs w:val="24"/>
        </w:rPr>
        <w:t xml:space="preserve">A further interpretive consideration concerns the directness of the predictors compared. Agency and metacognitive awareness are subjective psychological variables measured at the same EMA prompt as mood, placing them in a contemporaneous and potentially mutually constitutive relation with affective state. Melatonin, by contrast, acts on mood only indirectly: a 3 mg evening dose is expected to shift sleep onset and circadian phase rather than mood per se, with downstream effects on next-day mood mediated through sleep variables not measured here. The variance contrast therefore also reflects this asymmetry between directly observed psychological correlates and a pharmacological probe whose effect must propagate through unmeasured physiological channels.</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 (system identification, impulse response analysis, state-space modeling, and conditional heteroskedasticity modeling) 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showed mood that covaried strongly with her own moment-to-moment sense of intentional action and self-monitoring. The variance ratios reported here suggest, at least for this individual, that the system’s affective trajectory appears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 a pattern compatible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In conclusion, this study illustrates how a control-theoretic framework can characterize the affective dynamics of a single individual using a small set of complementary time-series tools, and how a discrete pharmacological probe can be used to identify the system’s sensitivity boundary rather than as a test of treatment efficacy.</w:t>
      </w:r>
    </w:p>
    <w:p>
      <w:pPr>
        <w:spacing w:after="120" w:before="0" w:line="480"/>
        <w:jc w:val="both"/>
      </w:pPr>
      <w:r>
        <w:rPr>
          <w:rFonts w:ascii="Times New Roman" w:cs="Times New Roman" w:eastAsia="Times New Roman" w:hAnsi="Times New Roman"/>
          <w:sz w:val="24"/>
          <w:szCs w:val="24"/>
        </w:rPr>
        <w:t xml:space="preserve">A natural extension is to incorporate objective sleep variables (e.g., actigraphy, as in Knapen et al., 2025) to decompose the indirect path from melatonin through sleep to mood directly within the same idiographic framework.</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Author Contributions</w:t>
      </w:r>
    </w:p>
    <w:p>
      <w:pPr>
        <w:spacing w:after="120" w:before="0" w:line="480"/>
        <w:jc w:val="both"/>
      </w:pPr>
      <w:r>
        <w:rPr>
          <w:rFonts w:ascii="Times New Roman" w:cs="Times New Roman" w:eastAsia="Times New Roman" w:hAnsi="Times New Roman"/>
          <w:sz w:val="24"/>
          <w:szCs w:val="24"/>
        </w:rPr>
        <w:t xml:space="preserve">Miura Meng (MM) designed the study, collected the data, performed the statistical analyses, and wrote the manuscript.</w:t>
      </w:r>
    </w:p>
    <w:p>
      <w:pPr>
        <w:pStyle w:val="Heading1"/>
        <w:spacing w:after="240" w:before="360" w:line="360"/>
      </w:pPr>
      <w:r>
        <w:rPr>
          <w:rFonts w:ascii="Times New Roman" w:cs="Times New Roman" w:eastAsia="Times New Roman" w:hAnsi="Times New Roman"/>
          <w:b/>
          <w:bCs/>
          <w:sz w:val="28"/>
          <w:szCs w:val="28"/>
        </w:rPr>
        <w:t xml:space="preserve">7. Declaration of Interests</w:t>
      </w:r>
    </w:p>
    <w:p>
      <w:pPr>
        <w:spacing w:after="120" w:before="0" w:line="480"/>
        <w:jc w:val="both"/>
      </w:pPr>
      <w:r>
        <w:rPr>
          <w:rFonts w:ascii="Times New Roman" w:cs="Times New Roman" w:eastAsia="Times New Roman" w:hAnsi="Times New Roman"/>
          <w:sz w:val="24"/>
          <w:szCs w:val="24"/>
        </w:rPr>
        <w:t xml:space="preserve">The author declares no conflict of interest.</w:t>
      </w:r>
    </w:p>
    <w:p>
      <w:pPr>
        <w:pStyle w:val="Heading1"/>
        <w:spacing w:after="240" w:before="360" w:line="360"/>
      </w:pPr>
      <w:r>
        <w:rPr>
          <w:rFonts w:ascii="Times New Roman" w:cs="Times New Roman" w:eastAsia="Times New Roman" w:hAnsi="Times New Roman"/>
          <w:b/>
          <w:bCs/>
          <w:sz w:val="28"/>
          <w:szCs w:val="28"/>
        </w:rPr>
        <w:t xml:space="preserve">8. Acknowledgments</w:t>
      </w:r>
    </w:p>
    <w:p>
      <w:pPr>
        <w:spacing w:after="120" w:before="0" w:line="480"/>
        <w:jc w:val="both"/>
      </w:pPr>
      <w:r>
        <w:rPr>
          <w:rFonts w:ascii="Times New Roman" w:cs="Times New Roman" w:eastAsia="Times New Roman" w:hAnsi="Times New Roman"/>
          <w:sz w:val="24"/>
          <w:szCs w:val="24"/>
        </w:rPr>
        <w:t xml:space="preserve">I thank David Lydon-Staley for recommending the Journal for Person-Oriented Research as a venue for this work.</w:t>
      </w:r>
    </w:p>
    <w:p>
      <w:pPr>
        <w:pStyle w:val="Heading1"/>
        <w:spacing w:after="240" w:before="360" w:line="360"/>
      </w:pPr>
      <w:r>
        <w:rPr>
          <w:rFonts w:ascii="Times New Roman" w:cs="Times New Roman" w:eastAsia="Times New Roman" w:hAnsi="Times New Roman"/>
          <w:b/>
          <w:bCs/>
          <w:sz w:val="28"/>
          <w:szCs w:val="28"/>
        </w:rPr>
        <w:t xml:space="preserve">9. Funding</w:t>
      </w:r>
    </w:p>
    <w:p>
      <w:pPr>
        <w:spacing w:after="120" w:before="0" w:line="48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after="240" w:before="360" w:line="360"/>
      </w:pPr>
      <w:r>
        <w:rPr>
          <w:rFonts w:ascii="Times New Roman" w:cs="Times New Roman" w:eastAsia="Times New Roman" w:hAnsi="Times New Roman"/>
          <w:b/>
          <w:bCs/>
          <w:sz w:val="28"/>
          <w:szCs w:val="28"/>
        </w:rPr>
        <w:t xml:space="preserve">10. References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r>
        <w:rPr>
          <w:rFonts w:ascii="Times New Roman" w:cs="Times New Roman" w:eastAsia="Times New Roman" w:hAnsi="Times New Roman"/>
          <w:color w:val="1A56DB"/>
          <w:sz w:val="24"/>
          <w:szCs w:val="24"/>
          <w:u w:val="single"/>
        </w:rPr>
        <w:t xml:space="preserve"> https://doi.org/10.1037/0003-066X.44.9.1175</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r>
        <w:rPr>
          <w:rFonts w:ascii="Times New Roman" w:cs="Times New Roman" w:eastAsia="Times New Roman" w:hAnsi="Times New Roman"/>
          <w:color w:val="1A56DB"/>
          <w:sz w:val="24"/>
          <w:szCs w:val="24"/>
          <w:u w:val="single"/>
        </w:rPr>
        <w:t xml:space="preserve"> https://doi.org/10.1146/annurev.psych.52.1.1</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r>
        <w:rPr>
          <w:rFonts w:ascii="Times New Roman" w:cs="Times New Roman" w:eastAsia="Times New Roman" w:hAnsi="Times New Roman"/>
          <w:color w:val="1A56DB"/>
          <w:sz w:val="24"/>
          <w:szCs w:val="24"/>
          <w:u w:val="single"/>
        </w:rPr>
        <w:t xml:space="preserve"> https://doi.org/10.1111/j.1745-6916.2006.00011.x</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jc w:val="both"/>
      </w:pPr>
      <w:r>
        <w:rPr>
          <w:rFonts w:ascii="Times New Roman" w:cs="Times New Roman" w:eastAsia="Times New Roman" w:hAnsi="Times New Roman"/>
          <w:sz w:val="24"/>
          <w:szCs w:val="24"/>
        </w:rPr>
        <w:t xml:space="preserve">Bates, D., Mächler, M., Bolker, B., &amp; Walker, S. (2015). Fitting linear mixed-effects models using lme4. </w:t>
      </w:r>
      <w:r>
        <w:rPr>
          <w:rFonts w:ascii="Times New Roman" w:cs="Times New Roman" w:eastAsia="Times New Roman" w:hAnsi="Times New Roman"/>
          <w:i/>
          <w:iCs/>
          <w:sz w:val="24"/>
          <w:szCs w:val="24"/>
        </w:rPr>
        <w:t xml:space="preserve">Journal of Statistical Software, 67</w:t>
      </w:r>
      <w:r>
        <w:rPr>
          <w:rFonts w:ascii="Times New Roman" w:cs="Times New Roman" w:eastAsia="Times New Roman" w:hAnsi="Times New Roman"/>
          <w:sz w:val="24"/>
          <w:szCs w:val="24"/>
        </w:rPr>
        <w:t xml:space="preserve">(1), 1–48. https://doi.org/10.18637/jss.v067.i01</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r>
        <w:rPr>
          <w:rFonts w:ascii="Times New Roman" w:cs="Times New Roman" w:eastAsia="Times New Roman" w:hAnsi="Times New Roman"/>
          <w:color w:val="1A56DB"/>
          <w:sz w:val="24"/>
          <w:szCs w:val="24"/>
          <w:u w:val="single"/>
        </w:rPr>
        <w:t xml:space="preserve"> https://doi.org/10.1371/journal.pone.0060188</w:t>
      </w:r>
    </w:p>
    <w:p>
      <w:pPr>
        <w:spacing w:after="120" w:before="0" w:line="480"/>
        <w:ind w:left="720" w:hanging="720"/>
      </w:pPr>
      <w:r>
        <w:rPr>
          <w:rFonts w:ascii="Times New Roman" w:cs="Times New Roman" w:eastAsia="Times New Roman" w:hAnsi="Times New Roman"/>
          <w:sz w:val="24"/>
          <w:szCs w:val="24"/>
        </w:rPr>
        <w:t xml:space="preserve">Bringmann, L. F., Albers, C., Bockting, C., Borsboom, D., Ceulemans, E., Cramer, A. O. J., ... &amp; Wichers, M. (2022). Psychopathological networks: Theory, methods and practice. Behaviour Research and Therapy, 149, 104011. https://doi.org/10.1016/j.brat.2021.104011</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r>
        <w:rPr>
          <w:rFonts w:ascii="Times New Roman" w:cs="Times New Roman" w:eastAsia="Times New Roman" w:hAnsi="Times New Roman"/>
          <w:color w:val="1A56DB"/>
          <w:sz w:val="24"/>
          <w:szCs w:val="24"/>
          <w:u w:val="single"/>
        </w:rPr>
        <w:t xml:space="preserve"> https://doi.org/10.18637/jss.v080.i01</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r>
        <w:rPr>
          <w:rFonts w:ascii="Times New Roman" w:cs="Times New Roman" w:eastAsia="Times New Roman" w:hAnsi="Times New Roman"/>
          <w:color w:val="1A56DB"/>
          <w:sz w:val="24"/>
          <w:szCs w:val="24"/>
          <w:u w:val="single"/>
        </w:rPr>
        <w:t xml:space="preserve"> https://doi.org/10.1037/0033-295X.97.1.19</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r>
        <w:rPr>
          <w:rFonts w:ascii="Times New Roman" w:cs="Times New Roman" w:eastAsia="Times New Roman" w:hAnsi="Times New Roman"/>
          <w:color w:val="1A56DB"/>
          <w:sz w:val="24"/>
          <w:szCs w:val="24"/>
          <w:u w:val="single"/>
        </w:rPr>
        <w:t xml:space="preserve"> https://doi.org/10.1177/1948550611419677</w:t>
      </w:r>
    </w:p>
    <w:p>
      <w:pPr>
        <w:spacing w:after="120" w:before="0" w:line="480"/>
        <w:ind w:hanging="720" w:left="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r>
        <w:rPr>
          <w:rFonts w:ascii="Times New Roman" w:cs="Times New Roman" w:eastAsia="Times New Roman" w:hAnsi="Times New Roman"/>
          <w:color w:val="1A56DB"/>
          <w:sz w:val="24"/>
          <w:szCs w:val="24"/>
          <w:u w:val="single"/>
        </w:rPr>
        <w:t xml:space="preserve"> https://doi.org/10.1038/nrn2555</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r>
        <w:rPr>
          <w:rFonts w:ascii="Times New Roman" w:cs="Times New Roman" w:eastAsia="Times New Roman" w:hAnsi="Times New Roman"/>
          <w:color w:val="1A56DB"/>
          <w:sz w:val="24"/>
          <w:szCs w:val="24"/>
          <w:u w:val="single"/>
        </w:rPr>
        <w:t xml:space="preserve"> https://doi.org/10.1207/S15327965PLI1104_01</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r>
        <w:rPr>
          <w:rFonts w:ascii="Times New Roman" w:cs="Times New Roman" w:eastAsia="Times New Roman" w:hAnsi="Times New Roman"/>
          <w:color w:val="1A56DB"/>
          <w:sz w:val="24"/>
          <w:szCs w:val="24"/>
          <w:u w:val="single"/>
        </w:rPr>
        <w:t xml:space="preserve"> https://doi.org/10.1037/pas0001178</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r>
        <w:rPr>
          <w:rFonts w:ascii="Times New Roman" w:cs="Times New Roman" w:eastAsia="Times New Roman" w:hAnsi="Times New Roman"/>
          <w:color w:val="1A56DB"/>
          <w:sz w:val="24"/>
          <w:szCs w:val="24"/>
          <w:u w:val="single"/>
        </w:rPr>
        <w:t xml:space="preserve"> https://doi.org/10.1027/1016-9040.13.4.277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r>
        <w:rPr>
          <w:rFonts w:ascii="Times New Roman" w:cs="Times New Roman" w:eastAsia="Times New Roman" w:hAnsi="Times New Roman"/>
          <w:color w:val="1A56DB"/>
          <w:sz w:val="24"/>
          <w:szCs w:val="24"/>
          <w:u w:val="single"/>
        </w:rPr>
        <w:t xml:space="preserve"> https://doi.org/10.1177/1073191120957102</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r>
        <w:rPr>
          <w:rFonts w:ascii="Times New Roman" w:cs="Times New Roman" w:eastAsia="Times New Roman" w:hAnsi="Times New Roman"/>
          <w:color w:val="1A56DB"/>
          <w:sz w:val="24"/>
          <w:szCs w:val="24"/>
          <w:u w:val="single"/>
        </w:rPr>
        <w:t xml:space="preserve"> https://doi.org/10.1037/0003-066X.34.10.906</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r>
        <w:rPr>
          <w:rFonts w:ascii="Times New Roman" w:cs="Times New Roman" w:eastAsia="Times New Roman" w:hAnsi="Times New Roman"/>
          <w:color w:val="1A56DB"/>
          <w:sz w:val="24"/>
          <w:szCs w:val="24"/>
          <w:u w:val="single"/>
        </w:rPr>
        <w:t xml:space="preserve"> https://doi.org/10.1037/a0038822</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r>
        <w:rPr>
          <w:rFonts w:ascii="Times New Roman" w:cs="Times New Roman" w:eastAsia="Times New Roman" w:hAnsi="Times New Roman"/>
          <w:color w:val="1A56DB"/>
          <w:sz w:val="24"/>
          <w:szCs w:val="24"/>
          <w:u w:val="single"/>
        </w:rPr>
        <w:t xml:space="preserve"> https://doi.org/10.1037/a0014173</w:t>
      </w:r>
    </w:p>
    <w:p>
      <w:pPr>
        <w:spacing w:after="120" w:before="0" w:line="480"/>
        <w:ind w:left="720" w:hanging="720"/>
      </w:pPr>
      <w:r>
        <w:rPr>
          <w:rFonts w:ascii="Times New Roman" w:cs="Times New Roman" w:eastAsia="Times New Roman" w:hAnsi="Times New Roman"/>
          <w:sz w:val="24"/>
          <w:szCs w:val="24"/>
        </w:rPr>
        <w:t xml:space="preserve">Knapen, S. E., Snippe, E., Smit, A. C., Schoevers, R. A., &amp; Riemersma-van der Lek, R. F. (2025). Sleep disturbances in the prodromal phase of mood episodes in patients with bipolar disorder: A replicated single-case design. Journal for Person-Oriented Research, 11(3), 142-168. https://doi.org/10.17505/jpor.2025.28202</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r>
        <w:rPr>
          <w:rFonts w:ascii="Times New Roman" w:cs="Times New Roman" w:eastAsia="Times New Roman" w:hAnsi="Times New Roman"/>
          <w:color w:val="1A56DB"/>
          <w:sz w:val="24"/>
          <w:szCs w:val="24"/>
          <w:u w:val="single"/>
        </w:rPr>
        <w:t xml:space="preserve"> https://doi.org/10.1037/a0024756</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r>
        <w:rPr>
          <w:rFonts w:ascii="Times New Roman" w:cs="Times New Roman" w:eastAsia="Times New Roman" w:hAnsi="Times New Roman"/>
          <w:color w:val="1A56DB"/>
          <w:sz w:val="24"/>
          <w:szCs w:val="24"/>
          <w:u w:val="single"/>
        </w:rPr>
        <w:t xml:space="preserve"> https://doi.org/10.1177/0956797610372634</w:t>
      </w:r>
    </w:p>
    <w:p>
      <w:pPr>
        <w:spacing w:after="120" w:before="0" w:line="480"/>
        <w:jc w:val="both"/>
      </w:pPr>
      <w:r>
        <w:rPr>
          <w:rFonts w:ascii="Times New Roman" w:cs="Times New Roman" w:eastAsia="Times New Roman" w:hAnsi="Times New Roman"/>
          <w:sz w:val="24"/>
          <w:szCs w:val="24"/>
        </w:rPr>
        <w:t xml:space="preserve">Kuznetsova, A., Brockhoff, P. B., &amp; Christensen, R. H. B. (2017). lmerTest package: Tests in linear mixed effects models. </w:t>
      </w:r>
      <w:r>
        <w:rPr>
          <w:rFonts w:ascii="Times New Roman" w:cs="Times New Roman" w:eastAsia="Times New Roman" w:hAnsi="Times New Roman"/>
          <w:i/>
          <w:iCs/>
          <w:sz w:val="24"/>
          <w:szCs w:val="24"/>
        </w:rPr>
        <w:t xml:space="preserve">Journal of Statistical Software, 82</w:t>
      </w:r>
      <w:r>
        <w:rPr>
          <w:rFonts w:ascii="Times New Roman" w:cs="Times New Roman" w:eastAsia="Times New Roman" w:hAnsi="Times New Roman"/>
          <w:sz w:val="24"/>
          <w:szCs w:val="24"/>
        </w:rPr>
        <w:t xml:space="preserve">(13), 1–26. https://doi.org/10.18637/jss.v082.i13</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r>
        <w:rPr>
          <w:rFonts w:ascii="Times New Roman" w:cs="Times New Roman" w:eastAsia="Times New Roman" w:hAnsi="Times New Roman"/>
          <w:color w:val="1A56DB"/>
          <w:sz w:val="24"/>
          <w:szCs w:val="24"/>
          <w:u w:val="single"/>
        </w:rPr>
        <w:t xml:space="preserve"> https://doi.org/10.1177/1948550617697177</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r>
        <w:rPr>
          <w:rFonts w:ascii="Times New Roman" w:cs="Times New Roman" w:eastAsia="Times New Roman" w:hAnsi="Times New Roman"/>
          <w:color w:val="1A56DB"/>
          <w:sz w:val="24"/>
          <w:szCs w:val="24"/>
          <w:u w:val="single"/>
        </w:rPr>
        <w:t xml:space="preserve"> https://doi.org/10.1037/0096-3445.136.2.184</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r>
        <w:rPr>
          <w:rFonts w:ascii="Times New Roman" w:cs="Times New Roman" w:eastAsia="Times New Roman" w:hAnsi="Times New Roman"/>
          <w:color w:val="1A56DB"/>
          <w:sz w:val="24"/>
          <w:szCs w:val="24"/>
          <w:u w:val="single"/>
        </w:rPr>
        <w:t xml:space="preserve"> https://doi.org/10.1207/s15366359mea0204_1</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r>
        <w:rPr>
          <w:rFonts w:ascii="Times New Roman" w:cs="Times New Roman" w:eastAsia="Times New Roman" w:hAnsi="Times New Roman"/>
          <w:color w:val="1A56DB"/>
          <w:sz w:val="24"/>
          <w:szCs w:val="24"/>
          <w:u w:val="single"/>
        </w:rPr>
        <w:t xml:space="preserve"> https://doi.org/10.1111/j.1467-8721.2009.01619.x</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van Rooij, M., Aas, B., Helmich, M. A., Schiepek, G., &amp; Lichtwarck-Aschoff, A. (2020). Critical fluctuations as an early-warning signal for sudden gains and losses in patients receiving psychotherapy for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r>
        <w:rPr>
          <w:rFonts w:ascii="Times New Roman" w:cs="Times New Roman" w:eastAsia="Times New Roman" w:hAnsi="Times New Roman"/>
          <w:color w:val="1A56DB"/>
          <w:sz w:val="24"/>
          <w:szCs w:val="24"/>
          <w:u w:val="single"/>
        </w:rPr>
        <w:t xml:space="preserve"> https://doi.org/10.1177/2167702619865969</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r>
        <w:rPr>
          <w:rFonts w:ascii="Times New Roman" w:cs="Times New Roman" w:eastAsia="Times New Roman" w:hAnsi="Times New Roman"/>
          <w:color w:val="1A56DB"/>
          <w:sz w:val="24"/>
          <w:szCs w:val="24"/>
          <w:u w:val="single"/>
        </w:rPr>
        <w:t xml:space="preserve"> https://doi.org/10.1037/h0077714</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r>
        <w:rPr>
          <w:rFonts w:ascii="Times New Roman" w:cs="Times New Roman" w:eastAsia="Times New Roman" w:hAnsi="Times New Roman"/>
          <w:color w:val="1A56DB"/>
          <w:sz w:val="24"/>
          <w:szCs w:val="24"/>
          <w:u w:val="single"/>
        </w:rPr>
        <w:t xml:space="preserve"> https://doi.org/10.1037/0022-3514.76.5.805</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p>
    <w:p>
      <w:pPr>
        <w:spacing w:after="120" w:before="0" w:line="480"/>
        <w:ind w:left="720" w:hanging="720"/>
      </w:pPr>
      <w:r>
        <w:rPr>
          <w:rFonts w:ascii="Times New Roman" w:cs="Times New Roman" w:eastAsia="Times New Roman" w:hAnsi="Times New Roman"/>
          <w:sz w:val="24"/>
          <w:szCs w:val="24"/>
        </w:rPr>
        <w:t xml:space="preserve">Smit, A. C., Snippe, E., Bringmann, L. F., Hoenders, H. J. R., &amp; Wichers, M. (2023). Transitions in depression: If, how, and when depressive symptoms return during and after discontinuing antidepressants. Quality of Life Research, 32(5), 1295-1306. https://doi.org/10.1007/s11136-022-03301-0</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r>
        <w:rPr>
          <w:rFonts w:ascii="Times New Roman" w:cs="Times New Roman" w:eastAsia="Times New Roman" w:hAnsi="Times New Roman"/>
          <w:color w:val="1A56DB"/>
          <w:sz w:val="24"/>
          <w:szCs w:val="24"/>
          <w:u w:val="single"/>
        </w:rPr>
        <w:t xml:space="preserve"> https://doi.org/10.1016/j.concog.2007.03.010</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r>
        <w:rPr>
          <w:rFonts w:ascii="Times New Roman" w:cs="Times New Roman" w:eastAsia="Times New Roman" w:hAnsi="Times New Roman"/>
          <w:color w:val="1A56DB"/>
          <w:sz w:val="24"/>
          <w:szCs w:val="24"/>
          <w:u w:val="single"/>
        </w:rPr>
        <w:t xml:space="preserve"> https://doi.org/10.1017/S0033291713001979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79935b8e3e03d6eb58c11120cf6015ee88ad6bc7.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