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r>
        <w:t>Graduate School of Education, University of Pennsylvania, Philadelphia, Pennsylvania, United States</w:t>
      </w:r>
    </w:p>
    <w:p>
      <w:r>
        <w:t>Correspondence: Miura Meng, Graduate School of Education, University of Pennsylvania, 3700 Walnut Street, Philadelphia, PA 19104, United States. Email: meng10@upenn.edu. Telephone: +1 (773) 406-8649.</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This yielded 195 observations at 92.9% compliance across 35 control and 35 melatonin days. Melatonin left mean daily mood essentially unchanged: the difference was +0.92 points on a 0 to 100 scale, d = 0.17, and an equivalence test placed it inside a pre-specified bound of five points, which gives the null a stated width. What moved with mood was the person’s own regulatory state. Perceived agency and metacognitive awareness together accounted for a further 51.5% of daily-mood variance beyond autoregressive carryover and the probe, lifting model R² from .125 to .641, and the same ordering held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The control-theoretic vocabulary used here, including the language of system identification, is intended in an analytic and conceptual sense, as a way of organizing dynamical questions about a 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Melatonin functions here as an analytic probe: a perturbation input of known presence and absence, applied to an otherwise free-running system in order to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spacing w:after="120" w:before="0" w:line="480"/>
        <w:jc w:val="both"/>
      </w:pPr>
      <w:r>
        <w:rPr>
          <w:rFonts w:ascii="Times New Roman" w:cs="Times New Roman" w:eastAsia="Times New Roman" w:hAnsi="Times New Roman"/>
          <w:b w:val="0"/>
          <w:i w:val="0"/>
          <w:sz w:val="24"/>
          <w:szCs w:val="24"/>
        </w:rPr>
        <w:t>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The remaining sections are sensitivity, exploratory, and robustness analyses: the metacontrol and decay interactions, the variability indices, and a multilevel re-estimation that repeats the primary comparison without daily aggregation (Sections 2.5.5 through 2.5.9).</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rPr>
          <w:i w:val="0"/>
        </w:rPr>
        <w:t xml:space="preserve"> A second autoregressive lag added no explanatory value at the daily level (AR(2) φ₂ = 0.13, 95% CI [−0.12, 0.38]; likelihood-ratio test χ²(1) = 1.05, </w:t>
      </w:r>
      <w:r>
        <w:rPr>
          <w:i/>
        </w:rPr>
        <w:t>p</w:t>
      </w:r>
      <w:r>
        <w:rPr>
          <w:i w:val="0"/>
        </w:rPr>
        <w:t xml:space="preserve"> = .305; AIC and BIC both favored the first-order model). A Ljung-Box test found no residual autocorrelation in the AR(1) residuals (lag 10, </w:t>
      </w:r>
      <w:r>
        <w:rPr>
          <w:i/>
        </w:rPr>
        <w:t>p</w:t>
      </w:r>
      <w:r>
        <w:rPr>
          <w:i w:val="0"/>
        </w:rPr>
        <w:t xml:space="preserve"> = .675), supporting the first-order specification.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The metacontrol hypothesis holds that metacognitive awareness moderates the system’s responsiveness to external perturbation. It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In addition to the mean-shift analyses above, three indices of mood variability were computed by condition: (a) the standard deviation of daily mood within each condition; (b) the mean squared successive difference (MSSD; Jahng, Wood, &amp; Trull, 2008). The MSSD was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3.4.</w:t>
      </w:r>
    </w:p>
    <w:p>
      <w:pPr>
        <w:pStyle w:val="Heading3"/>
        <w:spacing w:after="60" w:before="180" w:line="480"/>
      </w:pPr>
      <w:r>
        <w:rPr>
          <w:rFonts w:ascii="Times New Roman" w:cs="Times New Roman" w:eastAsia="Times New Roman" w:hAnsi="Times New Roman"/>
          <w:b/>
          <w:bCs/>
          <w:i/>
          <w:iCs/>
          <w:sz w:val="24"/>
          <w:szCs w:val="24"/>
        </w:rPr>
        <w:t>2.5.9 Multilevel (mixed-effects) robustness analysis</w:t>
      </w:r>
    </w:p>
    <w:p>
      <w:pPr>
        <w:spacing w:after="120" w:before="0" w:line="480"/>
        <w:jc w:val="both"/>
      </w:pPr>
      <w:r>
        <w:rPr>
          <w:rFonts w:ascii="Times New Roman" w:cs="Times New Roman" w:eastAsia="Times New Roman" w:hAnsi="Times New Roman"/>
          <w:sz w:val="24"/>
          <w:szCs w:val="24"/>
        </w:rPr>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2.5.10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Primary analyses were performed in Python 3.11 using statsmodels (Seabold &amp; Perktold, 2010) for OLS and state-space modeling, scipy.stats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lmerTest (Kuznetsova et al., 2017). The equivalence test (Section 2.5.10)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This suggests that the apparent emotional inertia detected by M0 was substantially absorbed by the two internal drivers once they were included as predictors. Collinearity diagnostics rule out variance inflation as an alternative account of that change: variance inflation factors in M2 stayed below 1.8 for every predictor (highest 1.76, for metacognition), and the condition number of the standardized predictor matrix was 2.25.</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4). A two one-sided tests (TOST) equivalence procedure sharpened this null: the 90% confidence interval for the mean difference, [−1.29, +3.12] points, fell within the pre-specified ±5-point bound, establishing equivalence at that bound (TOST p = .002). At a tighter 3-point bound the interval was not fully contained and equivalence was not established (p = .060).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gave a more nuanced picture. Three descriptive indices pointed the same way, with melatonin days showing lower mood variability than control days: daily mood SD was 4.45 against 6.41, MSSD across within-condition runs was 57.35 against 88.26, and observation-level mood SD was 6.54 against 8.26. The univariate Levene and MSSD tests did not reach significance; full statistics are in Appendix C. The most powerful test in this set, the heteroskedasticity model regressing log-squared M2 residuals on the melatonin indicator, pointed in the same direction but did not reach conventional significance either (α₁ = −1.11, p = .071).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The primary comparison was reproduced without daily aggregation. A multilevel re-analysis of all 144 momentary observations again placed both internal-state predictors far above the probe (agency β = 0.34, metacognition β = 0.48, both p &lt; .001; melatonin β = 0.04, p = .946; Table B.1). The two exchange rank at this resolution, with metacognition the larger of the pair, so the ordering that holds throughout is between the internal block and the probe rather than within the block. An unconditional model placed approximately 32% of the variance in momentary mood between days (ICC = .32 in the full sample, .26 in the analysis window). The three daily prompts are therefore not independent observations and require either aggregation or an explicit nesting term; the within-day variance that daily aggregation sets aside is the larger share. A Bayesian re-estimation of M2 with weakly informative priors, reported in the project repository (Section 9), reproduced the same ordering.</w:t>
      </w:r>
    </w:p>
    <w:p>
      <w:pPr>
        <w:spacing w:after="120" w:before="0" w:line="480"/>
        <w:jc w:val="both"/>
      </w:pPr>
      <w:r>
        <w:rPr>
          <w:rFonts w:ascii="Times New Roman" w:cs="Times New Roman" w:eastAsia="Times New Roman" w:hAnsi="Times New Roman"/>
          <w:sz w:val="24"/>
          <w:szCs w:val="24"/>
        </w:rPr>
        <w:t>Two further checks bear on the interpretation of the main result. The agency by melatonin interaction was indistinguishable from zero (β = −0.05, 95% CI [−0.41, +0.31], p = .791), so the agency to mood relation was statistically the same in both conditions and does not depend on the probe. The metacontrol interaction, treated here as exploratory, was negative as predicted but not reliably distinguishable from zero; simple slopes are in Appendix C.</w:t>
      </w:r>
    </w:p>
    <w:p>
      <w:pPr>
        <w:spacing w:after="120" w:before="0" w:line="480"/>
        <w:jc w:val="both"/>
      </w:pPr>
      <w:r>
        <w:rPr>
          <w:rFonts w:ascii="Times New Roman" w:cs="Times New Roman" w:eastAsia="Times New Roman" w:hAnsi="Times New Roman"/>
          <w:sz w:val="24"/>
          <w:szCs w:val="24"/>
        </w:rPr>
        <w:t>Emotional inertia was positive at both sampling resolutions, with an observation-level φ of 0.23, 95% CI [0.09, 0.37],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were reliably distinguishable from zero, and the same ordering survived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 xml:space="preserve">The agency by melatonin robustness check strengthens this reading. That interaction was indistinguishable from zero, which means the agency to mood relation was statistically identical in the two conditions. The contribution of agency to daily mood does not depend on whether the participant had taken melatonin, so it is invariant to the presence of the external probe.</w:t>
      </w:r>
    </w:p>
    <w:p>
      <w:pPr>
        <w:spacing w:after="120" w:before="0" w:line="480"/>
        <w:jc w:val="both"/>
      </w:pPr>
      <w:r>
        <w:rPr>
          <w:rFonts w:ascii="Times New Roman" w:cs="Times New Roman" w:eastAsia="Times New Roman" w:hAnsi="Times New Roman"/>
          <w:sz w:val="24"/>
          <w:szCs w:val="24"/>
        </w:rPr>
        <w:t>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but did not reach significance.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19.7% of daily-mood variance, and the probe's was 0.01%,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p = .071,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5. Acknowledgments</w:t>
      </w:r>
    </w:p>
    <w:p>
      <w:pPr>
        <w:spacing w:after="120" w:before="0" w:line="480"/>
        <w:jc w:val="both"/>
      </w:pPr>
      <w:r>
        <w:rPr>
          <w:rFonts w:ascii="Times New Roman" w:cs="Times New Roman" w:eastAsia="Times New Roman" w:hAnsi="Times New Roman"/>
          <w:sz w:val="24"/>
          <w:szCs w:val="24"/>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pPr>
        <w:pStyle w:val="Heading1"/>
        <w:spacing w:after="240" w:before="360" w:line="480"/>
      </w:pPr>
      <w:r>
        <w:rPr>
          <w:rFonts w:ascii="Times New Roman" w:cs="Times New Roman" w:eastAsia="Times New Roman" w:hAnsi="Times New Roman"/>
          <w:b/>
          <w:bCs/>
          <w:sz w:val="28"/>
          <w:szCs w:val="28"/>
        </w:rPr>
        <w:t>6. Funding</w:t>
      </w:r>
    </w:p>
    <w:p>
      <w:pPr>
        <w:spacing w:after="120" w:before="0" w:line="480"/>
        <w:jc w:val="both"/>
      </w:pPr>
      <w:r>
        <w:rPr>
          <w:rFonts w:ascii="Times New Roman" w:cs="Times New Roman" w:eastAsia="Times New Roman" w:hAnsi="Times New Roman"/>
          <w:sz w:val="24"/>
          <w:szCs w:val="24"/>
        </w:rPr>
        <w:t>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7. Author Contributions</w:t>
      </w:r>
    </w:p>
    <w:p>
      <w:pPr>
        <w:spacing w:after="120" w:before="0" w:line="480"/>
        <w:jc w:val="both"/>
      </w:pPr>
      <w:r>
        <w:rPr>
          <w:rFonts w:ascii="Times New Roman" w:cs="Times New Roman" w:eastAsia="Times New Roman" w:hAnsi="Times New Roman"/>
          <w:sz w:val="24"/>
          <w:szCs w:val="24"/>
        </w:rPr>
        <w:t>Miura Meng (MM) designed the study, collected the data, performed the statistical analyses, and wrote the manuscript. The author read and approved the final manuscript.</w:t>
      </w:r>
    </w:p>
    <w:p>
      <w:pPr>
        <w:pStyle w:val="Heading1"/>
        <w:spacing w:after="240" w:before="360" w:line="480"/>
      </w:pPr>
      <w:r>
        <w:rPr>
          <w:rFonts w:ascii="Times New Roman" w:cs="Times New Roman" w:eastAsia="Times New Roman" w:hAnsi="Times New Roman"/>
          <w:b/>
          <w:bCs/>
          <w:sz w:val="28"/>
          <w:szCs w:val="28"/>
        </w:rPr>
        <w:t>8. Ethics Statement</w:t>
      </w:r>
    </w:p>
    <w:p>
      <w:pPr>
        <w:spacing w:after="120" w:before="0" w:line="480"/>
        <w:jc w:val="both"/>
      </w:pPr>
      <w:r>
        <w:rPr>
          <w:rFonts w:ascii="Times New Roman" w:cs="Times New Roman" w:eastAsia="Times New Roman" w:hAnsi="Times New Roman"/>
          <w:i w:val="0"/>
          <w:sz w:val="24"/>
          <w:szCs w:val="24"/>
        </w:rPr>
        <w:t>The University of Pennsylvania Institutional Review Board reviewed this study and determined that it constitutes Not Human Subjects Research, so formal Institutional Review Board approval was not required (determination issued by email on May 13, 2026; determination reference [INSERT NUMBER]). As the sole investigator and sole participant, the author consented to her own participation.</w:t>
      </w:r>
    </w:p>
    <w:p>
      <w:pPr>
        <w:pStyle w:val="Heading1"/>
        <w:spacing w:after="240" w:before="360" w:line="480"/>
      </w:pPr>
      <w:r>
        <w:rPr>
          <w:rFonts w:ascii="Times New Roman" w:cs="Times New Roman" w:eastAsia="Times New Roman" w:hAnsi="Times New Roman"/>
          <w:b/>
          <w:bCs/>
          <w:sz w:val="28"/>
          <w:szCs w:val="28"/>
        </w:rPr>
        <w:t>9. Data and Code Availability</w:t>
      </w:r>
    </w:p>
    <w:p>
      <w:pPr>
        <w:spacing w:after="120" w:before="0" w:line="480"/>
        <w:jc w:val="both"/>
      </w:pPr>
      <w:r>
        <w:rPr>
          <w:rFonts w:ascii="Times New Roman" w:cs="Times New Roman" w:eastAsia="Times New Roman" w:hAnsi="Times New Roman"/>
          <w:sz w:val="24"/>
          <w:szCs w:val="24"/>
        </w:rPr>
        <w:t>Data and analysis code are available at https://github.com/haomeng797-ship-it/n-of-1-melatonin-study. The repository contains the pre-specified randomization schedule with a script that verifies it against the protocol constraints, the Python validation layer, the cleaned EMA data,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pPr>
        <w:pStyle w:val="Heading1"/>
      </w:pPr>
      <w:r>
        <w:t>10. Declaration of Interests</w:t>
      </w:r>
    </w:p>
    <w:p>
      <w:r>
        <w:t>The Author declares that there is no conflict of interest.</w:t>
      </w:r>
    </w:p>
    <w:p>
      <w:pPr>
        <w:pStyle w:val="Heading1"/>
        <w:spacing w:after="240" w:before="360" w:line="480"/>
      </w:pPr>
      <w:r>
        <w:rPr>
          <w:rFonts w:ascii="Times New Roman" w:cs="Times New Roman" w:eastAsia="Times New Roman" w:hAnsi="Times New Roman"/>
          <w:b/>
          <w:bCs/>
          <w:sz w:val="28"/>
          <w:szCs w:val="28"/>
        </w:rPr>
        <w:t>11.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Epskamp, S., Eronen, M. I., Hamaker, E., Kuppens, P., Lutz, W., McNally, R. J., Molenaar, P., Tio, P., Voelkle, M. C., &amp; Wichers, M. (2022). Psychopathological networks: Theory, methods and practice. </w:t>
      </w:r>
      <w:r>
        <w:rPr>
          <w:i/>
        </w:rPr>
        <w:t>Behaviour Research and Therapy, 149</w:t>
      </w:r>
      <w:r>
        <w:t>, 104011. https://doi.org/10.1016/j.brat.2021.104011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i w:val="0"/>
          <w:sz w:val="24"/>
          <w:szCs w:val="24"/>
        </w:rPr>
        <w:t xml:space="preserve">Meng, M. (2026). </w:t>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color w:val="1A56DB"/>
          <w:sz w:val="24"/>
          <w:szCs w:val="24"/>
          <w:u w:val="single"/>
        </w:rPr>
      </w:r>
      <w:r>
        <w:rPr>
          <w:i/>
        </w:rPr>
        <w:t>nof1kit: Design, monitor, and analyze single-case (N-of-1) intensive longitudinal studies</w:t>
      </w:r>
      <w:r>
        <w:rPr>
          <w:i w:val="0"/>
        </w:rPr>
        <w:t xml:space="preserve"> (Version 0.1.0) [Computer software]. Comprehensive R Archive Network. https://doi.org/10.32614/CRAN.package.nof1kit</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r>
        <w:t xml:space="preserve"> https://doi.org/10.1016/S0079-7421(08)60053-5</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r>
        <w:t xml:space="preserve"> https://doi.org/10.25080/Majora-92bf1922-011</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all analyses use the same data as the primary models.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194 lag-1 pairs across the full 195-observation sample), AR(1) estimation yielded φ_obs = 0.23, 95% CI [0.09, 0.37], p = .001. At the daily level on the full 70-day sample (n = 69 lag-1 pairs), φ_day ≈ 0.42 (OLS point estimate 0.4204). On the Day 18–70 subsample used for the nested-model comparison in Section 3.2 (n = 53), the daily-level coefficient was φ = 0.34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0.50]), consistent with within-day structure that no single first-order process captures, reinforcing the resolution-specific reading in Section 3.4.</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A.1. Lag-1 autocorrelation of daily mood across the 70-day sample.</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A.2. Impulse response and half-life of an affective perturbation.</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 xml:space="preserve">The local-level state-space model decomposed the observed daily series into a smoothed latent trajectory and observation noise. Maximum-likelihood estimates were σ²_v = 17.40 (observation noise) and σ²_w = 1.09 (latent state innovation), implying a signal-to-noise ratio of 0.063.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Figure A.3. Kalman-smoothed latent affective state across the 70-day window.</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Appendix B. Multilevel Re-estimation</w:t>
      </w:r>
    </w:p>
    <w:p>
      <w:pPr>
        <w:spacing w:after="120" w:before="0" w:line="480"/>
        <w:jc w:val="both"/>
      </w:pPr>
      <w:r>
        <w:rPr>
          <w:rFonts w:ascii="Times New Roman" w:cs="Times New Roman" w:eastAsia="Times New Roman" w:hAnsi="Times New Roman"/>
          <w:sz w:val="24"/>
          <w:szCs w:val="24"/>
        </w:rPr>
        <w:t>This appendix reports the multilevel model summarized in Section 3.4, fit to the momentary observations without daily aggregation. The method is given in Section 2.5.9.</w:t>
      </w:r>
    </w:p>
    <w:p>
      <w:pPr>
        <w:spacing w:after="120" w:before="0" w:line="480"/>
        <w:jc w:val="both"/>
      </w:pPr>
      <w:r>
        <w:rPr>
          <w:rFonts w:ascii="Times New Roman" w:cs="Times New Roman" w:eastAsia="Times New Roman" w:hAnsi="Times New Roman"/>
          <w:sz w:val="24"/>
          <w:szCs w:val="24"/>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480"/>
      </w:pPr>
      <w:r>
        <w:rPr>
          <w:rFonts w:ascii="Times New Roman" w:cs="Times New Roman" w:eastAsia="Times New Roman" w:hAnsi="Times New Roman"/>
          <w:b/>
          <w:bCs/>
          <w:sz w:val="22"/>
          <w:szCs w:val="22"/>
        </w:rPr>
        <w:t>Table B.1. 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78.47</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[77.59, 79.34]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[0.22, 0.47]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[−1.22, 1.31]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.946</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144 momentary observations nested within 53 days (Day 18–70; 27 control, 26 melatonin). Random intercept for day: variance = 0.74; within-day residual variance = 12.71. Marginal R² = .50; conditional R² = .52. Agency and metacognition centered at their sample means (77.98 and 79.57). Fit by REML in lme4; 95% CIs are Wald intervals; p-values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4.45 against 6.41; MSSD across within-condition runs was 57.35 against 88.26; and observation-level mood SD was 6.54 against 8.26. The two univariate tests did not reach conventional significance: the Brown-Forsythe Levene test of homogeneity of variance gave W = 1.94, p = .168, and the MSSD comparison gave Welch t = −0.94, p = .355. The heteroskedasticity model regressing log-squared M2 residuals on the melatonin indicator yielded a negative coefficient that also fell short of conventional significance (α₁ = −1.11, 95% CI [−2.31, +0.10], p = .071),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The method for this analysis is given in Section 2.5.7.</w:t>
      </w:r>
    </w:p>
    <w:p>
      <w:pPr>
        <w:spacing w:after="120" w:before="0" w:line="480"/>
        <w:jc w:val="both"/>
      </w:pPr>
      <w:r>
        <w:rPr>
          <w:rFonts w:ascii="Times New Roman" w:cs="Times New Roman" w:eastAsia="Times New Roman" w:hAnsi="Times New Roman"/>
          <w:sz w:val="24"/>
          <w:szCs w:val="24"/>
        </w:rPr>
        <w:t xml:space="preserve">The interaction-augmented AR(1) yielded φ_control = 0.48 and φ_melatonin = 0.22, with a lag-1 by melatonin interaction coefficient of δ = −0.25, 95% CI [−0.79, +0.28], p = .343.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The method for this analysis is given in Section 2.5.5.</w:t>
      </w:r>
    </w:p>
    <w:p>
      <w:pPr>
        <w:spacing w:after="120" w:before="0" w:line="480"/>
        <w:jc w:val="both"/>
      </w:pPr>
      <w:r>
        <w:rPr>
          <w:rFonts w:ascii="Times New Roman" w:cs="Times New Roman" w:eastAsia="Times New Roman" w:hAnsi="Times New Roman"/>
          <w:sz w:val="24"/>
          <w:szCs w:val="24"/>
        </w:rPr>
        <w:t>The interaction term was negative as predicted (β₃ = −0.13) but not reliably distinguishable from zero (95% CI [−0.59, +0.33], p = .564). Simple-slope decomposition placed the melatonin slope at +0.66 at one standard deviation below mean metacognition, +0.17 at the mean, and −0.31 at one standard deviation above. The qualitative pattern is consistent with the hypothesis, since the apparent direction of the melatonin effect reverses across the metacognition continuum, but the sample is underpowered to support this as an inferential claim.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