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FD52" w14:textId="77777777" w:rsidR="00891F74" w:rsidRPr="009D1041" w:rsidRDefault="00891F74" w:rsidP="00891F74">
      <w:pPr>
        <w:spacing w:before="2400"/>
        <w:rPr>
          <w:color w:val="000000" w:themeColor="text1"/>
        </w:rPr>
      </w:pPr>
    </w:p>
    <w:p w14:paraId="1B201CE4" w14:textId="77777777" w:rsidR="00891F74" w:rsidRPr="009D1041" w:rsidRDefault="00891F74" w:rsidP="00891F74">
      <w:pPr>
        <w:spacing w:after="240" w:line="360" w:lineRule="auto"/>
        <w:jc w:val="center"/>
        <w:rPr>
          <w:color w:val="000000" w:themeColor="text1"/>
        </w:rPr>
      </w:pPr>
      <w:r w:rsidRPr="009D1041">
        <w:rPr>
          <w:b/>
          <w:bCs/>
          <w:color w:val="000000" w:themeColor="text1"/>
          <w:sz w:val="32"/>
          <w:szCs w:val="32"/>
        </w:rPr>
        <w:t>Characterizing daily affective dynamics in a single individual:</w:t>
      </w:r>
    </w:p>
    <w:p w14:paraId="3A011219" w14:textId="77777777" w:rsidR="00891F74" w:rsidRPr="009D1041" w:rsidRDefault="00891F74" w:rsidP="00891F74">
      <w:pPr>
        <w:spacing w:after="720" w:line="360" w:lineRule="auto"/>
        <w:jc w:val="center"/>
        <w:rPr>
          <w:color w:val="000000" w:themeColor="text1"/>
        </w:rPr>
      </w:pPr>
      <w:r w:rsidRPr="009D1041">
        <w:rPr>
          <w:b/>
          <w:bCs/>
          <w:color w:val="000000" w:themeColor="text1"/>
          <w:sz w:val="32"/>
          <w:szCs w:val="32"/>
        </w:rPr>
        <w:t>A control-theoretic N-of-1 study with ecological momentary assessment</w:t>
      </w:r>
    </w:p>
    <w:p w14:paraId="5620168F" w14:textId="77777777" w:rsidR="00891F74" w:rsidRPr="009D1041" w:rsidRDefault="00891F74" w:rsidP="00891F74">
      <w:pPr>
        <w:spacing w:after="120" w:line="360" w:lineRule="auto"/>
        <w:jc w:val="center"/>
        <w:rPr>
          <w:color w:val="000000" w:themeColor="text1"/>
        </w:rPr>
      </w:pPr>
      <w:r w:rsidRPr="009D1041">
        <w:rPr>
          <w:color w:val="000000" w:themeColor="text1"/>
          <w:sz w:val="26"/>
          <w:szCs w:val="26"/>
        </w:rPr>
        <w:t>Miura Meng</w:t>
      </w:r>
    </w:p>
    <w:p w14:paraId="280E3EBF" w14:textId="77777777" w:rsidR="00891F74" w:rsidRPr="009D1041" w:rsidRDefault="00891F74" w:rsidP="00891F74">
      <w:pPr>
        <w:spacing w:after="120" w:line="360" w:lineRule="auto"/>
        <w:jc w:val="center"/>
        <w:rPr>
          <w:color w:val="000000" w:themeColor="text1"/>
        </w:rPr>
      </w:pPr>
      <w:r w:rsidRPr="009D1041">
        <w:rPr>
          <w:color w:val="000000" w:themeColor="text1"/>
        </w:rPr>
        <w:t>May 2026</w:t>
      </w:r>
    </w:p>
    <w:p w14:paraId="4589F436" w14:textId="77777777" w:rsidR="00891F74" w:rsidRPr="009D1041" w:rsidRDefault="00891F74" w:rsidP="00891F74">
      <w:pPr>
        <w:rPr>
          <w:color w:val="000000" w:themeColor="text1"/>
        </w:rPr>
      </w:pPr>
      <w:r w:rsidRPr="009D1041">
        <w:rPr>
          <w:color w:val="000000" w:themeColor="text1"/>
        </w:rPr>
        <w:br w:type="page"/>
      </w:r>
    </w:p>
    <w:p w14:paraId="586A98C0" w14:textId="77777777" w:rsidR="00891F74" w:rsidRPr="009D1041" w:rsidRDefault="00891F74" w:rsidP="00891F74">
      <w:pPr>
        <w:spacing w:before="240" w:after="240" w:line="360" w:lineRule="auto"/>
        <w:jc w:val="center"/>
        <w:rPr>
          <w:color w:val="000000" w:themeColor="text1"/>
        </w:rPr>
      </w:pPr>
      <w:r w:rsidRPr="009D1041">
        <w:rPr>
          <w:b/>
          <w:bCs/>
          <w:color w:val="000000" w:themeColor="text1"/>
          <w:sz w:val="28"/>
          <w:szCs w:val="28"/>
        </w:rPr>
        <w:lastRenderedPageBreak/>
        <w:t>Abstract</w:t>
      </w:r>
    </w:p>
    <w:p w14:paraId="0C72F57D"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This study applies a control-theoretic framework to the intensive longitudinal self-study of affective dynamics in a single individual. The aim was to characterize how internal self-regulatory variables and an external pharmacological probe each shape daily mood. Over a 70-day protocol, momentary emotional valence, perceived agency, and metacognitive awareness were sampled three times daily via ecological momentary assessment (195 observations, 92.9% compliance). Nightly 3 mg melatonin administration was introduced according to a pre-generated randomized schedule. The pre-specified design yielded 35 control and 36 melatonin daily aggregates after calendar-date aggregation. The individual was modeled as a dynamical system; melatonin was treated as a probe to characterize the system’s response, not as a candidate treatment. Time-series methods (autoregressive, state-space, impulse response, heteroskedasticity, and </w:t>
      </w:r>
      <w:proofErr w:type="spellStart"/>
      <w:r w:rsidRPr="009D1041">
        <w:rPr>
          <w:color w:val="000000" w:themeColor="text1"/>
        </w:rPr>
        <w:t>metacontrol</w:t>
      </w:r>
      <w:proofErr w:type="spellEnd"/>
      <w:r w:rsidRPr="009D1041">
        <w:rPr>
          <w:color w:val="000000" w:themeColor="text1"/>
        </w:rPr>
        <w:t xml:space="preserve"> interaction analyses) were used to estimate the contributions of internal behavioral drivers and the external probe. Internal drivers (agency and metacognitive awareness) accounted for 51.6% of daily-mood variance over an </w:t>
      </w:r>
      <w:proofErr w:type="gramStart"/>
      <w:r w:rsidRPr="009D1041">
        <w:rPr>
          <w:color w:val="000000" w:themeColor="text1"/>
        </w:rPr>
        <w:t>AR(</w:t>
      </w:r>
      <w:proofErr w:type="gramEnd"/>
      <w:r w:rsidRPr="009D1041">
        <w:rPr>
          <w:color w:val="000000" w:themeColor="text1"/>
        </w:rPr>
        <w:t xml:space="preserve">1) baseline, while melatonin contributed negligibly to mean-level mood (Δ = +1.03 on a 0–100 scale, d = 0.19). A heteroskedasticity analysis suggested smaller residual variance on melatonin days, compatible with melatonin’s </w:t>
      </w:r>
      <w:proofErr w:type="spellStart"/>
      <w:r w:rsidRPr="009D1041">
        <w:rPr>
          <w:color w:val="000000" w:themeColor="text1"/>
        </w:rPr>
        <w:t>chronobiotic</w:t>
      </w:r>
      <w:proofErr w:type="spellEnd"/>
      <w:r w:rsidRPr="009D1041">
        <w:rPr>
          <w:color w:val="000000" w:themeColor="text1"/>
        </w:rPr>
        <w:t xml:space="preserve"> function. The </w:t>
      </w:r>
      <w:proofErr w:type="spellStart"/>
      <w:r w:rsidRPr="009D1041">
        <w:rPr>
          <w:color w:val="000000" w:themeColor="text1"/>
        </w:rPr>
        <w:t>metacontrol</w:t>
      </w:r>
      <w:proofErr w:type="spellEnd"/>
      <w:r w:rsidRPr="009D1041">
        <w:rPr>
          <w:color w:val="000000" w:themeColor="text1"/>
        </w:rPr>
        <w:t xml:space="preserve"> interaction was direction-consistent but underpowered. This case illustrates how internal self-regulatory variables and an external pharmacological probe contribute differentially to affective dynamics; the probe defined a sensitivity boundary rather than signaling absent effects.</w:t>
      </w:r>
    </w:p>
    <w:p w14:paraId="314079ED" w14:textId="77777777" w:rsidR="00891F74" w:rsidRPr="009D1041" w:rsidRDefault="00891F74" w:rsidP="00891F74">
      <w:pPr>
        <w:spacing w:before="240" w:after="120" w:line="360" w:lineRule="auto"/>
        <w:rPr>
          <w:color w:val="000000" w:themeColor="text1"/>
        </w:rPr>
      </w:pPr>
      <w:r w:rsidRPr="009D1041">
        <w:rPr>
          <w:b/>
          <w:bCs/>
          <w:color w:val="000000" w:themeColor="text1"/>
        </w:rPr>
        <w:t xml:space="preserve">Keywords: </w:t>
      </w:r>
      <w:r w:rsidRPr="009D1041">
        <w:rPr>
          <w:color w:val="000000" w:themeColor="text1"/>
        </w:rPr>
        <w:t>N-of-1; ecological momentary assessment; dynamical systems; autoregressive model; idiographic; personal science; intensive longitudinal data; affect dynamics</w:t>
      </w:r>
    </w:p>
    <w:p w14:paraId="119257CF" w14:textId="77777777" w:rsidR="00891F74" w:rsidRPr="009D1041" w:rsidRDefault="00891F74" w:rsidP="00891F74">
      <w:pPr>
        <w:rPr>
          <w:color w:val="000000" w:themeColor="text1"/>
        </w:rPr>
      </w:pPr>
      <w:r w:rsidRPr="009D1041">
        <w:rPr>
          <w:color w:val="000000" w:themeColor="text1"/>
        </w:rPr>
        <w:br w:type="page"/>
      </w:r>
    </w:p>
    <w:p w14:paraId="363F6A74"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lastRenderedPageBreak/>
        <w:t>1. Introduction</w:t>
      </w:r>
    </w:p>
    <w:p w14:paraId="39E3BE35"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1.1 The Problem with Average-Centered Behavioral Science</w:t>
      </w:r>
    </w:p>
    <w:p w14:paraId="7104B777" w14:textId="77777777" w:rsidR="00891F74" w:rsidRPr="009D1041" w:rsidRDefault="00891F74" w:rsidP="00891F74">
      <w:pPr>
        <w:spacing w:after="120" w:line="480" w:lineRule="auto"/>
        <w:jc w:val="both"/>
        <w:rPr>
          <w:color w:val="000000" w:themeColor="text1"/>
        </w:rPr>
      </w:pPr>
      <w:r w:rsidRPr="009D1041">
        <w:rPr>
          <w:color w:val="000000" w:themeColor="text1"/>
        </w:rPr>
        <w:t>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14:paraId="5CFF439E"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It fails at the level of the individual. A person is not a sample from a population but a system with its own organizational logic, dynamic parameters, and sensitivity boundaries. Aggregated treatment effects, </w:t>
      </w:r>
      <w:proofErr w:type="gramStart"/>
      <w:r w:rsidRPr="009D1041">
        <w:rPr>
          <w:color w:val="000000" w:themeColor="text1"/>
        </w:rPr>
        <w:t>however</w:t>
      </w:r>
      <w:proofErr w:type="gramEnd"/>
      <w:r w:rsidRPr="009D1041">
        <w:rPr>
          <w:color w:val="000000" w:themeColor="text1"/>
        </w:rPr>
        <w:t xml:space="preserve"> statistically robust at the group level, cannot answer the question that matters most to any given individual: how does </w:t>
      </w:r>
      <w:r w:rsidRPr="009D1041">
        <w:rPr>
          <w:i/>
          <w:iCs/>
          <w:color w:val="000000" w:themeColor="text1"/>
        </w:rPr>
        <w:t>my</w:t>
      </w:r>
      <w:r w:rsidRPr="009D1041">
        <w:rPr>
          <w:color w:val="000000" w:themeColor="text1"/>
        </w:rPr>
        <w:t xml:space="preserve"> system respond? Molenaar (2004) and Molenaar and Campbell (2009) have argued that group-level estimates are not generally informative about individual-level processes unless strong ergodicity assumptions hold, assumptions that, in the domain of affect, almost never do.</w:t>
      </w:r>
    </w:p>
    <w:p w14:paraId="47D1FA1C" w14:textId="77777777" w:rsidR="00891F74" w:rsidRPr="009D1041" w:rsidRDefault="00891F74" w:rsidP="00891F74">
      <w:pPr>
        <w:spacing w:after="120" w:line="480" w:lineRule="auto"/>
        <w:jc w:val="both"/>
        <w:rPr>
          <w:color w:val="000000" w:themeColor="text1"/>
        </w:rPr>
      </w:pPr>
      <w:r w:rsidRPr="009D1041">
        <w:rPr>
          <w:color w:val="000000" w:themeColor="text1"/>
        </w:rPr>
        <w:t>The present study departs from the average-centered tradition. It adopts the logic of personal science (Myin-</w:t>
      </w:r>
      <w:proofErr w:type="spellStart"/>
      <w:r w:rsidRPr="009D1041">
        <w:rPr>
          <w:color w:val="000000" w:themeColor="text1"/>
        </w:rPr>
        <w:t>Germeys</w:t>
      </w:r>
      <w:proofErr w:type="spellEnd"/>
      <w:r w:rsidRPr="009D1041">
        <w:rPr>
          <w:color w:val="000000" w:themeColor="text1"/>
        </w:rPr>
        <w:t xml:space="preserve"> &amp; </w:t>
      </w:r>
      <w:proofErr w:type="spellStart"/>
      <w:r w:rsidRPr="009D1041">
        <w:rPr>
          <w:color w:val="000000" w:themeColor="text1"/>
        </w:rPr>
        <w:t>Kuppens</w:t>
      </w:r>
      <w:proofErr w:type="spellEnd"/>
      <w:r w:rsidRPr="009D1041">
        <w:rPr>
          <w:color w:val="000000" w:themeColor="text1"/>
        </w:rPr>
        <w:t xml:space="preserve">, 2022) and idiographic behavioral science (Molenaar, 2004), treating a single individual as the unit of analysis, not a proxy for a group, but a </w:t>
      </w:r>
      <w:proofErr w:type="gramStart"/>
      <w:r w:rsidRPr="009D1041">
        <w:rPr>
          <w:color w:val="000000" w:themeColor="text1"/>
        </w:rPr>
        <w:t>system in its own right</w:t>
      </w:r>
      <w:proofErr w:type="gramEnd"/>
      <w:r w:rsidRPr="009D1041">
        <w:rPr>
          <w:color w:val="000000" w:themeColor="text1"/>
        </w:rPr>
        <w:t>. The aim is not to generalize across persons; it is to characterize the structure of one person’s affective dynamics with the same formal precision that group-level work brings to population-level inference.</w:t>
      </w:r>
    </w:p>
    <w:p w14:paraId="5D74EBB9"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lastRenderedPageBreak/>
        <w:t>1.2 Intervention as Perturbation</w:t>
      </w:r>
    </w:p>
    <w:p w14:paraId="6983F318" w14:textId="77777777" w:rsidR="00891F74" w:rsidRPr="009D1041" w:rsidRDefault="00891F74" w:rsidP="00891F74">
      <w:pPr>
        <w:spacing w:after="120" w:line="480" w:lineRule="auto"/>
        <w:jc w:val="both"/>
        <w:rPr>
          <w:color w:val="000000" w:themeColor="text1"/>
        </w:rPr>
      </w:pPr>
      <w:r w:rsidRPr="009D1041">
        <w:rPr>
          <w:color w:val="000000" w:themeColor="text1"/>
        </w:rPr>
        <w:t>Standard intervention logic treats external inputs as levers: pull the lever, observe the outcome. The framing assumes the system is passive, that it transmits the input without transformation, and effect sizes are read as estimates of the lever’s causal force.</w:t>
      </w:r>
    </w:p>
    <w:p w14:paraId="0611C639"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Dynamical systems theory offers a different account, articulated in the </w:t>
      </w:r>
      <w:proofErr w:type="gramStart"/>
      <w:r w:rsidRPr="009D1041">
        <w:rPr>
          <w:color w:val="000000" w:themeColor="text1"/>
        </w:rPr>
        <w:t>affect</w:t>
      </w:r>
      <w:proofErr w:type="gramEnd"/>
      <w:r w:rsidRPr="009D1041">
        <w:rPr>
          <w:color w:val="000000" w:themeColor="text1"/>
        </w:rPr>
        <w:t xml:space="preserve"> literature over the past two decades. In a complex, self-organizing system, an external input does not simply cause an output; it </w:t>
      </w:r>
      <w:r w:rsidRPr="009D1041">
        <w:rPr>
          <w:i/>
          <w:iCs/>
          <w:color w:val="000000" w:themeColor="text1"/>
        </w:rPr>
        <w:t>perturbs</w:t>
      </w:r>
      <w:r w:rsidRPr="009D1041">
        <w:rPr>
          <w:color w:val="000000" w:themeColor="text1"/>
        </w:rPr>
        <w:t xml:space="preserve"> the system, which then responds according to its own internal structure: inertia, attractor states, sensitivity to inputs of </w:t>
      </w:r>
      <w:proofErr w:type="gramStart"/>
      <w:r w:rsidRPr="009D1041">
        <w:rPr>
          <w:color w:val="000000" w:themeColor="text1"/>
        </w:rPr>
        <w:t>particular magnitude</w:t>
      </w:r>
      <w:proofErr w:type="gramEnd"/>
      <w:r w:rsidRPr="009D1041">
        <w:rPr>
          <w:color w:val="000000" w:themeColor="text1"/>
        </w:rPr>
        <w:t xml:space="preserve"> and timing (Bringmann et al., 2013, 2022; Hamaker, 2012; Wichers, 2014). The response is therefore informative not primarily about the perturbation, but about the system itself. The input becomes a probe of system response, a means of estimating an underlying transfer function rather than of demonstrating an effect.</w:t>
      </w:r>
    </w:p>
    <w:p w14:paraId="72EE3EC3"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This conception has empirical specificity. Affective dynamics research has documented that day-to-day variation in mood is partially organized by autoregressive carryover, often termed </w:t>
      </w:r>
      <w:r w:rsidRPr="009D1041">
        <w:rPr>
          <w:i/>
          <w:iCs/>
          <w:color w:val="000000" w:themeColor="text1"/>
        </w:rPr>
        <w:t>emotional inertia</w:t>
      </w:r>
      <w:r w:rsidRPr="009D1041">
        <w:rPr>
          <w:color w:val="000000" w:themeColor="text1"/>
        </w:rPr>
        <w:t xml:space="preserve"> (Houben, Van Den Noortgate, &amp; </w:t>
      </w:r>
      <w:proofErr w:type="spellStart"/>
      <w:r w:rsidRPr="009D1041">
        <w:rPr>
          <w:color w:val="000000" w:themeColor="text1"/>
        </w:rPr>
        <w:t>Kuppens</w:t>
      </w:r>
      <w:proofErr w:type="spellEnd"/>
      <w:r w:rsidRPr="009D1041">
        <w:rPr>
          <w:color w:val="000000" w:themeColor="text1"/>
        </w:rPr>
        <w:t xml:space="preserve">, 2015; Koval &amp; </w:t>
      </w:r>
      <w:proofErr w:type="spellStart"/>
      <w:r w:rsidRPr="009D1041">
        <w:rPr>
          <w:color w:val="000000" w:themeColor="text1"/>
        </w:rPr>
        <w:t>Kuppens</w:t>
      </w:r>
      <w:proofErr w:type="spellEnd"/>
      <w:r w:rsidRPr="009D1041">
        <w:rPr>
          <w:color w:val="000000" w:themeColor="text1"/>
        </w:rPr>
        <w:t xml:space="preserve">, 2012; </w:t>
      </w:r>
      <w:proofErr w:type="spellStart"/>
      <w:r w:rsidRPr="009D1041">
        <w:rPr>
          <w:color w:val="000000" w:themeColor="text1"/>
        </w:rPr>
        <w:t>Kuppens</w:t>
      </w:r>
      <w:proofErr w:type="spellEnd"/>
      <w:r w:rsidRPr="009D1041">
        <w:rPr>
          <w:color w:val="000000" w:themeColor="text1"/>
        </w:rPr>
        <w:t xml:space="preserve">, Allen, &amp; </w:t>
      </w:r>
      <w:proofErr w:type="spellStart"/>
      <w:r w:rsidRPr="009D1041">
        <w:rPr>
          <w:color w:val="000000" w:themeColor="text1"/>
        </w:rPr>
        <w:t>Sheeber</w:t>
      </w:r>
      <w:proofErr w:type="spellEnd"/>
      <w:r w:rsidRPr="009D1041">
        <w:rPr>
          <w:color w:val="000000" w:themeColor="text1"/>
        </w:rPr>
        <w:t xml:space="preserve">, 2010). Higher inertia is associated with reduced responsiveness to environmental input and with markers of psychological maladjustment; the </w:t>
      </w:r>
      <w:r w:rsidRPr="009D1041">
        <w:rPr>
          <w:i/>
          <w:iCs/>
          <w:color w:val="000000" w:themeColor="text1"/>
        </w:rPr>
        <w:t>capacity</w:t>
      </w:r>
      <w:r w:rsidRPr="009D1041">
        <w:rPr>
          <w:color w:val="000000" w:themeColor="text1"/>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Smit et al., 2023). What an external input does to the system is therefore a more nuanced empirical question than “mean shift,” and intensive longitudinal designs are well-suited to making these distinctions.</w:t>
      </w:r>
    </w:p>
    <w:p w14:paraId="38EAB8AD"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This reframing carries a methodological consequence: a non-significant intervention effect is not a design failure. The conventional reading, that the design lacks power to reject the null, </w:t>
      </w:r>
      <w:r w:rsidRPr="009D1041">
        <w:rPr>
          <w:color w:val="000000" w:themeColor="text1"/>
        </w:rPr>
        <w:lastRenderedPageBreak/>
        <w:t xml:space="preserve">presupposes a hypothesis-testing framework in which the intervention is a treatment whose efficacy is being assayed. Within that framework, a formal equivalence procedure such as </w:t>
      </w:r>
      <w:proofErr w:type="spellStart"/>
      <w:r w:rsidRPr="009D1041">
        <w:rPr>
          <w:color w:val="000000" w:themeColor="text1"/>
        </w:rPr>
        <w:t>Lakens’s</w:t>
      </w:r>
      <w:proofErr w:type="spellEnd"/>
      <w:r w:rsidRPr="009D1041">
        <w:rPr>
          <w:color w:val="000000" w:themeColor="text1"/>
        </w:rPr>
        <w:t xml:space="preserve"> (2017) two one-sided tests is the appropriate response.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w:t>
      </w:r>
    </w:p>
    <w:p w14:paraId="1FBB85AA"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1.3 What Governs Affective Dynamics?</w:t>
      </w:r>
    </w:p>
    <w:p w14:paraId="780382CD" w14:textId="77777777" w:rsidR="00891F74" w:rsidRPr="009D1041" w:rsidRDefault="00891F74" w:rsidP="00891F74">
      <w:pPr>
        <w:spacing w:after="120" w:line="480" w:lineRule="auto"/>
        <w:jc w:val="both"/>
        <w:rPr>
          <w:color w:val="000000" w:themeColor="text1"/>
        </w:rPr>
      </w:pPr>
      <w:r w:rsidRPr="009D1041">
        <w:rPr>
          <w:color w:val="000000" w:themeColor="text1"/>
        </w:rPr>
        <w:t>What governs day-to-day affective state has been modeled in many ways: as a dimensional state of valence and arousal (Russell, 1980; Russell &amp; Barrett, 1999), as the output of cognitive appraisal (</w:t>
      </w:r>
      <w:proofErr w:type="spellStart"/>
      <w:r w:rsidRPr="009D1041">
        <w:rPr>
          <w:color w:val="000000" w:themeColor="text1"/>
        </w:rPr>
        <w:t>Frijda</w:t>
      </w:r>
      <w:proofErr w:type="spellEnd"/>
      <w:r w:rsidRPr="009D1041">
        <w:rPr>
          <w:color w:val="000000" w:themeColor="text1"/>
        </w:rPr>
        <w:t>, 1986; Lazarus, 1991), as a regulator of homeostasis and somatic state (Craig, 2009; Damasio, 1999), and as a property of self-organizing dynamical systems (</w:t>
      </w:r>
      <w:proofErr w:type="spellStart"/>
      <w:r w:rsidRPr="009D1041">
        <w:rPr>
          <w:color w:val="000000" w:themeColor="text1"/>
        </w:rPr>
        <w:t>Kuppens</w:t>
      </w:r>
      <w:proofErr w:type="spellEnd"/>
      <w:r w:rsidRPr="009D1041">
        <w:rPr>
          <w:color w:val="000000" w:themeColor="text1"/>
        </w:rPr>
        <w:t xml:space="preserve"> et al., 2010; Wichers, 2014). The present study takes no comprehensive position. It addresses a narrower empirical question: in this individual, sampled three times daily for 70 days, what proportion of daily mood variation is accounted for by a discrete external input versus internal behavioral state?</w:t>
      </w:r>
    </w:p>
    <w:p w14:paraId="39BDED95" w14:textId="77777777" w:rsidR="00891F74" w:rsidRPr="009D1041" w:rsidRDefault="00891F74" w:rsidP="00891F74">
      <w:pPr>
        <w:spacing w:after="120" w:line="480" w:lineRule="auto"/>
        <w:jc w:val="both"/>
        <w:rPr>
          <w:color w:val="000000" w:themeColor="text1"/>
        </w:rPr>
      </w:pPr>
      <w:r w:rsidRPr="009D1041">
        <w:rPr>
          <w:color w:val="000000" w:themeColor="text1"/>
        </w:rPr>
        <w:t>The dominant implicit model in mood-intervention research is that affect is improved by adding beneficial inputs (better sleep, reduced stress, optimized nutrition, pharmacological support). Mood becomes a passive output of external conditions; intervention becomes a question of which conditions to optimize. The present study does not contest this frame at the population level; it contests only the assumption that the same frame should organize an individual person’s account of their own affective dynamics.</w:t>
      </w:r>
    </w:p>
    <w:p w14:paraId="46503163" w14:textId="77777777" w:rsidR="00891F74" w:rsidRPr="009D1041" w:rsidRDefault="00891F74" w:rsidP="00891F74">
      <w:pPr>
        <w:spacing w:after="120" w:line="480" w:lineRule="auto"/>
        <w:jc w:val="both"/>
        <w:rPr>
          <w:color w:val="000000" w:themeColor="text1"/>
        </w:rPr>
      </w:pPr>
      <w:r w:rsidRPr="009D1041">
        <w:rPr>
          <w:color w:val="000000" w:themeColor="text1"/>
        </w:rPr>
        <w:lastRenderedPageBreak/>
        <w:t>An alternative account holds that affective states are organized primarily by internal behavioral dynamics: by the degree to which the individual is acting intentionally, making progress toward goals, and maintaining awareness of her own state. On this view, mood is less a response to external inputs than a signature of how well the individual’s behavioral system is functioning as a self-regulating agent. The present study compares these accounts at the individual level, grounded in two theoretical commitments.</w:t>
      </w:r>
    </w:p>
    <w:p w14:paraId="0D838F04" w14:textId="77777777" w:rsidR="00891F74" w:rsidRPr="009D1041" w:rsidRDefault="00891F74" w:rsidP="00891F74">
      <w:pPr>
        <w:spacing w:after="120" w:line="480" w:lineRule="auto"/>
        <w:jc w:val="both"/>
        <w:rPr>
          <w:color w:val="000000" w:themeColor="text1"/>
        </w:rPr>
      </w:pPr>
      <w:r w:rsidRPr="009D1041">
        <w:rPr>
          <w:color w:val="000000" w:themeColor="text1"/>
        </w:rPr>
        <w:t>The first commitment is that perceived agency, the felt sense of intentional, goal-directed action, is a primary internal driver of affective state. This commitment draws on Bandura’s (1989, 2001, 2006) social cognitive theory of human agency, in which persons exercise causal influence over their own functioning through intentional, self-regulating action. Carver and Scheier’s (1990, 1998) control-process model further specifies that affect is generated by the perceived rate of progress toward active goals: positive affect arises when progress exceeds expectation, negative affect when it falls below. Self-determination theory (Deci &amp; Ryan, 2000; Ryan &amp; Deci, 2017) adds that autonomy, experienced as self-endorsed action, is a basic psychological need predictive of well-being. Agency is operationalized here as the moment-to-moment sense of task progress and forward motion.</w:t>
      </w:r>
    </w:p>
    <w:p w14:paraId="0B123D16"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second commitment is that metacognitive awareness, the system’s read-out of its own internal state, both predicts mood and modulates responsiveness to external perturbation. Flavell (1979) defined metacognition as cognition about cognition; </w:t>
      </w:r>
      <w:proofErr w:type="spellStart"/>
      <w:r w:rsidRPr="009D1041">
        <w:rPr>
          <w:color w:val="000000" w:themeColor="text1"/>
        </w:rPr>
        <w:t>Efklides</w:t>
      </w:r>
      <w:proofErr w:type="spellEnd"/>
      <w:r w:rsidRPr="009D1041">
        <w:rPr>
          <w:color w:val="000000" w:themeColor="text1"/>
        </w:rPr>
        <w:t xml:space="preserve"> (2008) drew the construct closer to affective experience by showing how metacognitive experiences are themselves affectively colored. Metacognition is operationalized here using the monitoring-control framework of Nelson and Narens (1990), in which a metalevel system continuously reads and regulates object-level processes; this framework suits high-frequency sampling because metacognition varies in real time. </w:t>
      </w:r>
      <w:r w:rsidRPr="009D1041">
        <w:rPr>
          <w:color w:val="000000" w:themeColor="text1"/>
        </w:rPr>
        <w:lastRenderedPageBreak/>
        <w:t xml:space="preserve">Metcalfe and Greene (2007) extend the framework to agency, showing that judgments of personal control are products of metacognitive monitoring. The joint operation of agency and metacognition motivates the </w:t>
      </w:r>
      <w:proofErr w:type="spellStart"/>
      <w:r w:rsidRPr="009D1041">
        <w:rPr>
          <w:color w:val="000000" w:themeColor="text1"/>
        </w:rPr>
        <w:t>metacontrol</w:t>
      </w:r>
      <w:proofErr w:type="spellEnd"/>
      <w:r w:rsidRPr="009D1041">
        <w:rPr>
          <w:color w:val="000000" w:themeColor="text1"/>
        </w:rPr>
        <w:t xml:space="preserve"> hypothesis tested below: a system better able to monitor its own state may be less swayed by exogenous inputs of small magnitude.</w:t>
      </w:r>
    </w:p>
    <w:p w14:paraId="55BE240C" w14:textId="77777777" w:rsidR="00891F74" w:rsidRPr="009D1041" w:rsidRDefault="00891F74" w:rsidP="00891F74">
      <w:pPr>
        <w:spacing w:after="120" w:line="480" w:lineRule="auto"/>
        <w:jc w:val="both"/>
        <w:rPr>
          <w:color w:val="000000" w:themeColor="text1"/>
        </w:rPr>
      </w:pPr>
      <w:r w:rsidRPr="009D1041">
        <w:rPr>
          <w:color w:val="000000" w:themeColor="text1"/>
        </w:rPr>
        <w:t>Taken together, these commitments imply a parsimonious empirical prediction: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their effect is small relative to the system’s own self-regulatory machinery, and that any effect may appear in features of the trajectory other than its mean level (variability or decay rate). The research questions in Section 1.4 make these predictions empirically separable.</w:t>
      </w:r>
    </w:p>
    <w:p w14:paraId="7A79BCE4"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Construct delineation</w:t>
      </w:r>
    </w:p>
    <w:p w14:paraId="2B50838C" w14:textId="77777777" w:rsidR="00891F74" w:rsidRPr="009D1041" w:rsidRDefault="00891F74" w:rsidP="00891F74">
      <w:pPr>
        <w:spacing w:after="120" w:line="480" w:lineRule="auto"/>
        <w:jc w:val="both"/>
        <w:rPr>
          <w:color w:val="000000" w:themeColor="text1"/>
        </w:rPr>
      </w:pPr>
      <w:r w:rsidRPr="009D1041">
        <w:rPr>
          <w:color w:val="000000" w:themeColor="text1"/>
        </w:rPr>
        <w:t>Because the term agency carries divergent meanings across traditions, its scope here warrants explicit delimitation. In sociology, agency is most often defined in opposition to social structure (Giddens, 1984; Bourdieu, 1990; Archer, 2003), referring to the capacity to act with reflective intentionality within structuring conditions of social life. The construct here does not engage that scale: the structural conditions of this individual’s life are held analytically constant across the 70-day window; what varies is the within-day experience of acting intentionally toward immediate task goals. The two uses share a word but not a referent.</w:t>
      </w:r>
    </w:p>
    <w:p w14:paraId="4AD349FB"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In philosophy of mind and cognitive neuroscience, agency refers to whether and how </w:t>
      </w:r>
      <w:proofErr w:type="spellStart"/>
      <w:r w:rsidRPr="009D1041">
        <w:rPr>
          <w:color w:val="000000" w:themeColor="text1"/>
        </w:rPr>
        <w:t>the</w:t>
      </w:r>
      <w:proofErr w:type="spellEnd"/>
      <w:r w:rsidRPr="009D1041">
        <w:rPr>
          <w:color w:val="000000" w:themeColor="text1"/>
        </w:rPr>
        <w:t xml:space="preserve"> felt experience of authorship of one’s actions is produced, and whether that experience is veridical (Wegner, 2002; </w:t>
      </w:r>
      <w:proofErr w:type="spellStart"/>
      <w:r w:rsidRPr="009D1041">
        <w:rPr>
          <w:color w:val="000000" w:themeColor="text1"/>
        </w:rPr>
        <w:t>Synofzik</w:t>
      </w:r>
      <w:proofErr w:type="spellEnd"/>
      <w:r w:rsidRPr="009D1041">
        <w:rPr>
          <w:color w:val="000000" w:themeColor="text1"/>
        </w:rPr>
        <w:t xml:space="preserve"> et al., 2008; Haggard, 2017; Frith, 2005; Moore &amp; Fletcher, 2012). The </w:t>
      </w:r>
      <w:r w:rsidRPr="009D1041">
        <w:rPr>
          <w:color w:val="000000" w:themeColor="text1"/>
        </w:rPr>
        <w:lastRenderedPageBreak/>
        <w:t>present study takes no position on these questions. It treats the participant’s self-reported sense of intentional progress as a phenomenological signal: a psychological variable the system tracks and reports, regardless of whether the experience is veridical, constructed, or mixed. The narrower empirical question is whether day-to-day variation in this felt sense predicts day-to-day variation in affective state.</w:t>
      </w:r>
    </w:p>
    <w:p w14:paraId="26C9FDE6"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Metacognition is similarly subject to scope ambiguity. Flavell’s (1979) typology distinguishes metacognitive knowledge (stable beliefs about one’s cognitive abilities) from metacognitive experiences (in-the-moment feelings of knowing, difficulty, or confidence) and metacognitive strategies (procedures for monitoring and regulation). Schraw and </w:t>
      </w:r>
      <w:proofErr w:type="spellStart"/>
      <w:r w:rsidRPr="009D1041">
        <w:rPr>
          <w:color w:val="000000" w:themeColor="text1"/>
        </w:rPr>
        <w:t>Moshman</w:t>
      </w:r>
      <w:proofErr w:type="spellEnd"/>
      <w:r w:rsidRPr="009D1041">
        <w:rPr>
          <w:color w:val="000000" w:themeColor="text1"/>
        </w:rPr>
        <w:t xml:space="preserve"> (1995) and </w:t>
      </w:r>
      <w:proofErr w:type="spellStart"/>
      <w:r w:rsidRPr="009D1041">
        <w:rPr>
          <w:color w:val="000000" w:themeColor="text1"/>
        </w:rPr>
        <w:t>Efklides</w:t>
      </w:r>
      <w:proofErr w:type="spellEnd"/>
      <w:r w:rsidRPr="009D1041">
        <w:rPr>
          <w:color w:val="000000" w:themeColor="text1"/>
        </w:rPr>
        <w:t xml:space="preserve"> (2008) elaborated these distinctions; an educational-psychology literature uses the first sense (</w:t>
      </w:r>
      <w:proofErr w:type="spellStart"/>
      <w:r w:rsidRPr="009D1041">
        <w:rPr>
          <w:color w:val="000000" w:themeColor="text1"/>
        </w:rPr>
        <w:t>Veenman</w:t>
      </w:r>
      <w:proofErr w:type="spellEnd"/>
      <w:r w:rsidRPr="009D1041">
        <w:rPr>
          <w:color w:val="000000" w:themeColor="text1"/>
        </w:rPr>
        <w:t xml:space="preserve"> et al., 2006). The construct here is restricted to in-the-moment self-monitoring in the Nelson and Narens (1990) sense, a measurement choice imposed by the high-frequency sampling design.</w:t>
      </w:r>
    </w:p>
    <w:p w14:paraId="2E1E209F"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1.4 Research Questions</w:t>
      </w:r>
    </w:p>
    <w:p w14:paraId="54D632DA" w14:textId="77777777" w:rsidR="00891F74" w:rsidRPr="009D1041" w:rsidRDefault="00891F74" w:rsidP="00891F74">
      <w:pPr>
        <w:spacing w:after="120" w:line="480" w:lineRule="auto"/>
        <w:jc w:val="both"/>
        <w:rPr>
          <w:color w:val="000000" w:themeColor="text1"/>
        </w:rPr>
      </w:pPr>
      <w:r w:rsidRPr="009D1041">
        <w:rPr>
          <w:b/>
          <w:bCs/>
          <w:color w:val="000000" w:themeColor="text1"/>
        </w:rPr>
        <w:t xml:space="preserve">Primary (empirical). </w:t>
      </w:r>
      <w:r w:rsidRPr="009D1041">
        <w:rPr>
          <w:color w:val="000000" w:themeColor="text1"/>
        </w:rPr>
        <w:t xml:space="preserve">Within a continuous hormonal-contraceptive background condition, does melatonin administration meaningfully shift average momentary emotional valence? Melatonin is widely consumed as a </w:t>
      </w:r>
      <w:proofErr w:type="spellStart"/>
      <w:r w:rsidRPr="009D1041">
        <w:rPr>
          <w:color w:val="000000" w:themeColor="text1"/>
        </w:rPr>
        <w:t>chronobiotic</w:t>
      </w:r>
      <w:proofErr w:type="spellEnd"/>
      <w:r w:rsidRPr="009D1041">
        <w:rPr>
          <w:color w:val="000000" w:themeColor="text1"/>
        </w:rPr>
        <w:t xml:space="preserve"> and sleep aid and is sometimes assumed to also lift mood; the present design tests this assumption at the individual level in a system where the cyclical hormonal contribution to affect has been pharmacologically stabilized.</w:t>
      </w:r>
    </w:p>
    <w:p w14:paraId="3869ACCA" w14:textId="77777777" w:rsidR="00891F74" w:rsidRPr="009D1041" w:rsidRDefault="00891F74" w:rsidP="00891F74">
      <w:pPr>
        <w:spacing w:after="120" w:line="480" w:lineRule="auto"/>
        <w:jc w:val="both"/>
        <w:rPr>
          <w:color w:val="000000" w:themeColor="text1"/>
        </w:rPr>
      </w:pPr>
      <w:r w:rsidRPr="009D1041">
        <w:rPr>
          <w:b/>
          <w:bCs/>
          <w:color w:val="000000" w:themeColor="text1"/>
        </w:rPr>
        <w:t xml:space="preserve">System-level. </w:t>
      </w:r>
      <w:r w:rsidRPr="009D1041">
        <w:rPr>
          <w:color w:val="000000" w:themeColor="text1"/>
        </w:rPr>
        <w:t xml:space="preserve">In this individual behavioral system, does a discrete external perturbation (melatonin) produce affective change that exceeds the system’s own predicted trajectory, or do internal drivers (agency and metacognitive awareness) account for substantially more variance than the external intervention? This reframes a null pharmacological result not as a design failure </w:t>
      </w:r>
      <w:r w:rsidRPr="009D1041">
        <w:rPr>
          <w:color w:val="000000" w:themeColor="text1"/>
        </w:rPr>
        <w:lastRenderedPageBreak/>
        <w:t>but as a system-identification result: a finding that this system is more sensitive to internal self-regulatory variation than to an external probe of this magnitude.</w:t>
      </w:r>
    </w:p>
    <w:p w14:paraId="491681D2" w14:textId="77777777" w:rsidR="00891F74" w:rsidRPr="009D1041" w:rsidRDefault="00891F74" w:rsidP="00891F74">
      <w:pPr>
        <w:spacing w:after="120" w:line="480" w:lineRule="auto"/>
        <w:jc w:val="both"/>
        <w:rPr>
          <w:color w:val="000000" w:themeColor="text1"/>
        </w:rPr>
      </w:pPr>
      <w:proofErr w:type="spellStart"/>
      <w:r w:rsidRPr="009D1041">
        <w:rPr>
          <w:b/>
          <w:bCs/>
          <w:color w:val="000000" w:themeColor="text1"/>
        </w:rPr>
        <w:t>Metacontrol</w:t>
      </w:r>
      <w:proofErr w:type="spellEnd"/>
      <w:r w:rsidRPr="009D1041">
        <w:rPr>
          <w:b/>
          <w:bCs/>
          <w:color w:val="000000" w:themeColor="text1"/>
        </w:rPr>
        <w:t xml:space="preserve">. </w:t>
      </w:r>
      <w:r w:rsidRPr="009D1041">
        <w:rPr>
          <w:color w:val="000000" w:themeColor="text1"/>
        </w:rPr>
        <w:t>Does metacognitive awareness moderate the system’s sensitivity to external perturbation? That is, does higher metacognition buffer the individual against the influence of melatonin? A buffering interaction would indicate that monitoring one’s own state changes the system’s functional coupling to external inputs, a higher-order regulatory property not captured by main effects alone.</w:t>
      </w:r>
    </w:p>
    <w:p w14:paraId="7F7F3737"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1.5 Study Origin and Scope</w:t>
      </w:r>
    </w:p>
    <w:p w14:paraId="4E7648B1"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This study began as a course project in single-case experimental design. The participant designed and ran a 44-day randomized N-of-1 alternating-treatment experiment with three-times-daily ecological momentary assessment (EMA) sampling. The course-required analysis followed a between-condition framework: a mean comparison and Monte Carlo randomization test (10,000 permutations) yielded a small, non-significant intervention effect (p = .40). The descriptive time series, however, displayed structure the between-condition framework did not </w:t>
      </w:r>
      <w:proofErr w:type="gramStart"/>
      <w:r w:rsidRPr="009D1041">
        <w:rPr>
          <w:color w:val="000000" w:themeColor="text1"/>
        </w:rPr>
        <w:t>address:</w:t>
      </w:r>
      <w:proofErr w:type="gramEnd"/>
      <w:r w:rsidRPr="009D1041">
        <w:rPr>
          <w:color w:val="000000" w:themeColor="text1"/>
        </w:rPr>
        <w:t xml:space="preserve"> autoregressive momentum, candidate latent dynamics, and apparent moderation by internal behavioral variables.</w:t>
      </w:r>
    </w:p>
    <w:p w14:paraId="2ACF96FA"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present study extends the original protocol to a full 70-day window and shifts the analytic question from “did the intervention produce an average effect?” to “what is the dynamic structure of the system, and how do internal and external drivers contribute to it?” The methods reported here (autoregressive modeling with exogenous inputs, state-space modeling with Kalman filtering, impulse response analysis, and conditional heteroskedasticity) reflect that re-framing. Two protocol features are noted in the Method: agency and metacognitive awareness items were added </w:t>
      </w:r>
      <w:r w:rsidRPr="009D1041">
        <w:rPr>
          <w:color w:val="000000" w:themeColor="text1"/>
        </w:rPr>
        <w:lastRenderedPageBreak/>
        <w:t>on Day 18 following an interim review, and analyses involving these variables are correspondingly restricted.</w:t>
      </w:r>
    </w:p>
    <w:p w14:paraId="78DFC524"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2. Methods</w:t>
      </w:r>
    </w:p>
    <w:p w14:paraId="3B9AEB7E"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2.1 Participants</w:t>
      </w:r>
    </w:p>
    <w:p w14:paraId="41490C87" w14:textId="77777777" w:rsidR="00891F74" w:rsidRPr="009D1041" w:rsidRDefault="00891F74" w:rsidP="00891F74">
      <w:pPr>
        <w:spacing w:after="120" w:line="480" w:lineRule="auto"/>
        <w:jc w:val="both"/>
        <w:rPr>
          <w:color w:val="000000" w:themeColor="text1"/>
        </w:rPr>
      </w:pPr>
      <w:r w:rsidRPr="009D1041">
        <w:rPr>
          <w:color w:val="000000" w:themeColor="text1"/>
        </w:rPr>
        <w:t>The participant is the author of this paper. The use of a single-subject design follows the personal science tradition of systematic self-experimentation with rigorous measurement and transparent analysis (Myin-</w:t>
      </w:r>
      <w:proofErr w:type="spellStart"/>
      <w:r w:rsidRPr="009D1041">
        <w:rPr>
          <w:color w:val="000000" w:themeColor="text1"/>
        </w:rPr>
        <w:t>Germeys</w:t>
      </w:r>
      <w:proofErr w:type="spellEnd"/>
      <w:r w:rsidRPr="009D1041">
        <w:rPr>
          <w:color w:val="000000" w:themeColor="text1"/>
        </w:rPr>
        <w:t xml:space="preserve"> &amp; </w:t>
      </w:r>
      <w:proofErr w:type="spellStart"/>
      <w:r w:rsidRPr="009D1041">
        <w:rPr>
          <w:color w:val="000000" w:themeColor="text1"/>
        </w:rPr>
        <w:t>Kuppens</w:t>
      </w:r>
      <w:proofErr w:type="spellEnd"/>
      <w:r w:rsidRPr="009D1041">
        <w:rPr>
          <w:color w:val="000000" w:themeColor="text1"/>
        </w:rPr>
        <w:t>, 2022). Single-subject designs are appropriate when the research question concerns individual-level processes that are obscured by group averaging (Molenaar, 2004; Molenaar &amp; Campbell, 2009). At the time of data collection, the participant was a 23-year-old graduate student, reported no current psychiatric or other medical diagnoses, and was taking no medication beyond the hormonal contraceptive described in Section 2.2. The University of Pennsylvania Institutional Review Board determined that this study constitutes Not Human Subjects Research (NHSR) and does not require formal IRB approval (email determination, May 13, 2026). As the sole investigator and sole participant, the author consented to her own participation.</w:t>
      </w:r>
    </w:p>
    <w:p w14:paraId="2A726306"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2.2 Background Condition</w:t>
      </w:r>
    </w:p>
    <w:p w14:paraId="014D97B4" w14:textId="77777777" w:rsidR="00891F74" w:rsidRPr="009D1041" w:rsidRDefault="00891F74" w:rsidP="00891F74">
      <w:pPr>
        <w:spacing w:after="120" w:line="480" w:lineRule="auto"/>
        <w:jc w:val="both"/>
        <w:rPr>
          <w:color w:val="000000" w:themeColor="text1"/>
        </w:rPr>
      </w:pPr>
      <w:r w:rsidRPr="009D1041">
        <w:rPr>
          <w:color w:val="000000" w:themeColor="text1"/>
        </w:rPr>
        <w:t>The participant has been taking a continuous hormonal contraceptive (</w:t>
      </w:r>
      <w:proofErr w:type="spellStart"/>
      <w:r w:rsidRPr="009D1041">
        <w:rPr>
          <w:color w:val="000000" w:themeColor="text1"/>
        </w:rPr>
        <w:t>drospirenone</w:t>
      </w:r>
      <w:proofErr w:type="spellEnd"/>
      <w:r w:rsidRPr="009D1041">
        <w:rPr>
          <w:color w:val="000000" w:themeColor="text1"/>
        </w:rPr>
        <w:t xml:space="preserv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w:t>
      </w:r>
      <w:r w:rsidRPr="009D1041">
        <w:rPr>
          <w:color w:val="000000" w:themeColor="text1"/>
        </w:rPr>
        <w:lastRenderedPageBreak/>
        <w:t>detecting effects of the primary manipulation. Stability in this study is not the outcome; it is what makes change observable.</w:t>
      </w:r>
    </w:p>
    <w:p w14:paraId="18C1828D"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2.3 Intervention</w:t>
      </w:r>
    </w:p>
    <w:p w14:paraId="52BA0A81" w14:textId="77777777" w:rsidR="00891F74" w:rsidRPr="009D1041" w:rsidRDefault="00891F74" w:rsidP="00891F74">
      <w:pPr>
        <w:spacing w:after="120" w:line="480" w:lineRule="auto"/>
        <w:jc w:val="both"/>
        <w:rPr>
          <w:color w:val="000000" w:themeColor="text1"/>
        </w:rPr>
      </w:pPr>
      <w:r w:rsidRPr="009D1041">
        <w:rPr>
          <w:color w:val="000000" w:themeColor="text1"/>
        </w:rPr>
        <w:t>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14:paraId="4631CD71"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In the present study, melatonin is conceptualized not as a treatment under test but as an analytic probe: a perturbation input of known presence/absence, applied to an otherwise free-running system </w:t>
      </w:r>
      <w:proofErr w:type="gramStart"/>
      <w:r w:rsidRPr="009D1041">
        <w:rPr>
          <w:color w:val="000000" w:themeColor="text1"/>
        </w:rPr>
        <w:t>in order to</w:t>
      </w:r>
      <w:proofErr w:type="gramEnd"/>
      <w:r w:rsidRPr="009D1041">
        <w:rPr>
          <w:color w:val="000000" w:themeColor="text1"/>
        </w:rPr>
        <w:t xml:space="preserve">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14:paraId="7FA350B9"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2.4 Procedure and Measurement</w:t>
      </w:r>
    </w:p>
    <w:p w14:paraId="375CBFE5"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Design and sampling</w:t>
      </w:r>
    </w:p>
    <w:p w14:paraId="7C3A833D"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study employed a 70-day intensive longitudinal N-of-1 alternating-treatment design. Each day was randomly assigned to either an active (melatonin) or control (no melatonin) condition according to the pre-registered schedule described in Section 2.3. Ecological momentary </w:t>
      </w:r>
      <w:r w:rsidRPr="009D1041">
        <w:rPr>
          <w:color w:val="000000" w:themeColor="text1"/>
        </w:rPr>
        <w:lastRenderedPageBreak/>
        <w:t>assessment (EMA) prompts were delivered three times per day, at approximately 10:00, 16:00, and 22:00 local time, via automated iOS Shortcuts. The protocol began with the 22:00 evening prompt on the first study day; because EMA observations were aggregated by their calendar date of recording, this evening-start convention produced 71 calendar-date partitions (2026-02-18 to 2026-04-29) and an asymmetric tally of 35 control and 36 melatonin daily aggregates rather than the planned 35 vs. 35 (cf. Section 3.1). Of 210 planned EMA observations across the 70-day window, 195 were recorded (compliance rate = 92.9%; 55 days with three observations, 14 with two, and 2 with one).</w:t>
      </w:r>
    </w:p>
    <w:p w14:paraId="6BC9AD33"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Measures</w:t>
      </w:r>
    </w:p>
    <w:p w14:paraId="330668E7"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At each EMA prompt, four substantive items and one free-text deviation note were collected. </w:t>
      </w:r>
      <w:r w:rsidRPr="009D1041">
        <w:rPr>
          <w:b/>
          <w:bCs/>
          <w:color w:val="000000" w:themeColor="text1"/>
        </w:rPr>
        <w:t xml:space="preserve">Mood </w:t>
      </w:r>
      <w:r w:rsidRPr="009D1041">
        <w:rPr>
          <w:color w:val="000000" w:themeColor="text1"/>
        </w:rPr>
        <w:t xml:space="preserve">(current emotional state) was rated on a 0–100 visual slider as a single-item measure of momentary affect (Eisele et al., 2022); see the measurement-error note below. </w:t>
      </w:r>
      <w:r w:rsidRPr="009D1041">
        <w:rPr>
          <w:b/>
          <w:bCs/>
          <w:color w:val="000000" w:themeColor="text1"/>
        </w:rPr>
        <w:t xml:space="preserve">Agency </w:t>
      </w:r>
      <w:r w:rsidRPr="009D1041">
        <w:rPr>
          <w:color w:val="000000" w:themeColor="text1"/>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sidRPr="009D1041">
        <w:rPr>
          <w:b/>
          <w:bCs/>
          <w:color w:val="000000" w:themeColor="text1"/>
        </w:rPr>
        <w:t xml:space="preserve">Metacognition </w:t>
      </w:r>
      <w:r w:rsidRPr="009D1041">
        <w:rPr>
          <w:color w:val="000000" w:themeColor="text1"/>
        </w:rPr>
        <w:t xml:space="preserve">(awareness of current internal state) was rated on a 0–100 slider, operationalizing in-the-moment self-monitoring in the Nelson and Narens (1990) sense (cf. Section 1.3a). </w:t>
      </w:r>
      <w:r w:rsidRPr="009D1041">
        <w:rPr>
          <w:b/>
          <w:bCs/>
          <w:color w:val="000000" w:themeColor="text1"/>
        </w:rPr>
        <w:t xml:space="preserve">Melatonin intake </w:t>
      </w:r>
      <w:r w:rsidRPr="009D1041">
        <w:rPr>
          <w:color w:val="000000" w:themeColor="text1"/>
        </w:rPr>
        <w:t xml:space="preserve">was recorded as a binary indicator (“Did you take melatonin tonight?”) and served as a manipulation check. A free-text </w:t>
      </w:r>
      <w:r w:rsidRPr="009D1041">
        <w:rPr>
          <w:b/>
          <w:bCs/>
          <w:color w:val="000000" w:themeColor="text1"/>
        </w:rPr>
        <w:t xml:space="preserve">override field </w:t>
      </w:r>
      <w:r w:rsidRPr="009D1041">
        <w:rPr>
          <w:color w:val="000000" w:themeColor="text1"/>
        </w:rPr>
        <w:t>captured deviation notes for any prompt completed late, manually, or with anomalies.</w:t>
      </w:r>
    </w:p>
    <w:p w14:paraId="17F324A3"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Prior psychometric work suggests that single-item momentary affect ratings can contain substantial measurement-error variance, with </w:t>
      </w:r>
      <w:proofErr w:type="spellStart"/>
      <w:r w:rsidRPr="009D1041">
        <w:rPr>
          <w:color w:val="000000" w:themeColor="text1"/>
        </w:rPr>
        <w:t>Dejonckheere</w:t>
      </w:r>
      <w:proofErr w:type="spellEnd"/>
      <w:r w:rsidRPr="009D1041">
        <w:rPr>
          <w:color w:val="000000" w:themeColor="text1"/>
        </w:rPr>
        <w:t xml:space="preserve"> et al. (2022) estimating error variance at approximately 27%. This motivates cautious interpretation of small effects in the present study.</w:t>
      </w:r>
    </w:p>
    <w:p w14:paraId="65D135F6"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lastRenderedPageBreak/>
        <w:t>Day-18 protocol amendment</w:t>
      </w:r>
    </w:p>
    <w:p w14:paraId="261019C7"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54 daily aggregates (27 control and 27 melatonin days) and 144 momentary observations; the </w:t>
      </w:r>
      <w:proofErr w:type="gramStart"/>
      <w:r w:rsidRPr="009D1041">
        <w:rPr>
          <w:color w:val="000000" w:themeColor="text1"/>
        </w:rPr>
        <w:t>AR(</w:t>
      </w:r>
      <w:proofErr w:type="gramEnd"/>
      <w:r w:rsidRPr="009D1041">
        <w:rPr>
          <w:color w:val="000000" w:themeColor="text1"/>
        </w:rPr>
        <w:t xml:space="preserve">1) model with lag-1 alignment uses 53 days, because the first day in the window has no within-window predecessor. Mood-only analyses (descriptive statistics, between-condition mean comparison, and the observation-level </w:t>
      </w:r>
      <w:proofErr w:type="gramStart"/>
      <w:r w:rsidRPr="009D1041">
        <w:rPr>
          <w:color w:val="000000" w:themeColor="text1"/>
        </w:rPr>
        <w:t>AR(</w:t>
      </w:r>
      <w:proofErr w:type="gramEnd"/>
      <w:r w:rsidRPr="009D1041">
        <w:rPr>
          <w:color w:val="000000" w:themeColor="text1"/>
        </w:rPr>
        <w:t>1) inertia estimate) use the full 195-observation sample.</w:t>
      </w:r>
    </w:p>
    <w:p w14:paraId="52B9A0FD"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Data acquisition pipeline</w:t>
      </w:r>
    </w:p>
    <w:p w14:paraId="3661DE81"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w:t>
      </w:r>
      <w:proofErr w:type="spellStart"/>
      <w:r w:rsidRPr="009D1041">
        <w:rPr>
          <w:color w:val="000000" w:themeColor="text1"/>
        </w:rPr>
        <w:t>REDCap</w:t>
      </w:r>
      <w:proofErr w:type="spellEnd"/>
      <w:r w:rsidRPr="009D1041">
        <w:rPr>
          <w:color w:val="000000" w:themeColor="text1"/>
        </w:rPr>
        <w:t xml:space="preserve">)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w:t>
      </w:r>
      <w:r w:rsidRPr="009D1041">
        <w:rPr>
          <w:color w:val="000000" w:themeColor="text1"/>
        </w:rPr>
        <w:lastRenderedPageBreak/>
        <w:t>retained as part of the natural EMA sampling process rather than treated as a separate manual-entry condition. Full pipeline source and validation code are available in the project repository (Section 6).</w:t>
      </w:r>
    </w:p>
    <w:p w14:paraId="63A1D779"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2.5 Analytic Strategy</w:t>
      </w:r>
    </w:p>
    <w:p w14:paraId="52D42A47"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2.5.1 Autoregressive model with exogenous inputs</w:t>
      </w:r>
    </w:p>
    <w:p w14:paraId="3066C028" w14:textId="77777777" w:rsidR="00891F74" w:rsidRPr="009D1041" w:rsidRDefault="00891F74" w:rsidP="00891F74">
      <w:pPr>
        <w:spacing w:after="120" w:line="480" w:lineRule="auto"/>
        <w:jc w:val="both"/>
        <w:rPr>
          <w:color w:val="000000" w:themeColor="text1"/>
        </w:rPr>
      </w:pPr>
      <w:r w:rsidRPr="009D1041">
        <w:rPr>
          <w:color w:val="000000" w:themeColor="text1"/>
        </w:rPr>
        <w:t>Three nested autoregressive models were fit to daily mean mood. The baseline model (M0) is a first-order autoregression:</w:t>
      </w:r>
    </w:p>
    <w:p w14:paraId="70E69A9E"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moodₜ = α + φ · moodₜ₋₁ + εₜ</w:t>
      </w:r>
    </w:p>
    <w:p w14:paraId="59C6824D" w14:textId="77777777" w:rsidR="00891F74" w:rsidRPr="009D1041" w:rsidRDefault="00891F74" w:rsidP="00891F74">
      <w:pPr>
        <w:spacing w:after="120" w:line="480" w:lineRule="auto"/>
        <w:jc w:val="both"/>
        <w:rPr>
          <w:color w:val="000000" w:themeColor="text1"/>
        </w:rPr>
      </w:pPr>
      <w:r w:rsidRPr="009D1041">
        <w:rPr>
          <w:color w:val="000000" w:themeColor="text1"/>
        </w:rPr>
        <w:t>Model M1 adds the external probe:</w:t>
      </w:r>
    </w:p>
    <w:p w14:paraId="2F81BB2F"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moodₜ = α + φ · moodₜ₋₁ + β₁ · melatoninₜ + εₜ</w:t>
      </w:r>
    </w:p>
    <w:p w14:paraId="1EF6D38A" w14:textId="77777777" w:rsidR="00891F74" w:rsidRPr="009D1041" w:rsidRDefault="00891F74" w:rsidP="00891F74">
      <w:pPr>
        <w:spacing w:after="120" w:line="480" w:lineRule="auto"/>
        <w:jc w:val="both"/>
        <w:rPr>
          <w:color w:val="000000" w:themeColor="text1"/>
        </w:rPr>
      </w:pPr>
      <w:r w:rsidRPr="009D1041">
        <w:rPr>
          <w:color w:val="000000" w:themeColor="text1"/>
        </w:rPr>
        <w:t>Model M2 adds the internal drivers:</w:t>
      </w:r>
    </w:p>
    <w:p w14:paraId="7E1E2A53"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moodₜ = α + φ · moodₜ₋₁ + β₁ · melatoninₜ + β₂ · agencyₜ + β₃ · metacognitionₜ + εₜ</w:t>
      </w:r>
    </w:p>
    <w:p w14:paraId="664AA025" w14:textId="77777777" w:rsidR="00891F74" w:rsidRPr="009D1041" w:rsidRDefault="00891F74" w:rsidP="00891F74">
      <w:pPr>
        <w:spacing w:after="120" w:line="480" w:lineRule="auto"/>
        <w:jc w:val="both"/>
        <w:rPr>
          <w:color w:val="000000" w:themeColor="text1"/>
        </w:rPr>
      </w:pPr>
      <w:r w:rsidRPr="009D1041">
        <w:rPr>
          <w:color w:val="000000" w:themeColor="text1"/>
        </w:rPr>
        <w:t>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with non-missing lag-1 observations) to ensure that all three models were estimated on identical data, permitting incremental-R² comparison.</w:t>
      </w:r>
    </w:p>
    <w:p w14:paraId="57EE9E28"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2.5.2 State-space model (Kalman filter)</w:t>
      </w:r>
    </w:p>
    <w:p w14:paraId="783641E4" w14:textId="77777777" w:rsidR="00891F74" w:rsidRPr="009D1041" w:rsidRDefault="00891F74" w:rsidP="00891F74">
      <w:pPr>
        <w:spacing w:after="120" w:line="480" w:lineRule="auto"/>
        <w:jc w:val="both"/>
        <w:rPr>
          <w:color w:val="000000" w:themeColor="text1"/>
        </w:rPr>
      </w:pPr>
      <w:r w:rsidRPr="009D1041">
        <w:rPr>
          <w:color w:val="000000" w:themeColor="text1"/>
        </w:rPr>
        <w:t>A local-level (random-walk-plus-noise) state-space model was fit to the daily mood series via maximum-likelihood Kalman filtering, with the following structure:</w:t>
      </w:r>
    </w:p>
    <w:p w14:paraId="548AAE1B"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 xml:space="preserve">Observation:   yₜ = xₜ + </w:t>
      </w:r>
      <w:proofErr w:type="gramStart"/>
      <w:r w:rsidRPr="009D1041">
        <w:rPr>
          <w:i/>
          <w:iCs/>
          <w:color w:val="000000" w:themeColor="text1"/>
        </w:rPr>
        <w:t xml:space="preserve">vₜ,   </w:t>
      </w:r>
      <w:proofErr w:type="gramEnd"/>
      <w:r w:rsidRPr="009D1041">
        <w:rPr>
          <w:i/>
          <w:iCs/>
          <w:color w:val="000000" w:themeColor="text1"/>
        </w:rPr>
        <w:t xml:space="preserve">vₜ ~ </w:t>
      </w:r>
      <w:proofErr w:type="gramStart"/>
      <w:r w:rsidRPr="009D1041">
        <w:rPr>
          <w:i/>
          <w:iCs/>
          <w:color w:val="000000" w:themeColor="text1"/>
        </w:rPr>
        <w:t>N(</w:t>
      </w:r>
      <w:proofErr w:type="gramEnd"/>
      <w:r w:rsidRPr="009D1041">
        <w:rPr>
          <w:i/>
          <w:iCs/>
          <w:color w:val="000000" w:themeColor="text1"/>
        </w:rPr>
        <w:t>0, σ²_v)</w:t>
      </w:r>
    </w:p>
    <w:p w14:paraId="67461966"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 xml:space="preserve">State:        xₜ = xₜ₋₁ + </w:t>
      </w:r>
      <w:proofErr w:type="gramStart"/>
      <w:r w:rsidRPr="009D1041">
        <w:rPr>
          <w:i/>
          <w:iCs/>
          <w:color w:val="000000" w:themeColor="text1"/>
        </w:rPr>
        <w:t xml:space="preserve">wₜ,   </w:t>
      </w:r>
      <w:proofErr w:type="gramEnd"/>
      <w:r w:rsidRPr="009D1041">
        <w:rPr>
          <w:i/>
          <w:iCs/>
          <w:color w:val="000000" w:themeColor="text1"/>
        </w:rPr>
        <w:t xml:space="preserve">wₜ ~ </w:t>
      </w:r>
      <w:proofErr w:type="gramStart"/>
      <w:r w:rsidRPr="009D1041">
        <w:rPr>
          <w:i/>
          <w:iCs/>
          <w:color w:val="000000" w:themeColor="text1"/>
        </w:rPr>
        <w:t>N(</w:t>
      </w:r>
      <w:proofErr w:type="gramEnd"/>
      <w:r w:rsidRPr="009D1041">
        <w:rPr>
          <w:i/>
          <w:iCs/>
          <w:color w:val="000000" w:themeColor="text1"/>
        </w:rPr>
        <w:t>0, σ²_w)</w:t>
      </w:r>
    </w:p>
    <w:p w14:paraId="074944DC" w14:textId="77777777" w:rsidR="00891F74" w:rsidRPr="009D1041" w:rsidRDefault="00891F74" w:rsidP="00891F74">
      <w:pPr>
        <w:spacing w:after="120" w:line="480" w:lineRule="auto"/>
        <w:jc w:val="both"/>
        <w:rPr>
          <w:color w:val="000000" w:themeColor="text1"/>
        </w:rPr>
      </w:pPr>
      <w:r w:rsidRPr="009D1041">
        <w:rPr>
          <w:color w:val="000000" w:themeColor="text1"/>
        </w:rPr>
        <w:lastRenderedPageBreak/>
        <w:t>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14:paraId="20E3677E"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2.5.3 Impulse response and half-life</w:t>
      </w:r>
    </w:p>
    <w:p w14:paraId="4F060FC2"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impulse response function (IRF) for an </w:t>
      </w:r>
      <w:proofErr w:type="gramStart"/>
      <w:r w:rsidRPr="009D1041">
        <w:rPr>
          <w:color w:val="000000" w:themeColor="text1"/>
        </w:rPr>
        <w:t>AR(</w:t>
      </w:r>
      <w:proofErr w:type="gramEnd"/>
      <w:r w:rsidRPr="009D1041">
        <w:rPr>
          <w:color w:val="000000" w:themeColor="text1"/>
        </w:rPr>
        <w:t xml:space="preserve">1) process is given by IRF(h) = </w:t>
      </w:r>
      <w:proofErr w:type="spellStart"/>
      <w:r w:rsidRPr="009D1041">
        <w:rPr>
          <w:color w:val="000000" w:themeColor="text1"/>
        </w:rPr>
        <w:t>φʰ</w:t>
      </w:r>
      <w:proofErr w:type="spellEnd"/>
      <w:r w:rsidRPr="009D1041">
        <w:rPr>
          <w:color w:val="000000" w:themeColor="text1"/>
        </w:rPr>
        <w:t>, and the half-life of an affective perturbation, the number of time steps required for an external impulse to decay to half its initial magnitude, follows directly:</w:t>
      </w:r>
    </w:p>
    <w:p w14:paraId="36976E27"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 xml:space="preserve">half-life = </w:t>
      </w:r>
      <w:proofErr w:type="gramStart"/>
      <w:r w:rsidRPr="009D1041">
        <w:rPr>
          <w:i/>
          <w:iCs/>
          <w:color w:val="000000" w:themeColor="text1"/>
        </w:rPr>
        <w:t>log(</w:t>
      </w:r>
      <w:proofErr w:type="gramEnd"/>
      <w:r w:rsidRPr="009D1041">
        <w:rPr>
          <w:i/>
          <w:iCs/>
          <w:color w:val="000000" w:themeColor="text1"/>
        </w:rPr>
        <w:t>0.5) / log(φ)</w:t>
      </w:r>
    </w:p>
    <w:p w14:paraId="6A699E7D"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IRF was computed at both the daily level and the observation level. The daily-level estimate used the </w:t>
      </w:r>
      <w:proofErr w:type="gramStart"/>
      <w:r w:rsidRPr="009D1041">
        <w:rPr>
          <w:color w:val="000000" w:themeColor="text1"/>
        </w:rPr>
        <w:t>AR(</w:t>
      </w:r>
      <w:proofErr w:type="gramEnd"/>
      <w:r w:rsidRPr="009D1041">
        <w:rPr>
          <w:color w:val="000000" w:themeColor="text1"/>
        </w:rPr>
        <w:t>1) coefficient fit on the full 70-day sample (</w:t>
      </w:r>
      <w:proofErr w:type="spellStart"/>
      <w:r w:rsidRPr="009D1041">
        <w:rPr>
          <w:color w:val="000000" w:themeColor="text1"/>
        </w:rPr>
        <w:t>φ_day</w:t>
      </w:r>
      <w:proofErr w:type="spellEnd"/>
      <w:r w:rsidRPr="009D1041">
        <w:rPr>
          <w:color w:val="000000" w:themeColor="text1"/>
        </w:rPr>
        <w:t>, full sample), which provides a more stable estimate of the system’s typical daily inertia than the Day 18–70 nested-model coefficient (</w:t>
      </w:r>
      <w:proofErr w:type="spellStart"/>
      <w:r w:rsidRPr="009D1041">
        <w:rPr>
          <w:color w:val="000000" w:themeColor="text1"/>
        </w:rPr>
        <w:t>φ_day</w:t>
      </w:r>
      <w:proofErr w:type="spellEnd"/>
      <w:r w:rsidRPr="009D1041">
        <w:rPr>
          <w:color w:val="000000" w:themeColor="text1"/>
        </w:rPr>
        <w:t>, nested) reported in M0. The observation-level estimate (</w:t>
      </w:r>
      <w:proofErr w:type="spellStart"/>
      <w:r w:rsidRPr="009D1041">
        <w:rPr>
          <w:color w:val="000000" w:themeColor="text1"/>
        </w:rPr>
        <w:t>φ_obs</w:t>
      </w:r>
      <w:proofErr w:type="spellEnd"/>
      <w:r w:rsidRPr="009D1041">
        <w:rPr>
          <w:color w:val="000000" w:themeColor="text1"/>
        </w:rPr>
        <w:t>) was fit on the full set of 195 EMA pings, ordered by timestamp; its half-life was converted to physical time using the median between-prompt interval. The choice of sample window for IRF estimation is reported transparently in Section 3.3.</w:t>
      </w:r>
    </w:p>
    <w:p w14:paraId="70F216D2"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2.5.4 Incremental R² comparison</w:t>
      </w:r>
    </w:p>
    <w:p w14:paraId="12626855" w14:textId="77777777" w:rsidR="00891F74" w:rsidRPr="009D1041" w:rsidRDefault="00891F74" w:rsidP="00891F74">
      <w:pPr>
        <w:spacing w:after="120" w:line="480" w:lineRule="auto"/>
        <w:jc w:val="both"/>
        <w:rPr>
          <w:color w:val="000000" w:themeColor="text1"/>
        </w:rPr>
      </w:pPr>
      <w:r w:rsidRPr="009D1041">
        <w:rPr>
          <w:color w:val="000000" w:themeColor="text1"/>
        </w:rPr>
        <w:t>To quantify the internal-versus-external prediction, drop-one incremental R² was computed for each of the three predictors in M2:</w:t>
      </w:r>
    </w:p>
    <w:p w14:paraId="644949E3"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ΔR²(predictor) = R</w:t>
      </w:r>
      <w:proofErr w:type="gramStart"/>
      <w:r w:rsidRPr="009D1041">
        <w:rPr>
          <w:i/>
          <w:iCs/>
          <w:color w:val="000000" w:themeColor="text1"/>
        </w:rPr>
        <w:t>²(</w:t>
      </w:r>
      <w:proofErr w:type="gramEnd"/>
      <w:r w:rsidRPr="009D1041">
        <w:rPr>
          <w:i/>
          <w:iCs/>
          <w:color w:val="000000" w:themeColor="text1"/>
        </w:rPr>
        <w:t>M2 with predictor) − R</w:t>
      </w:r>
      <w:proofErr w:type="gramStart"/>
      <w:r w:rsidRPr="009D1041">
        <w:rPr>
          <w:i/>
          <w:iCs/>
          <w:color w:val="000000" w:themeColor="text1"/>
        </w:rPr>
        <w:t>²(</w:t>
      </w:r>
      <w:proofErr w:type="gramEnd"/>
      <w:r w:rsidRPr="009D1041">
        <w:rPr>
          <w:i/>
          <w:iCs/>
          <w:color w:val="000000" w:themeColor="text1"/>
        </w:rPr>
        <w:t>M2 without predictor)</w:t>
      </w:r>
    </w:p>
    <w:p w14:paraId="6AA46E77" w14:textId="77777777" w:rsidR="00891F74" w:rsidRPr="009D1041" w:rsidRDefault="00891F74" w:rsidP="00891F74">
      <w:pPr>
        <w:spacing w:after="120" w:line="480" w:lineRule="auto"/>
        <w:jc w:val="both"/>
        <w:rPr>
          <w:color w:val="000000" w:themeColor="text1"/>
        </w:rPr>
      </w:pPr>
      <w:r w:rsidRPr="009D1041">
        <w:rPr>
          <w:color w:val="000000" w:themeColor="text1"/>
        </w:rPr>
        <w:t>This decomposition isolates the unique variance each predictor accounts for over and above the others, permitting direct comparison of the magnitudes of the agency and metacognition contributions to the magnitude of the melatonin contribution.</w:t>
      </w:r>
    </w:p>
    <w:p w14:paraId="412EC5BD"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lastRenderedPageBreak/>
        <w:t xml:space="preserve">2.5.5 </w:t>
      </w:r>
      <w:proofErr w:type="spellStart"/>
      <w:r w:rsidRPr="009D1041">
        <w:rPr>
          <w:rFonts w:ascii="Times New Roman" w:eastAsia="Times New Roman" w:hAnsi="Times New Roman" w:cs="Times New Roman"/>
          <w:b/>
          <w:bCs/>
          <w:i/>
          <w:iCs/>
          <w:color w:val="000000" w:themeColor="text1"/>
          <w:sz w:val="24"/>
          <w:szCs w:val="24"/>
        </w:rPr>
        <w:t>Metacontrol</w:t>
      </w:r>
      <w:proofErr w:type="spellEnd"/>
      <w:r w:rsidRPr="009D1041">
        <w:rPr>
          <w:rFonts w:ascii="Times New Roman" w:eastAsia="Times New Roman" w:hAnsi="Times New Roman" w:cs="Times New Roman"/>
          <w:b/>
          <w:bCs/>
          <w:i/>
          <w:iCs/>
          <w:color w:val="000000" w:themeColor="text1"/>
          <w:sz w:val="24"/>
          <w:szCs w:val="24"/>
        </w:rPr>
        <w:t xml:space="preserve"> interaction</w:t>
      </w:r>
    </w:p>
    <w:p w14:paraId="3A64BCD3"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w:t>
      </w:r>
      <w:proofErr w:type="spellStart"/>
      <w:r w:rsidRPr="009D1041">
        <w:rPr>
          <w:color w:val="000000" w:themeColor="text1"/>
        </w:rPr>
        <w:t>metacontrol</w:t>
      </w:r>
      <w:proofErr w:type="spellEnd"/>
      <w:r w:rsidRPr="009D1041">
        <w:rPr>
          <w:color w:val="000000" w:themeColor="text1"/>
        </w:rPr>
        <w:t xml:space="preserve"> hypothesis, that metacognitive awareness moderates the system’s responsiveness to external perturbation, was tested by adding a melatonin × metacognition interaction term, with metacognition mean-centered:</w:t>
      </w:r>
    </w:p>
    <w:p w14:paraId="45ACCA56"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 xml:space="preserve">moodₜ = α + φ · moodₜ₋₁ + β₁ · melatoninₜ + β₂ · </w:t>
      </w:r>
      <w:proofErr w:type="spellStart"/>
      <w:r w:rsidRPr="009D1041">
        <w:rPr>
          <w:i/>
          <w:iCs/>
          <w:color w:val="000000" w:themeColor="text1"/>
        </w:rPr>
        <w:t>meta_c</w:t>
      </w:r>
      <w:proofErr w:type="spellEnd"/>
      <w:r w:rsidRPr="009D1041">
        <w:rPr>
          <w:i/>
          <w:iCs/>
          <w:color w:val="000000" w:themeColor="text1"/>
        </w:rPr>
        <w:t xml:space="preserve">ₜ + β₃ · (melatoninₜ × </w:t>
      </w:r>
      <w:proofErr w:type="spellStart"/>
      <w:r w:rsidRPr="009D1041">
        <w:rPr>
          <w:i/>
          <w:iCs/>
          <w:color w:val="000000" w:themeColor="text1"/>
        </w:rPr>
        <w:t>meta_c</w:t>
      </w:r>
      <w:proofErr w:type="spellEnd"/>
      <w:r w:rsidRPr="009D1041">
        <w:rPr>
          <w:i/>
          <w:iCs/>
          <w:color w:val="000000" w:themeColor="text1"/>
        </w:rPr>
        <w:t>ₜ) + εₜ</w:t>
      </w:r>
    </w:p>
    <w:p w14:paraId="10DB1D5C"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A negative β₃ is predicted by the </w:t>
      </w:r>
      <w:proofErr w:type="spellStart"/>
      <w:r w:rsidRPr="009D1041">
        <w:rPr>
          <w:color w:val="000000" w:themeColor="text1"/>
        </w:rPr>
        <w:t>metacontrol</w:t>
      </w:r>
      <w:proofErr w:type="spellEnd"/>
      <w:r w:rsidRPr="009D1041">
        <w:rPr>
          <w:color w:val="000000" w:themeColor="text1"/>
        </w:rPr>
        <w:t xml:space="preserve"> hypothesis: higher metacognition would attenuate the system’s sensitivity to the external probe. Simple slopes for melatonin were computed at −1 SD, the mean, and +1 SD of metacognition.</w:t>
      </w:r>
    </w:p>
    <w:p w14:paraId="41021D47"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2.5.6 Affective variability</w:t>
      </w:r>
    </w:p>
    <w:p w14:paraId="0929F1E1" w14:textId="77777777" w:rsidR="00891F74" w:rsidRPr="009D1041" w:rsidRDefault="00891F74" w:rsidP="00891F74">
      <w:pPr>
        <w:spacing w:after="120" w:line="480" w:lineRule="auto"/>
        <w:jc w:val="both"/>
        <w:rPr>
          <w:color w:val="000000" w:themeColor="text1"/>
        </w:rPr>
      </w:pPr>
      <w:r w:rsidRPr="009D1041">
        <w:rPr>
          <w:color w:val="000000" w:themeColor="text1"/>
        </w:rPr>
        <w:t>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14:paraId="29310A59"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2.5.7 State-dependent decay (sensitivity)</w:t>
      </w:r>
    </w:p>
    <w:p w14:paraId="5966C85B"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To examine whether the </w:t>
      </w:r>
      <w:proofErr w:type="gramStart"/>
      <w:r w:rsidRPr="009D1041">
        <w:rPr>
          <w:color w:val="000000" w:themeColor="text1"/>
        </w:rPr>
        <w:t>AR(</w:t>
      </w:r>
      <w:proofErr w:type="gramEnd"/>
      <w:r w:rsidRPr="009D1041">
        <w:rPr>
          <w:color w:val="000000" w:themeColor="text1"/>
        </w:rPr>
        <w:t>1) decay rate itself differs by condition, the M0 specification was augmented with a melatonin × moodₜ₋₁ interaction:</w:t>
      </w:r>
    </w:p>
    <w:p w14:paraId="57212499" w14:textId="77777777" w:rsidR="00891F74" w:rsidRPr="009D1041" w:rsidRDefault="00891F74" w:rsidP="00891F74">
      <w:pPr>
        <w:spacing w:before="120" w:after="120" w:line="360" w:lineRule="auto"/>
        <w:ind w:left="720" w:right="720"/>
        <w:jc w:val="center"/>
        <w:rPr>
          <w:color w:val="000000" w:themeColor="text1"/>
        </w:rPr>
      </w:pPr>
      <w:r w:rsidRPr="009D1041">
        <w:rPr>
          <w:i/>
          <w:iCs/>
          <w:color w:val="000000" w:themeColor="text1"/>
        </w:rPr>
        <w:t>moodₜ = α + φ₀ · moodₜ₋₁ + β · melatoninₜ + δ · (melatoninₜ × moodₜ₋₁) + εₜ</w:t>
      </w:r>
    </w:p>
    <w:p w14:paraId="2D85DDBF" w14:textId="77777777" w:rsidR="00891F74" w:rsidRPr="009D1041" w:rsidRDefault="00891F74" w:rsidP="00891F74">
      <w:pPr>
        <w:spacing w:after="120" w:line="480" w:lineRule="auto"/>
        <w:jc w:val="both"/>
        <w:rPr>
          <w:color w:val="000000" w:themeColor="text1"/>
        </w:rPr>
      </w:pPr>
      <w:r w:rsidRPr="009D1041">
        <w:rPr>
          <w:color w:val="000000" w:themeColor="text1"/>
        </w:rPr>
        <w:lastRenderedPageBreak/>
        <w:t>The implied φ in each condition is then φ₀ (control) and φ₀ + δ (melatonin). A negative δ would indicate that perturbations decay faster on melatonin days, that is, that the system recovers more quickly. Given the limited sample size for an interaction of this kind, this analysis is reported as a sensitivity check rather than a primary test.</w:t>
      </w:r>
    </w:p>
    <w:p w14:paraId="0398ABE7"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2.5.8 Robustness check</w:t>
      </w:r>
    </w:p>
    <w:p w14:paraId="13076349" w14:textId="77777777" w:rsidR="00891F74" w:rsidRPr="009D1041" w:rsidRDefault="00891F74" w:rsidP="00891F74">
      <w:pPr>
        <w:spacing w:after="120" w:line="480" w:lineRule="auto"/>
        <w:jc w:val="both"/>
        <w:rPr>
          <w:color w:val="000000" w:themeColor="text1"/>
        </w:rPr>
      </w:pPr>
      <w:r w:rsidRPr="009D1041">
        <w:rPr>
          <w:color w:val="000000" w:themeColor="text1"/>
        </w:rPr>
        <w:t>One robustness check was performed: an agency × melatonin interaction term was added to the M2 framework to test whether the agency–mood relation was robust across conditions. Results are reported in Section 3.5.</w:t>
      </w:r>
    </w:p>
    <w:p w14:paraId="1D789AFF"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t>2.5.9 Supplementary Bayesian robustness analysis</w:t>
      </w:r>
    </w:p>
    <w:p w14:paraId="36DEFA4F" w14:textId="77777777" w:rsidR="00891F74" w:rsidRPr="009D1041" w:rsidRDefault="00891F74" w:rsidP="00891F74">
      <w:pPr>
        <w:spacing w:after="120" w:line="480" w:lineRule="auto"/>
        <w:jc w:val="both"/>
        <w:rPr>
          <w:color w:val="000000" w:themeColor="text1"/>
        </w:rPr>
      </w:pPr>
      <w:r w:rsidRPr="009D1041">
        <w:rPr>
          <w:color w:val="000000" w:themeColor="text1"/>
        </w:rPr>
        <w:t>As a supplementary robustness check, the primary M2 regression (Section 2.5.1) was re-estimated in a Bayesian framework using brms (</w:t>
      </w:r>
      <w:proofErr w:type="spellStart"/>
      <w:r w:rsidRPr="009D1041">
        <w:rPr>
          <w:color w:val="000000" w:themeColor="text1"/>
        </w:rPr>
        <w:t>Bürkner</w:t>
      </w:r>
      <w:proofErr w:type="spellEnd"/>
      <w:r w:rsidRPr="009D1041">
        <w:rPr>
          <w:color w:val="000000" w:themeColor="text1"/>
        </w:rPr>
        <w:t>,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w:t>
      </w:r>
      <w:proofErr w:type="gramStart"/>
      <w:r w:rsidRPr="009D1041">
        <w:rPr>
          <w:color w:val="000000" w:themeColor="text1"/>
        </w:rPr>
        <w:t>Normal(</w:t>
      </w:r>
      <w:proofErr w:type="gramEnd"/>
      <w:r w:rsidRPr="009D1041">
        <w:rPr>
          <w:color w:val="000000" w:themeColor="text1"/>
        </w:rPr>
        <w:t>0, 1)), the intercept (Student-</w:t>
      </w:r>
      <w:proofErr w:type="gramStart"/>
      <w:r w:rsidRPr="009D1041">
        <w:rPr>
          <w:color w:val="000000" w:themeColor="text1"/>
        </w:rPr>
        <w:t>t(</w:t>
      </w:r>
      <w:proofErr w:type="gramEnd"/>
      <w:r w:rsidRPr="009D1041">
        <w:rPr>
          <w:color w:val="000000" w:themeColor="text1"/>
        </w:rPr>
        <w:t>3, 0, 2.5)), and the residual standard deviation (</w:t>
      </w:r>
      <w:proofErr w:type="gramStart"/>
      <w:r w:rsidRPr="009D1041">
        <w:rPr>
          <w:color w:val="000000" w:themeColor="text1"/>
        </w:rPr>
        <w:t>Exponential(</w:t>
      </w:r>
      <w:proofErr w:type="gramEnd"/>
      <w:r w:rsidRPr="009D1041">
        <w:rPr>
          <w:color w:val="000000" w:themeColor="text1"/>
        </w:rPr>
        <w:t xml:space="preserve">1)). Four chains were run for 4,000 iterations each with 1,000 warmup iterations and </w:t>
      </w:r>
      <w:proofErr w:type="spellStart"/>
      <w:r w:rsidRPr="009D1041">
        <w:rPr>
          <w:color w:val="000000" w:themeColor="text1"/>
        </w:rPr>
        <w:t>adapt_delta</w:t>
      </w:r>
      <w:proofErr w:type="spellEnd"/>
      <w:r w:rsidRPr="009D1041">
        <w:rPr>
          <w:color w:val="000000" w:themeColor="text1"/>
        </w:rPr>
        <w:t xml:space="preserve"> = 0.95, yielding 12,000 post-warmup posterior draws per parameter. A secondary Bayesian model additionally included a melatonin × metacognition interaction to provide a Bayesian counterpart of the </w:t>
      </w:r>
      <w:proofErr w:type="spellStart"/>
      <w:r w:rsidRPr="009D1041">
        <w:rPr>
          <w:color w:val="000000" w:themeColor="text1"/>
        </w:rPr>
        <w:t>metacontrol</w:t>
      </w:r>
      <w:proofErr w:type="spellEnd"/>
      <w:r w:rsidRPr="009D1041">
        <w:rPr>
          <w:color w:val="000000" w:themeColor="text1"/>
        </w:rPr>
        <w:t xml:space="preserve"> test (Section 2.5.5).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14:paraId="23358217" w14:textId="77777777" w:rsidR="00891F74" w:rsidRPr="009D1041" w:rsidRDefault="00891F74" w:rsidP="00891F74">
      <w:pPr>
        <w:pStyle w:val="Heading3"/>
        <w:spacing w:line="360" w:lineRule="auto"/>
        <w:rPr>
          <w:color w:val="000000" w:themeColor="text1"/>
        </w:rPr>
      </w:pPr>
      <w:r w:rsidRPr="009D1041">
        <w:rPr>
          <w:rFonts w:ascii="Times New Roman" w:eastAsia="Times New Roman" w:hAnsi="Times New Roman" w:cs="Times New Roman"/>
          <w:b/>
          <w:bCs/>
          <w:i/>
          <w:iCs/>
          <w:color w:val="000000" w:themeColor="text1"/>
          <w:sz w:val="24"/>
          <w:szCs w:val="24"/>
        </w:rPr>
        <w:lastRenderedPageBreak/>
        <w:t>Software</w:t>
      </w:r>
    </w:p>
    <w:p w14:paraId="56CC7A94"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Primary analyses were performed in Python 3.11 using </w:t>
      </w:r>
      <w:proofErr w:type="spellStart"/>
      <w:r w:rsidRPr="009D1041">
        <w:rPr>
          <w:i/>
          <w:iCs/>
          <w:color w:val="000000" w:themeColor="text1"/>
        </w:rPr>
        <w:t>statsmodels</w:t>
      </w:r>
      <w:proofErr w:type="spellEnd"/>
      <w:r w:rsidRPr="009D1041">
        <w:rPr>
          <w:color w:val="000000" w:themeColor="text1"/>
        </w:rPr>
        <w:t xml:space="preserve"> (Seabold &amp; </w:t>
      </w:r>
      <w:proofErr w:type="spellStart"/>
      <w:r w:rsidRPr="009D1041">
        <w:rPr>
          <w:color w:val="000000" w:themeColor="text1"/>
        </w:rPr>
        <w:t>Perktold</w:t>
      </w:r>
      <w:proofErr w:type="spellEnd"/>
      <w:r w:rsidRPr="009D1041">
        <w:rPr>
          <w:color w:val="000000" w:themeColor="text1"/>
        </w:rPr>
        <w:t xml:space="preserve">, 2010) for OLS and state-space modeling, </w:t>
      </w:r>
      <w:proofErr w:type="spellStart"/>
      <w:proofErr w:type="gramStart"/>
      <w:r w:rsidRPr="009D1041">
        <w:rPr>
          <w:i/>
          <w:iCs/>
          <w:color w:val="000000" w:themeColor="text1"/>
        </w:rPr>
        <w:t>scipy.stats</w:t>
      </w:r>
      <w:proofErr w:type="spellEnd"/>
      <w:proofErr w:type="gramEnd"/>
      <w:r w:rsidRPr="009D1041">
        <w:rPr>
          <w:color w:val="000000" w:themeColor="text1"/>
        </w:rPr>
        <w:t xml:space="preserve"> for nonparametric tests, and </w:t>
      </w:r>
      <w:r w:rsidRPr="009D1041">
        <w:rPr>
          <w:i/>
          <w:iCs/>
          <w:color w:val="000000" w:themeColor="text1"/>
        </w:rPr>
        <w:t>pandas</w:t>
      </w:r>
      <w:r w:rsidRPr="009D1041">
        <w:rPr>
          <w:color w:val="000000" w:themeColor="text1"/>
        </w:rPr>
        <w:t xml:space="preserve"> and </w:t>
      </w:r>
      <w:r w:rsidRPr="009D1041">
        <w:rPr>
          <w:i/>
          <w:iCs/>
          <w:color w:val="000000" w:themeColor="text1"/>
        </w:rPr>
        <w:t>NumPy</w:t>
      </w:r>
      <w:r w:rsidRPr="009D1041">
        <w:rPr>
          <w:color w:val="000000" w:themeColor="text1"/>
        </w:rPr>
        <w:t xml:space="preserve"> for data handling. Figures were produced with </w:t>
      </w:r>
      <w:r w:rsidRPr="009D1041">
        <w:rPr>
          <w:i/>
          <w:iCs/>
          <w:color w:val="000000" w:themeColor="text1"/>
        </w:rPr>
        <w:t>matplotlib</w:t>
      </w:r>
      <w:r w:rsidRPr="009D1041">
        <w:rPr>
          <w:color w:val="000000" w:themeColor="text1"/>
        </w:rPr>
        <w:t xml:space="preserve">. Supplementary Bayesian robustness models were fit in R 4.5 using </w:t>
      </w:r>
      <w:r w:rsidRPr="009D1041">
        <w:rPr>
          <w:i/>
          <w:iCs/>
          <w:color w:val="000000" w:themeColor="text1"/>
        </w:rPr>
        <w:t>brms</w:t>
      </w:r>
      <w:r w:rsidRPr="009D1041">
        <w:rPr>
          <w:color w:val="000000" w:themeColor="text1"/>
        </w:rPr>
        <w:t xml:space="preserve"> (</w:t>
      </w:r>
      <w:proofErr w:type="spellStart"/>
      <w:r w:rsidRPr="009D1041">
        <w:rPr>
          <w:color w:val="000000" w:themeColor="text1"/>
        </w:rPr>
        <w:t>Bürkner</w:t>
      </w:r>
      <w:proofErr w:type="spellEnd"/>
      <w:r w:rsidRPr="009D1041">
        <w:rPr>
          <w:color w:val="000000" w:themeColor="text1"/>
        </w:rPr>
        <w:t>, 2017) with Stan used for MCMC posterior sampling. Analysis code is available in the project repository described in Section 6.</w:t>
      </w:r>
    </w:p>
    <w:p w14:paraId="7D8771E1"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3. Results</w:t>
      </w:r>
    </w:p>
    <w:p w14:paraId="5028B714"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3.1 Sample and Descriptive Statistics</w:t>
      </w:r>
    </w:p>
    <w:p w14:paraId="45045B26" w14:textId="77777777" w:rsidR="00891F74" w:rsidRPr="009D1041" w:rsidRDefault="00891F74" w:rsidP="00891F74">
      <w:pPr>
        <w:spacing w:after="120" w:line="480" w:lineRule="auto"/>
        <w:jc w:val="both"/>
        <w:rPr>
          <w:color w:val="000000" w:themeColor="text1"/>
        </w:rPr>
      </w:pPr>
      <w:r w:rsidRPr="009D1041">
        <w:rPr>
          <w:color w:val="000000" w:themeColor="text1"/>
        </w:rPr>
        <w:t>Of 210 planned EMA observations across the 70-day study window (2026-02-18 to 2026-04-29), 195 were recorded, yielding a compliance rate of 92.9% (55 calendar dates with three observations, 14 with two, 2 with one). As described in Section 2.3, the protocol’s evening-start convention produced 71 calendar-date partitions across the 70 planned study days, with 35 control and 36 melatonin daily aggregates. Within the Day 18–70 window in which agency and metacognition were also collected, 27 control and 27 melatonin days yielded 144 complete observations.</w:t>
      </w:r>
    </w:p>
    <w:p w14:paraId="53299553" w14:textId="77777777" w:rsidR="00891F74" w:rsidRPr="009D1041" w:rsidRDefault="00891F74" w:rsidP="00891F74">
      <w:pPr>
        <w:spacing w:after="120" w:line="480" w:lineRule="auto"/>
        <w:jc w:val="both"/>
        <w:rPr>
          <w:color w:val="000000" w:themeColor="text1"/>
        </w:rPr>
      </w:pPr>
      <w:r w:rsidRPr="009D1041">
        <w:rPr>
          <w:color w:val="000000" w:themeColor="text1"/>
        </w:rPr>
        <w:t>Daily mean mood was high overall (M = 77.18, SD = 5.59), with a range from 50.00 to 86.50 across the 70-day window. By condition, daily mood averaged 76.67 (SD = 6.41) on control days and 77.70 (SD = 4.47) on melatonin days. Daily agency averaged 77.71 (SD = 4.50) on control days and 78.57 (SD = 3.16) on melatonin days. Daily metacognition averaged 79.39 (SD = 3.98) on control days and 80.10 (SD = 3.25) on melatonin days. The descriptive time series of daily mean mood and of all 195 momentary mood observations are shown in Figures 1 and 2, respectively, with melatonin and control days color-coded.</w:t>
      </w:r>
    </w:p>
    <w:p w14:paraId="7D5266CB" w14:textId="77777777" w:rsidR="00891F74" w:rsidRPr="009D1041" w:rsidRDefault="00891F74" w:rsidP="00891F74">
      <w:pPr>
        <w:spacing w:before="240" w:after="60"/>
        <w:jc w:val="center"/>
        <w:rPr>
          <w:color w:val="000000" w:themeColor="text1"/>
        </w:rPr>
      </w:pPr>
      <w:r w:rsidRPr="009D1041">
        <w:rPr>
          <w:noProof/>
          <w:color w:val="000000" w:themeColor="text1"/>
        </w:rPr>
        <w:lastRenderedPageBreak/>
        <w:drawing>
          <wp:inline distT="0" distB="0" distL="0" distR="0" wp14:anchorId="07E336F0" wp14:editId="32BF3FD3">
            <wp:extent cx="5138208" cy="2245587"/>
            <wp:effectExtent l="0" t="0" r="0" b="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38208" cy="2245587"/>
                    </a:xfrm>
                    <a:prstGeom prst="rect">
                      <a:avLst/>
                    </a:prstGeom>
                  </pic:spPr>
                </pic:pic>
              </a:graphicData>
            </a:graphic>
          </wp:inline>
        </w:drawing>
      </w:r>
    </w:p>
    <w:p w14:paraId="5D3E6B30"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t xml:space="preserve">Figure 1. </w:t>
      </w:r>
      <w:r w:rsidRPr="009D1041">
        <w:rPr>
          <w:color w:val="000000" w:themeColor="text1"/>
          <w:sz w:val="22"/>
          <w:szCs w:val="22"/>
        </w:rPr>
        <w:t>Daily mean mood across the 70-day window.</w:t>
      </w:r>
    </w:p>
    <w:p w14:paraId="3EA2EA6D"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Each dot represents the average of up to three EMA observations on that day, colored by daily condition (control or melatonin). The light gray line connects daily means; the dotted vertical line at Day 18 marks the point at which agency and metacognition items were added to the protocol.</w:t>
      </w:r>
    </w:p>
    <w:p w14:paraId="0B083736" w14:textId="77777777" w:rsidR="00891F74" w:rsidRPr="009D1041" w:rsidRDefault="00891F74" w:rsidP="00891F74">
      <w:pPr>
        <w:spacing w:before="240" w:after="60"/>
        <w:jc w:val="center"/>
        <w:rPr>
          <w:color w:val="000000" w:themeColor="text1"/>
        </w:rPr>
      </w:pPr>
      <w:r w:rsidRPr="009D1041">
        <w:rPr>
          <w:noProof/>
          <w:color w:val="000000" w:themeColor="text1"/>
        </w:rPr>
        <w:drawing>
          <wp:inline distT="0" distB="0" distL="0" distR="0" wp14:anchorId="6E0042B0" wp14:editId="1B0B4D41">
            <wp:extent cx="5138208" cy="2245587"/>
            <wp:effectExtent l="0" t="0" r="0" b="0"/>
            <wp:docPr id="2030419587"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38208" cy="2245587"/>
                    </a:xfrm>
                    <a:prstGeom prst="rect">
                      <a:avLst/>
                    </a:prstGeom>
                  </pic:spPr>
                </pic:pic>
              </a:graphicData>
            </a:graphic>
          </wp:inline>
        </w:drawing>
      </w:r>
    </w:p>
    <w:p w14:paraId="553ABD66"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t xml:space="preserve">Figure 2. </w:t>
      </w:r>
      <w:r w:rsidRPr="009D1041">
        <w:rPr>
          <w:color w:val="000000" w:themeColor="text1"/>
          <w:sz w:val="22"/>
          <w:szCs w:val="22"/>
        </w:rPr>
        <w:t>All momentary mood observations with 7-day rolling mean.</w:t>
      </w:r>
    </w:p>
    <w:p w14:paraId="4980E764"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All 195 momentary mood observations are colored by daily condition. The dark line shows the 7-day rolling mean, indicating a gradual upward trend that stabilizes from approximately Day 40 onward.</w:t>
      </w:r>
    </w:p>
    <w:p w14:paraId="7139D266"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3.2 Internal Drivers as Primary Predictors of Daily Mood</w:t>
      </w:r>
    </w:p>
    <w:p w14:paraId="5249828C"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Three nested autoregressive models were fit to daily mean mood on the Day 18–70 subsample (n = 53 days; Table 1). The baseline </w:t>
      </w:r>
      <w:proofErr w:type="gramStart"/>
      <w:r w:rsidRPr="009D1041">
        <w:rPr>
          <w:color w:val="000000" w:themeColor="text1"/>
        </w:rPr>
        <w:t>AR(</w:t>
      </w:r>
      <w:proofErr w:type="gramEnd"/>
      <w:r w:rsidRPr="009D1041">
        <w:rPr>
          <w:color w:val="000000" w:themeColor="text1"/>
        </w:rPr>
        <w:t xml:space="preserve">1) model (M0) yielded φ = 0.33, 95% CI [0.07, 0.60], p = .014, accounting for 11.1% of the variance in daily mood and confirming the presence of day-to-day emotional inertia. Adding the melatonin probe (M1) increased explained variance only </w:t>
      </w:r>
      <w:r w:rsidRPr="009D1041">
        <w:rPr>
          <w:color w:val="000000" w:themeColor="text1"/>
        </w:rPr>
        <w:lastRenderedPageBreak/>
        <w:t>marginally (R² = 0.121, ΔR² = 0.010; β = 0.73, 95% CI [−1.23, 2.70], p = .456). Adding the two internal drivers (M2) increased explained variance dramatically (R² = 0.637, adjusted R² = 0.607).</w:t>
      </w:r>
    </w:p>
    <w:p w14:paraId="6922197C" w14:textId="77777777" w:rsidR="00891F74" w:rsidRPr="009D1041" w:rsidRDefault="00891F74" w:rsidP="00891F74">
      <w:pPr>
        <w:spacing w:after="120" w:line="480" w:lineRule="auto"/>
        <w:jc w:val="both"/>
        <w:rPr>
          <w:color w:val="000000" w:themeColor="text1"/>
        </w:rPr>
      </w:pPr>
      <w:r w:rsidRPr="009D1041">
        <w:rPr>
          <w:color w:val="000000" w:themeColor="text1"/>
        </w:rPr>
        <w:t>In the full M2 model, agency emerged as a strong positive predictor of daily mood (β = 0.54, 95% CI [0.33, 0.74], p &lt; .001), as did metacognition (β = 0.44, 95% CI [0.20, 0.67], p &lt; .001). The melatonin coefficient was estimated near zero (β = 0.06, 95% CI [−1.24, 1.36], p = .927). The autoregressive coefficient flipped sign in the full model and was no longer reliably distinguishable from zero (β = −0.13, 95% CI [−0.34, 0.08], p = .218), suggesting that the apparent emotional inertia detected by M0 was substantially absorbed by the two internal drivers once they were included as predictors.</w:t>
      </w:r>
    </w:p>
    <w:p w14:paraId="5C38A813" w14:textId="77777777" w:rsidR="00891F74" w:rsidRPr="009D1041" w:rsidRDefault="00891F74" w:rsidP="00891F74">
      <w:pPr>
        <w:spacing w:before="240" w:after="60" w:line="320" w:lineRule="auto"/>
        <w:rPr>
          <w:color w:val="000000" w:themeColor="text1"/>
        </w:rPr>
      </w:pPr>
      <w:r w:rsidRPr="009D1041">
        <w:rPr>
          <w:b/>
          <w:bCs/>
          <w:i/>
          <w:iCs/>
          <w:color w:val="000000" w:themeColor="text1"/>
          <w:sz w:val="22"/>
          <w:szCs w:val="22"/>
        </w:rPr>
        <w:t xml:space="preserve">Table 1. </w:t>
      </w:r>
      <w:r w:rsidRPr="009D1041">
        <w:rPr>
          <w:i/>
          <w:iCs/>
          <w:color w:val="000000" w:themeColor="text1"/>
          <w:sz w:val="22"/>
          <w:szCs w:val="22"/>
        </w:rPr>
        <w:t>Coefficient estimates for nested autoregressive models of daily mood.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1100"/>
        <w:gridCol w:w="3000"/>
        <w:gridCol w:w="1760"/>
      </w:tblGrid>
      <w:tr w:rsidR="00891F74" w:rsidRPr="009D1041" w14:paraId="3995E404" w14:textId="77777777" w:rsidTr="001F0BA9">
        <w:tc>
          <w:tcPr>
            <w:tcW w:w="24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0494CEAD" w14:textId="77777777" w:rsidR="00891F74" w:rsidRPr="009D1041" w:rsidRDefault="00891F74" w:rsidP="001F0BA9">
            <w:pPr>
              <w:rPr>
                <w:color w:val="000000" w:themeColor="text1"/>
              </w:rPr>
            </w:pPr>
            <w:r w:rsidRPr="009D1041">
              <w:rPr>
                <w:b/>
                <w:bCs/>
                <w:color w:val="000000" w:themeColor="text1"/>
                <w:sz w:val="20"/>
                <w:szCs w:val="20"/>
              </w:rPr>
              <w:t>Term</w:t>
            </w:r>
          </w:p>
        </w:tc>
        <w:tc>
          <w:tcPr>
            <w:tcW w:w="11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5BC97A4B" w14:textId="77777777" w:rsidR="00891F74" w:rsidRPr="009D1041" w:rsidRDefault="00891F74" w:rsidP="001F0BA9">
            <w:pPr>
              <w:jc w:val="center"/>
              <w:rPr>
                <w:color w:val="000000" w:themeColor="text1"/>
              </w:rPr>
            </w:pPr>
            <w:r w:rsidRPr="009D1041">
              <w:rPr>
                <w:b/>
                <w:bCs/>
                <w:color w:val="000000" w:themeColor="text1"/>
                <w:sz w:val="20"/>
                <w:szCs w:val="20"/>
              </w:rPr>
              <w:t>β</w:t>
            </w:r>
          </w:p>
        </w:tc>
        <w:tc>
          <w:tcPr>
            <w:tcW w:w="11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5B6578F8" w14:textId="77777777" w:rsidR="00891F74" w:rsidRPr="009D1041" w:rsidRDefault="00891F74" w:rsidP="001F0BA9">
            <w:pPr>
              <w:jc w:val="center"/>
              <w:rPr>
                <w:color w:val="000000" w:themeColor="text1"/>
              </w:rPr>
            </w:pPr>
            <w:r w:rsidRPr="009D1041">
              <w:rPr>
                <w:b/>
                <w:bCs/>
                <w:color w:val="000000" w:themeColor="text1"/>
                <w:sz w:val="20"/>
                <w:szCs w:val="20"/>
              </w:rPr>
              <w:t>SE</w:t>
            </w:r>
          </w:p>
        </w:tc>
        <w:tc>
          <w:tcPr>
            <w:tcW w:w="30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5EDEA73F" w14:textId="77777777" w:rsidR="00891F74" w:rsidRPr="009D1041" w:rsidRDefault="00891F74" w:rsidP="001F0BA9">
            <w:pPr>
              <w:jc w:val="center"/>
              <w:rPr>
                <w:color w:val="000000" w:themeColor="text1"/>
              </w:rPr>
            </w:pPr>
            <w:r w:rsidRPr="009D1041">
              <w:rPr>
                <w:b/>
                <w:bCs/>
                <w:color w:val="000000" w:themeColor="text1"/>
                <w:sz w:val="20"/>
                <w:szCs w:val="20"/>
              </w:rPr>
              <w:t>95% CI</w:t>
            </w:r>
          </w:p>
        </w:tc>
        <w:tc>
          <w:tcPr>
            <w:tcW w:w="176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1EC2FDF8" w14:textId="77777777" w:rsidR="00891F74" w:rsidRPr="009D1041" w:rsidRDefault="00891F74" w:rsidP="001F0BA9">
            <w:pPr>
              <w:jc w:val="center"/>
              <w:rPr>
                <w:color w:val="000000" w:themeColor="text1"/>
              </w:rPr>
            </w:pPr>
            <w:r w:rsidRPr="009D1041">
              <w:rPr>
                <w:b/>
                <w:bCs/>
                <w:color w:val="000000" w:themeColor="text1"/>
                <w:sz w:val="20"/>
                <w:szCs w:val="20"/>
              </w:rPr>
              <w:t>p</w:t>
            </w:r>
          </w:p>
        </w:tc>
      </w:tr>
      <w:tr w:rsidR="00891F74" w:rsidRPr="009D1041" w14:paraId="5FC57318"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6594DE3" w14:textId="77777777" w:rsidR="00891F74" w:rsidRPr="009D1041" w:rsidRDefault="00891F74" w:rsidP="001F0BA9">
            <w:pPr>
              <w:rPr>
                <w:color w:val="000000" w:themeColor="text1"/>
              </w:rPr>
            </w:pPr>
            <w:r w:rsidRPr="009D1041">
              <w:rPr>
                <w:color w:val="000000" w:themeColor="text1"/>
                <w:sz w:val="20"/>
                <w:szCs w:val="20"/>
              </w:rPr>
              <w:t>M0: Intercept</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B0DCE89" w14:textId="77777777" w:rsidR="00891F74" w:rsidRPr="009D1041" w:rsidRDefault="00891F74" w:rsidP="001F0BA9">
            <w:pPr>
              <w:jc w:val="center"/>
              <w:rPr>
                <w:color w:val="000000" w:themeColor="text1"/>
              </w:rPr>
            </w:pPr>
            <w:r w:rsidRPr="009D1041">
              <w:rPr>
                <w:color w:val="000000" w:themeColor="text1"/>
                <w:sz w:val="20"/>
                <w:szCs w:val="20"/>
              </w:rPr>
              <w:t>52.35</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BB94C24" w14:textId="77777777" w:rsidR="00891F74" w:rsidRPr="009D1041" w:rsidRDefault="00891F74" w:rsidP="001F0BA9">
            <w:pPr>
              <w:jc w:val="center"/>
              <w:rPr>
                <w:color w:val="000000" w:themeColor="text1"/>
              </w:rPr>
            </w:pPr>
            <w:r w:rsidRPr="009D1041">
              <w:rPr>
                <w:color w:val="000000" w:themeColor="text1"/>
                <w:sz w:val="20"/>
                <w:szCs w:val="20"/>
              </w:rPr>
              <w:t>10.33</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EAAC9FB" w14:textId="77777777" w:rsidR="00891F74" w:rsidRPr="009D1041" w:rsidRDefault="00891F74" w:rsidP="001F0BA9">
            <w:pPr>
              <w:jc w:val="center"/>
              <w:rPr>
                <w:color w:val="000000" w:themeColor="text1"/>
              </w:rPr>
            </w:pPr>
            <w:r w:rsidRPr="009D1041">
              <w:rPr>
                <w:color w:val="000000" w:themeColor="text1"/>
                <w:sz w:val="20"/>
                <w:szCs w:val="20"/>
              </w:rPr>
              <w:t>[31.63, 73.07]</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9139845" w14:textId="77777777" w:rsidR="00891F74" w:rsidRPr="009D1041" w:rsidRDefault="00891F74" w:rsidP="001F0BA9">
            <w:pPr>
              <w:jc w:val="center"/>
              <w:rPr>
                <w:color w:val="000000" w:themeColor="text1"/>
              </w:rPr>
            </w:pPr>
            <w:r w:rsidRPr="009D1041">
              <w:rPr>
                <w:color w:val="000000" w:themeColor="text1"/>
                <w:sz w:val="20"/>
                <w:szCs w:val="20"/>
              </w:rPr>
              <w:t>&lt; .001</w:t>
            </w:r>
          </w:p>
        </w:tc>
      </w:tr>
      <w:tr w:rsidR="00891F74" w:rsidRPr="009D1041" w14:paraId="2EE4DBE9"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4DD4C5E" w14:textId="77777777" w:rsidR="00891F74" w:rsidRPr="009D1041" w:rsidRDefault="00891F74" w:rsidP="001F0BA9">
            <w:pPr>
              <w:rPr>
                <w:color w:val="000000" w:themeColor="text1"/>
              </w:rPr>
            </w:pPr>
            <w:r w:rsidRPr="009D1041">
              <w:rPr>
                <w:color w:val="000000" w:themeColor="text1"/>
                <w:sz w:val="20"/>
                <w:szCs w:val="20"/>
              </w:rPr>
              <w:t>M0: moodₜ₋₁</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8C77429" w14:textId="77777777" w:rsidR="00891F74" w:rsidRPr="009D1041" w:rsidRDefault="00891F74" w:rsidP="001F0BA9">
            <w:pPr>
              <w:jc w:val="center"/>
              <w:rPr>
                <w:color w:val="000000" w:themeColor="text1"/>
              </w:rPr>
            </w:pPr>
            <w:r w:rsidRPr="009D1041">
              <w:rPr>
                <w:color w:val="000000" w:themeColor="text1"/>
                <w:sz w:val="20"/>
                <w:szCs w:val="20"/>
              </w:rPr>
              <w:t>0.33</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6C023B6" w14:textId="77777777" w:rsidR="00891F74" w:rsidRPr="009D1041" w:rsidRDefault="00891F74" w:rsidP="001F0BA9">
            <w:pPr>
              <w:jc w:val="center"/>
              <w:rPr>
                <w:color w:val="000000" w:themeColor="text1"/>
              </w:rPr>
            </w:pPr>
            <w:r w:rsidRPr="009D1041">
              <w:rPr>
                <w:color w:val="000000" w:themeColor="text1"/>
                <w:sz w:val="20"/>
                <w:szCs w:val="20"/>
              </w:rPr>
              <w:t>0.13</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426B64A" w14:textId="77777777" w:rsidR="00891F74" w:rsidRPr="009D1041" w:rsidRDefault="00891F74" w:rsidP="001F0BA9">
            <w:pPr>
              <w:jc w:val="center"/>
              <w:rPr>
                <w:color w:val="000000" w:themeColor="text1"/>
              </w:rPr>
            </w:pPr>
            <w:r w:rsidRPr="009D1041">
              <w:rPr>
                <w:color w:val="000000" w:themeColor="text1"/>
                <w:sz w:val="20"/>
                <w:szCs w:val="20"/>
              </w:rPr>
              <w:t>[0.07, 0.60]</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C2BFF10" w14:textId="77777777" w:rsidR="00891F74" w:rsidRPr="009D1041" w:rsidRDefault="00891F74" w:rsidP="001F0BA9">
            <w:pPr>
              <w:jc w:val="center"/>
              <w:rPr>
                <w:color w:val="000000" w:themeColor="text1"/>
              </w:rPr>
            </w:pPr>
            <w:r w:rsidRPr="009D1041">
              <w:rPr>
                <w:color w:val="000000" w:themeColor="text1"/>
                <w:sz w:val="20"/>
                <w:szCs w:val="20"/>
              </w:rPr>
              <w:t>.014</w:t>
            </w:r>
          </w:p>
        </w:tc>
      </w:tr>
      <w:tr w:rsidR="00891F74" w:rsidRPr="009D1041" w14:paraId="47CC4CA7"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CD53DFB" w14:textId="77777777" w:rsidR="00891F74" w:rsidRPr="009D1041" w:rsidRDefault="00891F74" w:rsidP="001F0BA9">
            <w:pPr>
              <w:rPr>
                <w:color w:val="000000" w:themeColor="text1"/>
              </w:rPr>
            </w:pPr>
            <w:r w:rsidRPr="009D1041">
              <w:rPr>
                <w:color w:val="000000" w:themeColor="text1"/>
                <w:sz w:val="20"/>
                <w:szCs w:val="20"/>
              </w:rPr>
              <w:t>M1: Intercept</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BB792D6" w14:textId="77777777" w:rsidR="00891F74" w:rsidRPr="009D1041" w:rsidRDefault="00891F74" w:rsidP="001F0BA9">
            <w:pPr>
              <w:jc w:val="center"/>
              <w:rPr>
                <w:color w:val="000000" w:themeColor="text1"/>
              </w:rPr>
            </w:pPr>
            <w:r w:rsidRPr="009D1041">
              <w:rPr>
                <w:color w:val="000000" w:themeColor="text1"/>
                <w:sz w:val="20"/>
                <w:szCs w:val="20"/>
              </w:rPr>
              <w:t>52.21</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C88EE9E" w14:textId="77777777" w:rsidR="00891F74" w:rsidRPr="009D1041" w:rsidRDefault="00891F74" w:rsidP="001F0BA9">
            <w:pPr>
              <w:jc w:val="center"/>
              <w:rPr>
                <w:color w:val="000000" w:themeColor="text1"/>
              </w:rPr>
            </w:pPr>
            <w:r w:rsidRPr="009D1041">
              <w:rPr>
                <w:color w:val="000000" w:themeColor="text1"/>
                <w:sz w:val="20"/>
                <w:szCs w:val="20"/>
              </w:rPr>
              <w:t>10.37</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C36D2D3" w14:textId="77777777" w:rsidR="00891F74" w:rsidRPr="009D1041" w:rsidRDefault="00891F74" w:rsidP="001F0BA9">
            <w:pPr>
              <w:jc w:val="center"/>
              <w:rPr>
                <w:color w:val="000000" w:themeColor="text1"/>
              </w:rPr>
            </w:pPr>
            <w:r w:rsidRPr="009D1041">
              <w:rPr>
                <w:color w:val="000000" w:themeColor="text1"/>
                <w:sz w:val="20"/>
                <w:szCs w:val="20"/>
              </w:rPr>
              <w:t>[31.39, 73.03]</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E42E807" w14:textId="77777777" w:rsidR="00891F74" w:rsidRPr="009D1041" w:rsidRDefault="00891F74" w:rsidP="001F0BA9">
            <w:pPr>
              <w:jc w:val="center"/>
              <w:rPr>
                <w:color w:val="000000" w:themeColor="text1"/>
              </w:rPr>
            </w:pPr>
            <w:r w:rsidRPr="009D1041">
              <w:rPr>
                <w:color w:val="000000" w:themeColor="text1"/>
                <w:sz w:val="20"/>
                <w:szCs w:val="20"/>
              </w:rPr>
              <w:t>&lt; .001</w:t>
            </w:r>
          </w:p>
        </w:tc>
      </w:tr>
      <w:tr w:rsidR="00891F74" w:rsidRPr="009D1041" w14:paraId="021C6E38"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3A58308" w14:textId="77777777" w:rsidR="00891F74" w:rsidRPr="009D1041" w:rsidRDefault="00891F74" w:rsidP="001F0BA9">
            <w:pPr>
              <w:rPr>
                <w:color w:val="000000" w:themeColor="text1"/>
              </w:rPr>
            </w:pPr>
            <w:r w:rsidRPr="009D1041">
              <w:rPr>
                <w:color w:val="000000" w:themeColor="text1"/>
                <w:sz w:val="20"/>
                <w:szCs w:val="20"/>
              </w:rPr>
              <w:t>M1: moodₜ₋₁</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FA06DA5" w14:textId="77777777" w:rsidR="00891F74" w:rsidRPr="009D1041" w:rsidRDefault="00891F74" w:rsidP="001F0BA9">
            <w:pPr>
              <w:jc w:val="center"/>
              <w:rPr>
                <w:color w:val="000000" w:themeColor="text1"/>
              </w:rPr>
            </w:pPr>
            <w:r w:rsidRPr="009D1041">
              <w:rPr>
                <w:color w:val="000000" w:themeColor="text1"/>
                <w:sz w:val="20"/>
                <w:szCs w:val="20"/>
              </w:rPr>
              <w:t>0.33</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89B456E" w14:textId="77777777" w:rsidR="00891F74" w:rsidRPr="009D1041" w:rsidRDefault="00891F74" w:rsidP="001F0BA9">
            <w:pPr>
              <w:jc w:val="center"/>
              <w:rPr>
                <w:color w:val="000000" w:themeColor="text1"/>
              </w:rPr>
            </w:pPr>
            <w:r w:rsidRPr="009D1041">
              <w:rPr>
                <w:color w:val="000000" w:themeColor="text1"/>
                <w:sz w:val="20"/>
                <w:szCs w:val="20"/>
              </w:rPr>
              <w:t>0.13</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7C37BC9" w14:textId="77777777" w:rsidR="00891F74" w:rsidRPr="009D1041" w:rsidRDefault="00891F74" w:rsidP="001F0BA9">
            <w:pPr>
              <w:jc w:val="center"/>
              <w:rPr>
                <w:color w:val="000000" w:themeColor="text1"/>
              </w:rPr>
            </w:pPr>
            <w:r w:rsidRPr="009D1041">
              <w:rPr>
                <w:color w:val="000000" w:themeColor="text1"/>
                <w:sz w:val="20"/>
                <w:szCs w:val="20"/>
              </w:rPr>
              <w:t>[0.07, 0.59]</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17073EE" w14:textId="77777777" w:rsidR="00891F74" w:rsidRPr="009D1041" w:rsidRDefault="00891F74" w:rsidP="001F0BA9">
            <w:pPr>
              <w:jc w:val="center"/>
              <w:rPr>
                <w:color w:val="000000" w:themeColor="text1"/>
              </w:rPr>
            </w:pPr>
            <w:r w:rsidRPr="009D1041">
              <w:rPr>
                <w:color w:val="000000" w:themeColor="text1"/>
                <w:sz w:val="20"/>
                <w:szCs w:val="20"/>
              </w:rPr>
              <w:t>.015</w:t>
            </w:r>
          </w:p>
        </w:tc>
      </w:tr>
      <w:tr w:rsidR="00891F74" w:rsidRPr="009D1041" w14:paraId="21762BE6"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7BD1E75" w14:textId="77777777" w:rsidR="00891F74" w:rsidRPr="009D1041" w:rsidRDefault="00891F74" w:rsidP="001F0BA9">
            <w:pPr>
              <w:rPr>
                <w:color w:val="000000" w:themeColor="text1"/>
              </w:rPr>
            </w:pPr>
            <w:r w:rsidRPr="009D1041">
              <w:rPr>
                <w:color w:val="000000" w:themeColor="text1"/>
                <w:sz w:val="20"/>
                <w:szCs w:val="20"/>
              </w:rPr>
              <w:t>M1: melatonin</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D462641" w14:textId="77777777" w:rsidR="00891F74" w:rsidRPr="009D1041" w:rsidRDefault="00891F74" w:rsidP="001F0BA9">
            <w:pPr>
              <w:jc w:val="center"/>
              <w:rPr>
                <w:color w:val="000000" w:themeColor="text1"/>
              </w:rPr>
            </w:pPr>
            <w:r w:rsidRPr="009D1041">
              <w:rPr>
                <w:color w:val="000000" w:themeColor="text1"/>
                <w:sz w:val="20"/>
                <w:szCs w:val="20"/>
              </w:rPr>
              <w:t>0.73</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7365B7D" w14:textId="77777777" w:rsidR="00891F74" w:rsidRPr="009D1041" w:rsidRDefault="00891F74" w:rsidP="001F0BA9">
            <w:pPr>
              <w:jc w:val="center"/>
              <w:rPr>
                <w:color w:val="000000" w:themeColor="text1"/>
              </w:rPr>
            </w:pPr>
            <w:r w:rsidRPr="009D1041">
              <w:rPr>
                <w:color w:val="000000" w:themeColor="text1"/>
                <w:sz w:val="20"/>
                <w:szCs w:val="20"/>
              </w:rPr>
              <w:t>0.98</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B609604" w14:textId="77777777" w:rsidR="00891F74" w:rsidRPr="009D1041" w:rsidRDefault="00891F74" w:rsidP="001F0BA9">
            <w:pPr>
              <w:jc w:val="center"/>
              <w:rPr>
                <w:color w:val="000000" w:themeColor="text1"/>
              </w:rPr>
            </w:pPr>
            <w:r w:rsidRPr="009D1041">
              <w:rPr>
                <w:color w:val="000000" w:themeColor="text1"/>
                <w:sz w:val="20"/>
                <w:szCs w:val="20"/>
              </w:rPr>
              <w:t>[−1.23, 2.70]</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67D57E" w14:textId="77777777" w:rsidR="00891F74" w:rsidRPr="009D1041" w:rsidRDefault="00891F74" w:rsidP="001F0BA9">
            <w:pPr>
              <w:jc w:val="center"/>
              <w:rPr>
                <w:color w:val="000000" w:themeColor="text1"/>
              </w:rPr>
            </w:pPr>
            <w:r w:rsidRPr="009D1041">
              <w:rPr>
                <w:color w:val="000000" w:themeColor="text1"/>
                <w:sz w:val="20"/>
                <w:szCs w:val="20"/>
              </w:rPr>
              <w:t>.456</w:t>
            </w:r>
          </w:p>
        </w:tc>
      </w:tr>
      <w:tr w:rsidR="00891F74" w:rsidRPr="009D1041" w14:paraId="75B58315"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D7EEA53" w14:textId="77777777" w:rsidR="00891F74" w:rsidRPr="009D1041" w:rsidRDefault="00891F74" w:rsidP="001F0BA9">
            <w:pPr>
              <w:rPr>
                <w:color w:val="000000" w:themeColor="text1"/>
              </w:rPr>
            </w:pPr>
            <w:r w:rsidRPr="009D1041">
              <w:rPr>
                <w:color w:val="000000" w:themeColor="text1"/>
                <w:sz w:val="20"/>
                <w:szCs w:val="20"/>
              </w:rPr>
              <w:t>M2: Intercept</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8F04ED7" w14:textId="77777777" w:rsidR="00891F74" w:rsidRPr="009D1041" w:rsidRDefault="00891F74" w:rsidP="001F0BA9">
            <w:pPr>
              <w:jc w:val="center"/>
              <w:rPr>
                <w:color w:val="000000" w:themeColor="text1"/>
              </w:rPr>
            </w:pPr>
            <w:r w:rsidRPr="009D1041">
              <w:rPr>
                <w:color w:val="000000" w:themeColor="text1"/>
                <w:sz w:val="20"/>
                <w:szCs w:val="20"/>
              </w:rPr>
              <w:t>12.12</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0D5C08" w14:textId="77777777" w:rsidR="00891F74" w:rsidRPr="009D1041" w:rsidRDefault="00891F74" w:rsidP="001F0BA9">
            <w:pPr>
              <w:jc w:val="center"/>
              <w:rPr>
                <w:color w:val="000000" w:themeColor="text1"/>
              </w:rPr>
            </w:pPr>
            <w:r w:rsidRPr="009D1041">
              <w:rPr>
                <w:color w:val="000000" w:themeColor="text1"/>
                <w:sz w:val="20"/>
                <w:szCs w:val="20"/>
              </w:rPr>
              <w:t>8.36</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9907526" w14:textId="77777777" w:rsidR="00891F74" w:rsidRPr="009D1041" w:rsidRDefault="00891F74" w:rsidP="001F0BA9">
            <w:pPr>
              <w:jc w:val="center"/>
              <w:rPr>
                <w:color w:val="000000" w:themeColor="text1"/>
              </w:rPr>
            </w:pPr>
            <w:r w:rsidRPr="009D1041">
              <w:rPr>
                <w:color w:val="000000" w:themeColor="text1"/>
                <w:sz w:val="20"/>
                <w:szCs w:val="20"/>
              </w:rPr>
              <w:t>[−4.67, 28.92]</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5EB0F45" w14:textId="77777777" w:rsidR="00891F74" w:rsidRPr="009D1041" w:rsidRDefault="00891F74" w:rsidP="001F0BA9">
            <w:pPr>
              <w:jc w:val="center"/>
              <w:rPr>
                <w:color w:val="000000" w:themeColor="text1"/>
              </w:rPr>
            </w:pPr>
            <w:r w:rsidRPr="009D1041">
              <w:rPr>
                <w:color w:val="000000" w:themeColor="text1"/>
                <w:sz w:val="20"/>
                <w:szCs w:val="20"/>
              </w:rPr>
              <w:t>.153</w:t>
            </w:r>
          </w:p>
        </w:tc>
      </w:tr>
      <w:tr w:rsidR="00891F74" w:rsidRPr="009D1041" w14:paraId="337B9277"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F72C599" w14:textId="77777777" w:rsidR="00891F74" w:rsidRPr="009D1041" w:rsidRDefault="00891F74" w:rsidP="001F0BA9">
            <w:pPr>
              <w:rPr>
                <w:color w:val="000000" w:themeColor="text1"/>
              </w:rPr>
            </w:pPr>
            <w:r w:rsidRPr="009D1041">
              <w:rPr>
                <w:color w:val="000000" w:themeColor="text1"/>
                <w:sz w:val="20"/>
                <w:szCs w:val="20"/>
              </w:rPr>
              <w:t>M2: moodₜ₋₁</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11359EC" w14:textId="77777777" w:rsidR="00891F74" w:rsidRPr="009D1041" w:rsidRDefault="00891F74" w:rsidP="001F0BA9">
            <w:pPr>
              <w:jc w:val="center"/>
              <w:rPr>
                <w:color w:val="000000" w:themeColor="text1"/>
              </w:rPr>
            </w:pPr>
            <w:r w:rsidRPr="009D1041">
              <w:rPr>
                <w:color w:val="000000" w:themeColor="text1"/>
                <w:sz w:val="20"/>
                <w:szCs w:val="20"/>
              </w:rPr>
              <w:t>−0.13</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E6D7651" w14:textId="77777777" w:rsidR="00891F74" w:rsidRPr="009D1041" w:rsidRDefault="00891F74" w:rsidP="001F0BA9">
            <w:pPr>
              <w:jc w:val="center"/>
              <w:rPr>
                <w:color w:val="000000" w:themeColor="text1"/>
              </w:rPr>
            </w:pPr>
            <w:r w:rsidRPr="009D1041">
              <w:rPr>
                <w:color w:val="000000" w:themeColor="text1"/>
                <w:sz w:val="20"/>
                <w:szCs w:val="20"/>
              </w:rPr>
              <w:t>0.10</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860FB7D" w14:textId="77777777" w:rsidR="00891F74" w:rsidRPr="009D1041" w:rsidRDefault="00891F74" w:rsidP="001F0BA9">
            <w:pPr>
              <w:jc w:val="center"/>
              <w:rPr>
                <w:color w:val="000000" w:themeColor="text1"/>
              </w:rPr>
            </w:pPr>
            <w:r w:rsidRPr="009D1041">
              <w:rPr>
                <w:color w:val="000000" w:themeColor="text1"/>
                <w:sz w:val="20"/>
                <w:szCs w:val="20"/>
              </w:rPr>
              <w:t>[−0.34, 0.08]</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B9CA53B" w14:textId="77777777" w:rsidR="00891F74" w:rsidRPr="009D1041" w:rsidRDefault="00891F74" w:rsidP="001F0BA9">
            <w:pPr>
              <w:jc w:val="center"/>
              <w:rPr>
                <w:color w:val="000000" w:themeColor="text1"/>
              </w:rPr>
            </w:pPr>
            <w:r w:rsidRPr="009D1041">
              <w:rPr>
                <w:color w:val="000000" w:themeColor="text1"/>
                <w:sz w:val="20"/>
                <w:szCs w:val="20"/>
              </w:rPr>
              <w:t>.218</w:t>
            </w:r>
          </w:p>
        </w:tc>
      </w:tr>
      <w:tr w:rsidR="00891F74" w:rsidRPr="009D1041" w14:paraId="4B026091"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6AEA464" w14:textId="77777777" w:rsidR="00891F74" w:rsidRPr="009D1041" w:rsidRDefault="00891F74" w:rsidP="001F0BA9">
            <w:pPr>
              <w:rPr>
                <w:color w:val="000000" w:themeColor="text1"/>
              </w:rPr>
            </w:pPr>
            <w:r w:rsidRPr="009D1041">
              <w:rPr>
                <w:color w:val="000000" w:themeColor="text1"/>
                <w:sz w:val="20"/>
                <w:szCs w:val="20"/>
              </w:rPr>
              <w:t>M2: melatonin</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4E55CE8" w14:textId="77777777" w:rsidR="00891F74" w:rsidRPr="009D1041" w:rsidRDefault="00891F74" w:rsidP="001F0BA9">
            <w:pPr>
              <w:jc w:val="center"/>
              <w:rPr>
                <w:color w:val="000000" w:themeColor="text1"/>
              </w:rPr>
            </w:pPr>
            <w:r w:rsidRPr="009D1041">
              <w:rPr>
                <w:color w:val="000000" w:themeColor="text1"/>
                <w:sz w:val="20"/>
                <w:szCs w:val="20"/>
              </w:rPr>
              <w:t>0.06</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E29FC2F" w14:textId="77777777" w:rsidR="00891F74" w:rsidRPr="009D1041" w:rsidRDefault="00891F74" w:rsidP="001F0BA9">
            <w:pPr>
              <w:jc w:val="center"/>
              <w:rPr>
                <w:color w:val="000000" w:themeColor="text1"/>
              </w:rPr>
            </w:pPr>
            <w:r w:rsidRPr="009D1041">
              <w:rPr>
                <w:color w:val="000000" w:themeColor="text1"/>
                <w:sz w:val="20"/>
                <w:szCs w:val="20"/>
              </w:rPr>
              <w:t>0.65</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BBC70FC" w14:textId="77777777" w:rsidR="00891F74" w:rsidRPr="009D1041" w:rsidRDefault="00891F74" w:rsidP="001F0BA9">
            <w:pPr>
              <w:jc w:val="center"/>
              <w:rPr>
                <w:color w:val="000000" w:themeColor="text1"/>
              </w:rPr>
            </w:pPr>
            <w:r w:rsidRPr="009D1041">
              <w:rPr>
                <w:color w:val="000000" w:themeColor="text1"/>
                <w:sz w:val="20"/>
                <w:szCs w:val="20"/>
              </w:rPr>
              <w:t>[−1.24, 1.36]</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747728D" w14:textId="77777777" w:rsidR="00891F74" w:rsidRPr="009D1041" w:rsidRDefault="00891F74" w:rsidP="001F0BA9">
            <w:pPr>
              <w:jc w:val="center"/>
              <w:rPr>
                <w:color w:val="000000" w:themeColor="text1"/>
              </w:rPr>
            </w:pPr>
            <w:r w:rsidRPr="009D1041">
              <w:rPr>
                <w:color w:val="000000" w:themeColor="text1"/>
                <w:sz w:val="20"/>
                <w:szCs w:val="20"/>
              </w:rPr>
              <w:t>.927</w:t>
            </w:r>
          </w:p>
        </w:tc>
      </w:tr>
      <w:tr w:rsidR="00891F74" w:rsidRPr="009D1041" w14:paraId="59A1BD7C"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53F703F" w14:textId="77777777" w:rsidR="00891F74" w:rsidRPr="009D1041" w:rsidRDefault="00891F74" w:rsidP="001F0BA9">
            <w:pPr>
              <w:rPr>
                <w:color w:val="000000" w:themeColor="text1"/>
              </w:rPr>
            </w:pPr>
            <w:r w:rsidRPr="009D1041">
              <w:rPr>
                <w:i/>
                <w:iCs/>
                <w:color w:val="000000" w:themeColor="text1"/>
                <w:sz w:val="20"/>
                <w:szCs w:val="20"/>
              </w:rPr>
              <w:t>M2: agency</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DC1E4FF" w14:textId="77777777" w:rsidR="00891F74" w:rsidRPr="009D1041" w:rsidRDefault="00891F74" w:rsidP="001F0BA9">
            <w:pPr>
              <w:jc w:val="center"/>
              <w:rPr>
                <w:color w:val="000000" w:themeColor="text1"/>
              </w:rPr>
            </w:pPr>
            <w:r w:rsidRPr="009D1041">
              <w:rPr>
                <w:i/>
                <w:iCs/>
                <w:color w:val="000000" w:themeColor="text1"/>
                <w:sz w:val="20"/>
                <w:szCs w:val="20"/>
              </w:rPr>
              <w:t>0.54</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27AE8BE" w14:textId="77777777" w:rsidR="00891F74" w:rsidRPr="009D1041" w:rsidRDefault="00891F74" w:rsidP="001F0BA9">
            <w:pPr>
              <w:jc w:val="center"/>
              <w:rPr>
                <w:color w:val="000000" w:themeColor="text1"/>
              </w:rPr>
            </w:pPr>
            <w:r w:rsidRPr="009D1041">
              <w:rPr>
                <w:i/>
                <w:iCs/>
                <w:color w:val="000000" w:themeColor="text1"/>
                <w:sz w:val="20"/>
                <w:szCs w:val="20"/>
              </w:rPr>
              <w:t>0.10</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03FC69E" w14:textId="77777777" w:rsidR="00891F74" w:rsidRPr="009D1041" w:rsidRDefault="00891F74" w:rsidP="001F0BA9">
            <w:pPr>
              <w:jc w:val="center"/>
              <w:rPr>
                <w:color w:val="000000" w:themeColor="text1"/>
              </w:rPr>
            </w:pPr>
            <w:r w:rsidRPr="009D1041">
              <w:rPr>
                <w:i/>
                <w:iCs/>
                <w:color w:val="000000" w:themeColor="text1"/>
                <w:sz w:val="20"/>
                <w:szCs w:val="20"/>
              </w:rPr>
              <w:t>[0.33, 0.74]</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9B39681" w14:textId="77777777" w:rsidR="00891F74" w:rsidRPr="009D1041" w:rsidRDefault="00891F74" w:rsidP="001F0BA9">
            <w:pPr>
              <w:jc w:val="center"/>
              <w:rPr>
                <w:color w:val="000000" w:themeColor="text1"/>
              </w:rPr>
            </w:pPr>
            <w:r w:rsidRPr="009D1041">
              <w:rPr>
                <w:i/>
                <w:iCs/>
                <w:color w:val="000000" w:themeColor="text1"/>
                <w:sz w:val="20"/>
                <w:szCs w:val="20"/>
              </w:rPr>
              <w:t>&lt; .001</w:t>
            </w:r>
          </w:p>
        </w:tc>
      </w:tr>
      <w:tr w:rsidR="00891F74" w:rsidRPr="009D1041" w14:paraId="249B486D" w14:textId="77777777" w:rsidTr="001F0BA9">
        <w:tc>
          <w:tcPr>
            <w:tcW w:w="24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CEF2A18" w14:textId="77777777" w:rsidR="00891F74" w:rsidRPr="009D1041" w:rsidRDefault="00891F74" w:rsidP="001F0BA9">
            <w:pPr>
              <w:rPr>
                <w:color w:val="000000" w:themeColor="text1"/>
              </w:rPr>
            </w:pPr>
            <w:r w:rsidRPr="009D1041">
              <w:rPr>
                <w:i/>
                <w:iCs/>
                <w:color w:val="000000" w:themeColor="text1"/>
                <w:sz w:val="20"/>
                <w:szCs w:val="20"/>
              </w:rPr>
              <w:t>M2: metacognition</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E2EB1B5" w14:textId="77777777" w:rsidR="00891F74" w:rsidRPr="009D1041" w:rsidRDefault="00891F74" w:rsidP="001F0BA9">
            <w:pPr>
              <w:jc w:val="center"/>
              <w:rPr>
                <w:color w:val="000000" w:themeColor="text1"/>
              </w:rPr>
            </w:pPr>
            <w:r w:rsidRPr="009D1041">
              <w:rPr>
                <w:i/>
                <w:iCs/>
                <w:color w:val="000000" w:themeColor="text1"/>
                <w:sz w:val="20"/>
                <w:szCs w:val="20"/>
              </w:rPr>
              <w:t>0.44</w:t>
            </w:r>
          </w:p>
        </w:tc>
        <w:tc>
          <w:tcPr>
            <w:tcW w:w="11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064688A" w14:textId="77777777" w:rsidR="00891F74" w:rsidRPr="009D1041" w:rsidRDefault="00891F74" w:rsidP="001F0BA9">
            <w:pPr>
              <w:jc w:val="center"/>
              <w:rPr>
                <w:color w:val="000000" w:themeColor="text1"/>
              </w:rPr>
            </w:pPr>
            <w:r w:rsidRPr="009D1041">
              <w:rPr>
                <w:i/>
                <w:iCs/>
                <w:color w:val="000000" w:themeColor="text1"/>
                <w:sz w:val="20"/>
                <w:szCs w:val="20"/>
              </w:rPr>
              <w:t>0.12</w:t>
            </w:r>
          </w:p>
        </w:tc>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70B2C4E" w14:textId="77777777" w:rsidR="00891F74" w:rsidRPr="009D1041" w:rsidRDefault="00891F74" w:rsidP="001F0BA9">
            <w:pPr>
              <w:jc w:val="center"/>
              <w:rPr>
                <w:color w:val="000000" w:themeColor="text1"/>
              </w:rPr>
            </w:pPr>
            <w:r w:rsidRPr="009D1041">
              <w:rPr>
                <w:i/>
                <w:iCs/>
                <w:color w:val="000000" w:themeColor="text1"/>
                <w:sz w:val="20"/>
                <w:szCs w:val="20"/>
              </w:rPr>
              <w:t>[0.20, 0.67]</w:t>
            </w:r>
          </w:p>
        </w:tc>
        <w:tc>
          <w:tcPr>
            <w:tcW w:w="17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2AF92B1" w14:textId="77777777" w:rsidR="00891F74" w:rsidRPr="009D1041" w:rsidRDefault="00891F74" w:rsidP="001F0BA9">
            <w:pPr>
              <w:jc w:val="center"/>
              <w:rPr>
                <w:color w:val="000000" w:themeColor="text1"/>
              </w:rPr>
            </w:pPr>
            <w:r w:rsidRPr="009D1041">
              <w:rPr>
                <w:i/>
                <w:iCs/>
                <w:color w:val="000000" w:themeColor="text1"/>
                <w:sz w:val="20"/>
                <w:szCs w:val="20"/>
              </w:rPr>
              <w:t>&lt; .001</w:t>
            </w:r>
          </w:p>
        </w:tc>
      </w:tr>
    </w:tbl>
    <w:p w14:paraId="743632F2" w14:textId="77777777" w:rsidR="00891F74" w:rsidRPr="009D1041" w:rsidRDefault="00891F74" w:rsidP="00891F74">
      <w:pPr>
        <w:spacing w:before="60" w:after="240" w:line="320" w:lineRule="auto"/>
        <w:rPr>
          <w:color w:val="000000" w:themeColor="text1"/>
        </w:rPr>
      </w:pPr>
      <w:r w:rsidRPr="009D1041">
        <w:rPr>
          <w:i/>
          <w:iCs/>
          <w:color w:val="000000" w:themeColor="text1"/>
          <w:sz w:val="20"/>
          <w:szCs w:val="20"/>
        </w:rPr>
        <w:t xml:space="preserve">Note. </w:t>
      </w:r>
      <w:r w:rsidRPr="009D1041">
        <w:rPr>
          <w:color w:val="000000" w:themeColor="text1"/>
          <w:sz w:val="20"/>
          <w:szCs w:val="20"/>
        </w:rPr>
        <w:t>All models fit on the Day 18–70 subsample (n = 53 days). M0: R² = .111, adjusted R² = .094. M1: R² = .121, adjusted R² = .086. M2: R² = .637, adjusted R² = .607. Predictors are on their original 0–100 scales. M2 residuals showed no remaining serial dependence (Ljung–Box p &gt; .18 at lags 1, 5, 10) and were approximately normal (Shapiro–Wilk W = 0.98, p = .530).</w:t>
      </w:r>
    </w:p>
    <w:p w14:paraId="5E4D6B58"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drop-one incremental R² comparison made the magnitudes of these contributions directly comparable (Figure 3). Agency uniquely accounted for 20.1% of the variance in daily mood beyond what the other predictors in M2 captured; metacognition uniquely accounted for 10.6%; </w:t>
      </w:r>
      <w:r w:rsidRPr="009D1041">
        <w:rPr>
          <w:color w:val="000000" w:themeColor="text1"/>
        </w:rPr>
        <w:lastRenderedPageBreak/>
        <w:t xml:space="preserve">melatonin uniquely accounted for 0.01%. The internal-driver block (agency and metacognition jointly) accounted for 51.6% of the variance over and above the </w:t>
      </w:r>
      <w:proofErr w:type="gramStart"/>
      <w:r w:rsidRPr="009D1041">
        <w:rPr>
          <w:color w:val="000000" w:themeColor="text1"/>
        </w:rPr>
        <w:t>AR(</w:t>
      </w:r>
      <w:proofErr w:type="gramEnd"/>
      <w:r w:rsidRPr="009D1041">
        <w:rPr>
          <w:color w:val="000000" w:themeColor="text1"/>
        </w:rPr>
        <w:t>1) baseline.</w:t>
      </w:r>
    </w:p>
    <w:p w14:paraId="5B1BEB5B" w14:textId="77777777" w:rsidR="00891F74" w:rsidRPr="009D1041" w:rsidRDefault="00891F74" w:rsidP="00891F74">
      <w:pPr>
        <w:spacing w:before="240" w:after="60"/>
        <w:jc w:val="center"/>
        <w:rPr>
          <w:color w:val="000000" w:themeColor="text1"/>
        </w:rPr>
      </w:pPr>
      <w:r w:rsidRPr="009D1041">
        <w:rPr>
          <w:noProof/>
          <w:color w:val="000000" w:themeColor="text1"/>
        </w:rPr>
        <w:drawing>
          <wp:inline distT="0" distB="0" distL="0" distR="0" wp14:anchorId="1B9F7F12" wp14:editId="50DAA1D1">
            <wp:extent cx="5138208" cy="3018697"/>
            <wp:effectExtent l="0" t="0" r="0" b="0"/>
            <wp:docPr id="935211737"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38208" cy="3018697"/>
                    </a:xfrm>
                    <a:prstGeom prst="rect">
                      <a:avLst/>
                    </a:prstGeom>
                  </pic:spPr>
                </pic:pic>
              </a:graphicData>
            </a:graphic>
          </wp:inline>
        </w:drawing>
      </w:r>
    </w:p>
    <w:p w14:paraId="5920DA79"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t xml:space="preserve">Figure 3. </w:t>
      </w:r>
      <w:r w:rsidRPr="009D1041">
        <w:rPr>
          <w:color w:val="000000" w:themeColor="text1"/>
          <w:sz w:val="22"/>
          <w:szCs w:val="22"/>
        </w:rPr>
        <w:t xml:space="preserve">Incremental R² for each predictor in the </w:t>
      </w:r>
      <w:proofErr w:type="gramStart"/>
      <w:r w:rsidRPr="009D1041">
        <w:rPr>
          <w:color w:val="000000" w:themeColor="text1"/>
          <w:sz w:val="22"/>
          <w:szCs w:val="22"/>
        </w:rPr>
        <w:t>AR(</w:t>
      </w:r>
      <w:proofErr w:type="gramEnd"/>
      <w:r w:rsidRPr="009D1041">
        <w:rPr>
          <w:color w:val="000000" w:themeColor="text1"/>
          <w:sz w:val="22"/>
          <w:szCs w:val="22"/>
        </w:rPr>
        <w:t>1) model.</w:t>
      </w:r>
    </w:p>
    <w:p w14:paraId="5C6A3AAF"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 xml:space="preserve">Incremental R² is computed as the drop in R² when that predictor is removed from the full </w:t>
      </w:r>
      <w:proofErr w:type="gramStart"/>
      <w:r w:rsidRPr="009D1041">
        <w:rPr>
          <w:color w:val="000000" w:themeColor="text1"/>
          <w:sz w:val="20"/>
          <w:szCs w:val="20"/>
        </w:rPr>
        <w:t>AR(</w:t>
      </w:r>
      <w:proofErr w:type="gramEnd"/>
      <w:r w:rsidRPr="009D1041">
        <w:rPr>
          <w:color w:val="000000" w:themeColor="text1"/>
          <w:sz w:val="20"/>
          <w:szCs w:val="20"/>
        </w:rPr>
        <w:t>1)-with-exogenous-inputs model. Agency and metacognition together account for over half of the day-to-day variance in mood; the melatonin probe accounts for essentially none.</w:t>
      </w:r>
    </w:p>
    <w:p w14:paraId="725A2689" w14:textId="77777777" w:rsidR="00891F74" w:rsidRPr="009D1041" w:rsidRDefault="00891F74" w:rsidP="00891F74">
      <w:pPr>
        <w:spacing w:after="120" w:line="480" w:lineRule="auto"/>
        <w:jc w:val="both"/>
        <w:rPr>
          <w:color w:val="000000" w:themeColor="text1"/>
        </w:rPr>
      </w:pPr>
      <w:r w:rsidRPr="009D1041">
        <w:rPr>
          <w:color w:val="000000" w:themeColor="text1"/>
        </w:rPr>
        <w:t>The same qualitative pattern was recovered in a supplementary Bayesian analysis with weakly informative priors on all model parameters, with high posterior probability for the agency and metacognition coefficients (see Section 3.6).</w:t>
      </w:r>
    </w:p>
    <w:p w14:paraId="0785433E"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3.3 Emotional Inertia and Latent State</w:t>
      </w:r>
    </w:p>
    <w:p w14:paraId="1E71638A"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Three estimates of emotional inertia were computed at different sampling resolutions and windows. At the observation level (n = 194 lag-1 pairs across the full 195-observation sample), </w:t>
      </w:r>
      <w:proofErr w:type="gramStart"/>
      <w:r w:rsidRPr="009D1041">
        <w:rPr>
          <w:color w:val="000000" w:themeColor="text1"/>
        </w:rPr>
        <w:t>AR(</w:t>
      </w:r>
      <w:proofErr w:type="gramEnd"/>
      <w:r w:rsidRPr="009D1041">
        <w:rPr>
          <w:color w:val="000000" w:themeColor="text1"/>
        </w:rPr>
        <w:t xml:space="preserve">1) estimation yielded </w:t>
      </w:r>
      <w:proofErr w:type="spellStart"/>
      <w:r w:rsidRPr="009D1041">
        <w:rPr>
          <w:color w:val="000000" w:themeColor="text1"/>
        </w:rPr>
        <w:t>φ_obs</w:t>
      </w:r>
      <w:proofErr w:type="spellEnd"/>
      <w:r w:rsidRPr="009D1041">
        <w:rPr>
          <w:color w:val="000000" w:themeColor="text1"/>
        </w:rPr>
        <w:t xml:space="preserve"> = 0.23, 95% CI [0.09, 0.37], p = .001. At the daily level computed on the full 70-day sample (n = 70 lag-1 pairs), </w:t>
      </w:r>
      <w:proofErr w:type="spellStart"/>
      <w:r w:rsidRPr="009D1041">
        <w:rPr>
          <w:color w:val="000000" w:themeColor="text1"/>
        </w:rPr>
        <w:t>φ_day</w:t>
      </w:r>
      <w:proofErr w:type="spellEnd"/>
      <w:r w:rsidRPr="009D1041">
        <w:rPr>
          <w:color w:val="000000" w:themeColor="text1"/>
        </w:rPr>
        <w:t xml:space="preserve"> ≈ 0.43 (Figure 4; OLS point estimate φ̂ = 0.4206, rounded for reporting consistency with the figure). On the Day 18–70 subsample used in the </w:t>
      </w:r>
      <w:r w:rsidRPr="009D1041">
        <w:rPr>
          <w:color w:val="000000" w:themeColor="text1"/>
        </w:rPr>
        <w:lastRenderedPageBreak/>
        <w:t>nested-model comparison reported in Section 3.2 (n = 53), the corresponding daily-level coefficient was φ = 0.33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0.43; the smaller nested-model coefficient should be interpreted as a within-window estimate constrained by data availability.</w:t>
      </w:r>
    </w:p>
    <w:p w14:paraId="7F045994" w14:textId="77777777" w:rsidR="00891F74" w:rsidRPr="009D1041" w:rsidRDefault="00891F74" w:rsidP="00891F74">
      <w:pPr>
        <w:spacing w:before="240" w:after="60"/>
        <w:jc w:val="center"/>
        <w:rPr>
          <w:color w:val="000000" w:themeColor="text1"/>
        </w:rPr>
      </w:pPr>
      <w:r w:rsidRPr="009D1041">
        <w:rPr>
          <w:noProof/>
          <w:color w:val="000000" w:themeColor="text1"/>
        </w:rPr>
        <w:drawing>
          <wp:inline distT="0" distB="0" distL="0" distR="0" wp14:anchorId="6E7EA551" wp14:editId="0B98FED4">
            <wp:extent cx="5138208" cy="4624387"/>
            <wp:effectExtent l="0" t="0" r="0" b="0"/>
            <wp:docPr id="858745457"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38208" cy="4624387"/>
                    </a:xfrm>
                    <a:prstGeom prst="rect">
                      <a:avLst/>
                    </a:prstGeom>
                  </pic:spPr>
                </pic:pic>
              </a:graphicData>
            </a:graphic>
          </wp:inline>
        </w:drawing>
      </w:r>
    </w:p>
    <w:p w14:paraId="64ED88A9"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t xml:space="preserve">Figure 4. </w:t>
      </w:r>
      <w:r w:rsidRPr="009D1041">
        <w:rPr>
          <w:color w:val="000000" w:themeColor="text1"/>
          <w:sz w:val="22"/>
          <w:szCs w:val="22"/>
        </w:rPr>
        <w:t>Lag-1 autocorrelation of daily mood across the 70-day sample.</w:t>
      </w:r>
    </w:p>
    <w:p w14:paraId="07A0AC04"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 xml:space="preserve">Each point represents one observation pair (mood at day t plotted against mood at day t − 1). The red regression line corresponds to the OLS estimate </w:t>
      </w:r>
      <w:proofErr w:type="spellStart"/>
      <w:r w:rsidRPr="009D1041">
        <w:rPr>
          <w:color w:val="000000" w:themeColor="text1"/>
          <w:sz w:val="20"/>
          <w:szCs w:val="20"/>
        </w:rPr>
        <w:t>φ_day</w:t>
      </w:r>
      <w:proofErr w:type="spellEnd"/>
      <w:r w:rsidRPr="009D1041">
        <w:rPr>
          <w:color w:val="000000" w:themeColor="text1"/>
          <w:sz w:val="20"/>
          <w:szCs w:val="20"/>
        </w:rPr>
        <w:t xml:space="preserve"> ≈ 0.43.</w:t>
      </w:r>
    </w:p>
    <w:p w14:paraId="39F3C928" w14:textId="77777777" w:rsidR="00891F74" w:rsidRPr="009D1041" w:rsidRDefault="00891F74" w:rsidP="00891F74">
      <w:pPr>
        <w:spacing w:before="240" w:after="60"/>
        <w:jc w:val="center"/>
        <w:rPr>
          <w:color w:val="000000" w:themeColor="text1"/>
        </w:rPr>
      </w:pPr>
      <w:r w:rsidRPr="009D1041">
        <w:rPr>
          <w:noProof/>
          <w:color w:val="000000" w:themeColor="text1"/>
        </w:rPr>
        <w:lastRenderedPageBreak/>
        <w:drawing>
          <wp:inline distT="0" distB="0" distL="0" distR="0" wp14:anchorId="0774BBCC" wp14:editId="24553E1A">
            <wp:extent cx="5138208" cy="2131405"/>
            <wp:effectExtent l="0" t="0" r="0" b="0"/>
            <wp:docPr id="1054470300"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38208" cy="2131405"/>
                    </a:xfrm>
                    <a:prstGeom prst="rect">
                      <a:avLst/>
                    </a:prstGeom>
                  </pic:spPr>
                </pic:pic>
              </a:graphicData>
            </a:graphic>
          </wp:inline>
        </w:drawing>
      </w:r>
    </w:p>
    <w:p w14:paraId="5878C3BE"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t xml:space="preserve">Figure 5. </w:t>
      </w:r>
      <w:r w:rsidRPr="009D1041">
        <w:rPr>
          <w:color w:val="000000" w:themeColor="text1"/>
          <w:sz w:val="22"/>
          <w:szCs w:val="22"/>
        </w:rPr>
        <w:t>Impulse response and half-life of an affective perturbation.</w:t>
      </w:r>
    </w:p>
    <w:p w14:paraId="2BFA436A"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 xml:space="preserve">Computed from the estimated </w:t>
      </w:r>
      <w:proofErr w:type="gramStart"/>
      <w:r w:rsidRPr="009D1041">
        <w:rPr>
          <w:color w:val="000000" w:themeColor="text1"/>
          <w:sz w:val="20"/>
          <w:szCs w:val="20"/>
        </w:rPr>
        <w:t>AR(</w:t>
      </w:r>
      <w:proofErr w:type="gramEnd"/>
      <w:r w:rsidRPr="009D1041">
        <w:rPr>
          <w:color w:val="000000" w:themeColor="text1"/>
          <w:sz w:val="20"/>
          <w:szCs w:val="20"/>
        </w:rPr>
        <w:t xml:space="preserve">1) coefficients. Panel (a) shows the observation-level IRF using </w:t>
      </w:r>
      <w:proofErr w:type="spellStart"/>
      <w:r w:rsidRPr="009D1041">
        <w:rPr>
          <w:color w:val="000000" w:themeColor="text1"/>
          <w:sz w:val="20"/>
          <w:szCs w:val="20"/>
        </w:rPr>
        <w:t>φ_obs</w:t>
      </w:r>
      <w:proofErr w:type="spellEnd"/>
      <w:r w:rsidRPr="009D1041">
        <w:rPr>
          <w:color w:val="000000" w:themeColor="text1"/>
          <w:sz w:val="20"/>
          <w:szCs w:val="20"/>
        </w:rPr>
        <w:t xml:space="preserve"> = 0.23, with a within-day half-life of approximately 2.9 hours given a 6.17-hour median between-prompt interval. Panel (b) shows the daily-level IRF using the full-sample coefficient </w:t>
      </w:r>
      <w:proofErr w:type="spellStart"/>
      <w:r w:rsidRPr="009D1041">
        <w:rPr>
          <w:color w:val="000000" w:themeColor="text1"/>
          <w:sz w:val="20"/>
          <w:szCs w:val="20"/>
        </w:rPr>
        <w:t>φ_day</w:t>
      </w:r>
      <w:proofErr w:type="spellEnd"/>
      <w:r w:rsidRPr="009D1041">
        <w:rPr>
          <w:color w:val="000000" w:themeColor="text1"/>
          <w:sz w:val="20"/>
          <w:szCs w:val="20"/>
        </w:rPr>
        <w:t xml:space="preserve"> ≈ 0.43, with a half-life of 0.82 days.</w:t>
      </w:r>
    </w:p>
    <w:p w14:paraId="3AF908DC" w14:textId="77777777" w:rsidR="00891F74" w:rsidRPr="009D1041" w:rsidRDefault="00891F74" w:rsidP="00891F74">
      <w:pPr>
        <w:spacing w:after="120" w:line="480" w:lineRule="auto"/>
        <w:jc w:val="both"/>
        <w:rPr>
          <w:color w:val="000000" w:themeColor="text1"/>
        </w:rPr>
      </w:pPr>
      <w:r w:rsidRPr="009D1041">
        <w:rPr>
          <w:color w:val="000000" w:themeColor="text1"/>
        </w:rPr>
        <w:t>The local-level state-space model (Section 2.5.2) decomposed the observed daily mood series into a smoothed latent trajectory and observation noise. Maximum-likelihood estimates were σ²_v = 17.34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14:paraId="7ED5A11B" w14:textId="77777777" w:rsidR="00891F74" w:rsidRPr="009D1041" w:rsidRDefault="00891F74" w:rsidP="00891F74">
      <w:pPr>
        <w:spacing w:before="240" w:after="60"/>
        <w:jc w:val="center"/>
        <w:rPr>
          <w:color w:val="000000" w:themeColor="text1"/>
        </w:rPr>
      </w:pPr>
      <w:r w:rsidRPr="009D1041">
        <w:rPr>
          <w:noProof/>
          <w:color w:val="000000" w:themeColor="text1"/>
        </w:rPr>
        <w:drawing>
          <wp:inline distT="0" distB="0" distL="0" distR="0" wp14:anchorId="753C3FBD" wp14:editId="23661CC3">
            <wp:extent cx="5138208" cy="2359770"/>
            <wp:effectExtent l="0" t="0" r="0" b="0"/>
            <wp:docPr id="1497113576"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38208" cy="2359770"/>
                    </a:xfrm>
                    <a:prstGeom prst="rect">
                      <a:avLst/>
                    </a:prstGeom>
                  </pic:spPr>
                </pic:pic>
              </a:graphicData>
            </a:graphic>
          </wp:inline>
        </w:drawing>
      </w:r>
    </w:p>
    <w:p w14:paraId="64928A0F"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lastRenderedPageBreak/>
        <w:t xml:space="preserve">Figure 6. </w:t>
      </w:r>
      <w:r w:rsidRPr="009D1041">
        <w:rPr>
          <w:color w:val="000000" w:themeColor="text1"/>
          <w:sz w:val="22"/>
          <w:szCs w:val="22"/>
        </w:rPr>
        <w:t>Kalman-smoothed latent affective state across the 70-day window.</w:t>
      </w:r>
    </w:p>
    <w:p w14:paraId="64C74806"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The dark line shows the Kalman-smoothed latent state estimate; the gray band shows the 95% confidence interval. Daily observed means are plotted as light points for reference. The latent series rises from approximately 70 in the first ten days to approximately 80 by Day 40 and remains in the high range thereafter.</w:t>
      </w:r>
    </w:p>
    <w:p w14:paraId="4C230192"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3.4 Melatonin Probe: Null on Mean, Suggestive on Variability</w:t>
      </w:r>
    </w:p>
    <w:p w14:paraId="76000D63"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Consistent with the M1 result above, the between-condition comparison of daily mean mood yielded a small and non-significant difference: melatonin minus control = +1.03 mood points, Welch </w:t>
      </w:r>
      <w:proofErr w:type="gramStart"/>
      <w:r w:rsidRPr="009D1041">
        <w:rPr>
          <w:color w:val="000000" w:themeColor="text1"/>
        </w:rPr>
        <w:t>t(</w:t>
      </w:r>
      <w:proofErr w:type="gramEnd"/>
      <w:r w:rsidRPr="009D1041">
        <w:rPr>
          <w:color w:val="000000" w:themeColor="text1"/>
        </w:rPr>
        <w:t>60.6) = 0.78, p = .437, Cohen's d = 0.19 (Figure 7). Within the framing developed in Section 1.2, this null on the mean is interpreted as identifying the system's sensitivity boundary on the level dimension of mood: a probe of this magnitude does not detectably shift the mean.</w:t>
      </w:r>
    </w:p>
    <w:p w14:paraId="7B0E7683" w14:textId="77777777" w:rsidR="00891F74" w:rsidRPr="009D1041" w:rsidRDefault="00891F74" w:rsidP="00891F74">
      <w:pPr>
        <w:spacing w:before="240" w:after="60"/>
        <w:jc w:val="center"/>
        <w:rPr>
          <w:color w:val="000000" w:themeColor="text1"/>
        </w:rPr>
      </w:pPr>
      <w:r w:rsidRPr="009D1041">
        <w:rPr>
          <w:noProof/>
          <w:color w:val="000000" w:themeColor="text1"/>
        </w:rPr>
        <w:drawing>
          <wp:inline distT="0" distB="0" distL="0" distR="0" wp14:anchorId="1F6A3C49" wp14:editId="49976F05">
            <wp:extent cx="5138208" cy="2140920"/>
            <wp:effectExtent l="0" t="0" r="0" b="0"/>
            <wp:docPr id="898191698"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38208" cy="2140920"/>
                    </a:xfrm>
                    <a:prstGeom prst="rect">
                      <a:avLst/>
                    </a:prstGeom>
                  </pic:spPr>
                </pic:pic>
              </a:graphicData>
            </a:graphic>
          </wp:inline>
        </w:drawing>
      </w:r>
    </w:p>
    <w:p w14:paraId="74E580D7" w14:textId="77777777" w:rsidR="00891F74" w:rsidRPr="009D1041" w:rsidRDefault="00891F74" w:rsidP="00891F74">
      <w:pPr>
        <w:spacing w:before="120" w:after="60" w:line="320" w:lineRule="auto"/>
        <w:jc w:val="both"/>
        <w:rPr>
          <w:color w:val="000000" w:themeColor="text1"/>
        </w:rPr>
      </w:pPr>
      <w:r w:rsidRPr="009D1041">
        <w:rPr>
          <w:b/>
          <w:bCs/>
          <w:color w:val="000000" w:themeColor="text1"/>
          <w:sz w:val="22"/>
          <w:szCs w:val="22"/>
        </w:rPr>
        <w:t xml:space="preserve">Figure 7. </w:t>
      </w:r>
      <w:r w:rsidRPr="009D1041">
        <w:rPr>
          <w:color w:val="000000" w:themeColor="text1"/>
          <w:sz w:val="22"/>
          <w:szCs w:val="22"/>
        </w:rPr>
        <w:t>Between-condition comparison of daily mood, agency, and metacognition.</w:t>
      </w:r>
    </w:p>
    <w:p w14:paraId="238C9EAF" w14:textId="77777777" w:rsidR="00891F74" w:rsidRPr="009D1041" w:rsidRDefault="00891F74" w:rsidP="00891F74">
      <w:pPr>
        <w:spacing w:before="60" w:after="240" w:line="280" w:lineRule="auto"/>
        <w:jc w:val="both"/>
        <w:rPr>
          <w:color w:val="000000" w:themeColor="text1"/>
        </w:rPr>
      </w:pPr>
      <w:r w:rsidRPr="009D1041">
        <w:rPr>
          <w:i/>
          <w:iCs/>
          <w:color w:val="000000" w:themeColor="text1"/>
          <w:sz w:val="20"/>
          <w:szCs w:val="20"/>
        </w:rPr>
        <w:t xml:space="preserve">Note. </w:t>
      </w:r>
      <w:r w:rsidRPr="009D1041">
        <w:rPr>
          <w:color w:val="000000" w:themeColor="text1"/>
          <w:sz w:val="20"/>
          <w:szCs w:val="20"/>
        </w:rPr>
        <w:t>Boxes show interquartile range; horizontal lines show medians; jittered points show individual days. Mean differences (melatonin minus control) are annotated within each panel and are small for all three variables.</w:t>
      </w:r>
    </w:p>
    <w:p w14:paraId="64B06CAC"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variability analyses (Section 2.5.6) yielded a more nuanced picture. Three of four indices pointed in the same direction, with melatonin days showing lower mood variability than control days: daily mood SD was 4.47 (melatonin) versus 6.41 (control); MSSD across within-condition runs was 57.35 versus 88.26; observation-level mood SD was 6.54 versus 8.26. The univariate Levene and MSSD tests did not reach significance (Levene W = 2.01, p = .161; MSSD Welch t = −0.94, p = .355). The heteroskedasticity model regressing log-squared M2 residuals on the </w:t>
      </w:r>
      <w:r w:rsidRPr="009D1041">
        <w:rPr>
          <w:color w:val="000000" w:themeColor="text1"/>
        </w:rPr>
        <w:lastRenderedPageBreak/>
        <w:t>melatonin indicator, however, yielded a reliably negative coefficient (α₁ = −1.21, 95% CI [−2.38, −0.03], p = .044), indicating that the model's residual variance was smaller on melatonin days than on control days. The collective pattern, three direction-consistent variability indices, with one of them (the AR(1)-residual-based test) reaching conventional significance, is suggestive of a stability-enhancing rather than level-shifting effect of the probe, but the inferential support for any single test is modest and the present analysis cannot rule out that the heteroskedasticity finding is a chance result of multiple testing.</w:t>
      </w:r>
    </w:p>
    <w:p w14:paraId="5F45FF2A"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state-dependent decay analysis (Section 2.5.7) cohered with this pattern in direction. The interaction-augmented </w:t>
      </w:r>
      <w:proofErr w:type="gramStart"/>
      <w:r w:rsidRPr="009D1041">
        <w:rPr>
          <w:color w:val="000000" w:themeColor="text1"/>
        </w:rPr>
        <w:t>AR(</w:t>
      </w:r>
      <w:proofErr w:type="gramEnd"/>
      <w:r w:rsidRPr="009D1041">
        <w:rPr>
          <w:color w:val="000000" w:themeColor="text1"/>
        </w:rPr>
        <w:t xml:space="preserve">1) yielded estimated </w:t>
      </w:r>
      <w:proofErr w:type="spellStart"/>
      <w:r w:rsidRPr="009D1041">
        <w:rPr>
          <w:color w:val="000000" w:themeColor="text1"/>
        </w:rPr>
        <w:t>φ_control</w:t>
      </w:r>
      <w:proofErr w:type="spellEnd"/>
      <w:r w:rsidRPr="009D1041">
        <w:rPr>
          <w:color w:val="000000" w:themeColor="text1"/>
        </w:rPr>
        <w:t xml:space="preserve"> = 0.47 and </w:t>
      </w:r>
      <w:proofErr w:type="spellStart"/>
      <w:r w:rsidRPr="009D1041">
        <w:rPr>
          <w:color w:val="000000" w:themeColor="text1"/>
        </w:rPr>
        <w:t>φ_melatonin</w:t>
      </w:r>
      <w:proofErr w:type="spellEnd"/>
      <w:r w:rsidRPr="009D1041">
        <w:rPr>
          <w:color w:val="000000" w:themeColor="text1"/>
        </w:rPr>
        <w:t xml:space="preserve"> = 0.22, with the lag-1 × melatonin interaction coefficient δ = −0.25, 95% CI [−0.78, +0.29], p = .360. Although this coefficient was not statistically distinguishable from zero, its direction, faster decay on melatonin days, is consistent with the variability findings above.</w:t>
      </w:r>
    </w:p>
    <w:p w14:paraId="1B5AD1B1"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 xml:space="preserve">3.5 </w:t>
      </w:r>
      <w:proofErr w:type="spellStart"/>
      <w:r w:rsidRPr="009D1041">
        <w:rPr>
          <w:rFonts w:ascii="Times New Roman" w:eastAsia="Times New Roman" w:hAnsi="Times New Roman" w:cs="Times New Roman"/>
          <w:b/>
          <w:bCs/>
          <w:color w:val="000000" w:themeColor="text1"/>
          <w:sz w:val="26"/>
          <w:szCs w:val="26"/>
        </w:rPr>
        <w:t>Metacontrol</w:t>
      </w:r>
      <w:proofErr w:type="spellEnd"/>
      <w:r w:rsidRPr="009D1041">
        <w:rPr>
          <w:rFonts w:ascii="Times New Roman" w:eastAsia="Times New Roman" w:hAnsi="Times New Roman" w:cs="Times New Roman"/>
          <w:b/>
          <w:bCs/>
          <w:color w:val="000000" w:themeColor="text1"/>
          <w:sz w:val="26"/>
          <w:szCs w:val="26"/>
        </w:rPr>
        <w:t xml:space="preserve"> and Robustness</w:t>
      </w:r>
    </w:p>
    <w:p w14:paraId="062B2834"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w:t>
      </w:r>
      <w:proofErr w:type="spellStart"/>
      <w:r w:rsidRPr="009D1041">
        <w:rPr>
          <w:color w:val="000000" w:themeColor="text1"/>
        </w:rPr>
        <w:t>metacontrol</w:t>
      </w:r>
      <w:proofErr w:type="spellEnd"/>
      <w:r w:rsidRPr="009D1041">
        <w:rPr>
          <w:color w:val="000000" w:themeColor="text1"/>
        </w:rPr>
        <w:t xml:space="preserve"> interaction term β₃ was negative, as predicted by the </w:t>
      </w:r>
      <w:proofErr w:type="spellStart"/>
      <w:r w:rsidRPr="009D1041">
        <w:rPr>
          <w:color w:val="000000" w:themeColor="text1"/>
        </w:rPr>
        <w:t>metacontrol</w:t>
      </w:r>
      <w:proofErr w:type="spellEnd"/>
      <w:r w:rsidRPr="009D1041">
        <w:rPr>
          <w:color w:val="000000" w:themeColor="text1"/>
        </w:rPr>
        <w:t xml:space="preserve"> hypothesis (β₃ = −0.14), but not reliably distinguishable from zero (95% CI [−0.60, +0.32], p = .544). Simple-slope decomposition placed the melatonin slope at +0.84 at one standard deviation below mean metacognition, +0.33 at the mean, and −0.17 at one standard deviation above mean metacognition. The qualitative pattern is consistent with the </w:t>
      </w:r>
      <w:proofErr w:type="spellStart"/>
      <w:r w:rsidRPr="009D1041">
        <w:rPr>
          <w:color w:val="000000" w:themeColor="text1"/>
        </w:rPr>
        <w:t>metacontrol</w:t>
      </w:r>
      <w:proofErr w:type="spellEnd"/>
      <w:r w:rsidRPr="009D1041">
        <w:rPr>
          <w:color w:val="000000" w:themeColor="text1"/>
        </w:rPr>
        <w:t xml:space="preserve"> hypothesis (the apparent direction of the melatonin effect reverses across the metacognition continuum), but the present sample is underpowered to support this as a strong inferential claim.</w:t>
      </w:r>
    </w:p>
    <w:p w14:paraId="40B20F82"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agency × melatonin robustness check (Section 2.5.8) yielded an interaction coefficient indistinguishable from zero (β = −0.02, 95% CI [−0.38, +0.34], p = .919), indicating that the agency–mood relation was statistically identical in the two conditions. This supports the </w:t>
      </w:r>
      <w:r w:rsidRPr="009D1041">
        <w:rPr>
          <w:color w:val="000000" w:themeColor="text1"/>
        </w:rPr>
        <w:lastRenderedPageBreak/>
        <w:t>interpretation of agency as a robust internal organizer of affect within this individual: its predictive contribution does not depend on whether the external probe is present.</w:t>
      </w:r>
    </w:p>
    <w:p w14:paraId="0A09C60C"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3.6 Supplementary Bayesian Robustness</w:t>
      </w:r>
    </w:p>
    <w:p w14:paraId="33FF6957" w14:textId="77777777" w:rsidR="00891F74" w:rsidRPr="009D1041" w:rsidRDefault="00891F74" w:rsidP="00891F74">
      <w:pPr>
        <w:spacing w:after="120" w:line="480" w:lineRule="auto"/>
        <w:jc w:val="both"/>
        <w:rPr>
          <w:color w:val="000000" w:themeColor="text1"/>
        </w:rPr>
      </w:pPr>
      <w:r w:rsidRPr="009D1041">
        <w:rPr>
          <w:color w:val="000000" w:themeColor="text1"/>
        </w:rPr>
        <w:t>The supplementary Bayesian M2 regression (Section 2.5.9) reproduced the qualitative pattern of the primary frequentist analysis under different inferential assumptions (Table 2). The purpose of this analysis was not to replace the OLS model but to test whether the primary conclusion depended on the choice of estimation framework. If, under a Bayesian posterior, agency and metacognition remained reliably positive while melatonin remained centered near zero, the primary finding would be less likely to be an artifact of a single inferential approach.</w:t>
      </w:r>
    </w:p>
    <w:p w14:paraId="6879042C" w14:textId="77777777" w:rsidR="00891F74" w:rsidRPr="009D1041" w:rsidRDefault="00891F74" w:rsidP="00891F74">
      <w:pPr>
        <w:spacing w:after="120" w:line="480" w:lineRule="auto"/>
        <w:jc w:val="both"/>
        <w:rPr>
          <w:color w:val="000000" w:themeColor="text1"/>
        </w:rPr>
      </w:pPr>
      <w:r w:rsidRPr="009D1041">
        <w:rPr>
          <w:color w:val="000000" w:themeColor="text1"/>
        </w:rPr>
        <w:t>The posterior pattern was consistent with this expectation. The posterior effects for agency and metacognition were clearly positive in standardized units, with both 95% credible intervals well above zero and posterior probabilities of being greater than zero of essentially 1. The melatonin coefficient was centered near zero with a credible interval that spanned zero. The lagged-mood coefficient was attenuated and its credible interval included zero, consistent with the frequentist M2 in which apparent emotional inertia was absorbed by the internal drivers once they were included as predictors. All R-hat values were ≤ 1.001 and effective sample sizes exceeded 9,000 for every parameter, indicating excellent MCMC convergence.</w:t>
      </w:r>
    </w:p>
    <w:p w14:paraId="05A1F676" w14:textId="77777777" w:rsidR="00891F74" w:rsidRPr="009D1041" w:rsidRDefault="00891F74" w:rsidP="00891F74">
      <w:pPr>
        <w:spacing w:before="240" w:after="60" w:line="320" w:lineRule="auto"/>
        <w:rPr>
          <w:color w:val="000000" w:themeColor="text1"/>
        </w:rPr>
      </w:pPr>
      <w:r w:rsidRPr="009D1041">
        <w:rPr>
          <w:b/>
          <w:bCs/>
          <w:i/>
          <w:iCs/>
          <w:color w:val="000000" w:themeColor="text1"/>
          <w:sz w:val="22"/>
          <w:szCs w:val="22"/>
        </w:rPr>
        <w:t xml:space="preserve">Table 2. </w:t>
      </w:r>
      <w:r w:rsidRPr="009D1041">
        <w:rPr>
          <w:i/>
          <w:iCs/>
          <w:color w:val="000000" w:themeColor="text1"/>
          <w:sz w:val="22"/>
          <w:szCs w:val="22"/>
        </w:rPr>
        <w:t>Posterior summaries for the supplementary Bayesian M2 robustness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2200"/>
        <w:gridCol w:w="1200"/>
        <w:gridCol w:w="1660"/>
      </w:tblGrid>
      <w:tr w:rsidR="00891F74" w:rsidRPr="009D1041" w14:paraId="0BB4C84B" w14:textId="77777777" w:rsidTr="001F0BA9">
        <w:tc>
          <w:tcPr>
            <w:tcW w:w="30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3178C49D" w14:textId="77777777" w:rsidR="00891F74" w:rsidRPr="009D1041" w:rsidRDefault="00891F74" w:rsidP="001F0BA9">
            <w:pPr>
              <w:rPr>
                <w:color w:val="000000" w:themeColor="text1"/>
              </w:rPr>
            </w:pPr>
            <w:r w:rsidRPr="009D1041">
              <w:rPr>
                <w:b/>
                <w:bCs/>
                <w:color w:val="000000" w:themeColor="text1"/>
                <w:sz w:val="20"/>
                <w:szCs w:val="20"/>
              </w:rPr>
              <w:t>Parameter</w:t>
            </w:r>
          </w:p>
        </w:tc>
        <w:tc>
          <w:tcPr>
            <w:tcW w:w="13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011B9A46" w14:textId="77777777" w:rsidR="00891F74" w:rsidRPr="009D1041" w:rsidRDefault="00891F74" w:rsidP="001F0BA9">
            <w:pPr>
              <w:jc w:val="center"/>
              <w:rPr>
                <w:color w:val="000000" w:themeColor="text1"/>
              </w:rPr>
            </w:pPr>
            <w:r w:rsidRPr="009D1041">
              <w:rPr>
                <w:b/>
                <w:bCs/>
                <w:color w:val="000000" w:themeColor="text1"/>
                <w:sz w:val="20"/>
                <w:szCs w:val="20"/>
              </w:rPr>
              <w:t>Posterior M</w:t>
            </w:r>
          </w:p>
        </w:tc>
        <w:tc>
          <w:tcPr>
            <w:tcW w:w="22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1AFA1DBD" w14:textId="77777777" w:rsidR="00891F74" w:rsidRPr="009D1041" w:rsidRDefault="00891F74" w:rsidP="001F0BA9">
            <w:pPr>
              <w:jc w:val="center"/>
              <w:rPr>
                <w:color w:val="000000" w:themeColor="text1"/>
              </w:rPr>
            </w:pPr>
            <w:r w:rsidRPr="009D1041">
              <w:rPr>
                <w:b/>
                <w:bCs/>
                <w:color w:val="000000" w:themeColor="text1"/>
                <w:sz w:val="20"/>
                <w:szCs w:val="20"/>
              </w:rPr>
              <w:t xml:space="preserve">95% </w:t>
            </w:r>
            <w:proofErr w:type="spellStart"/>
            <w:r w:rsidRPr="009D1041">
              <w:rPr>
                <w:b/>
                <w:bCs/>
                <w:color w:val="000000" w:themeColor="text1"/>
                <w:sz w:val="20"/>
                <w:szCs w:val="20"/>
              </w:rPr>
              <w:t>CrI</w:t>
            </w:r>
            <w:proofErr w:type="spellEnd"/>
          </w:p>
        </w:tc>
        <w:tc>
          <w:tcPr>
            <w:tcW w:w="120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085398E2" w14:textId="77777777" w:rsidR="00891F74" w:rsidRPr="009D1041" w:rsidRDefault="00891F74" w:rsidP="001F0BA9">
            <w:pPr>
              <w:jc w:val="center"/>
              <w:rPr>
                <w:color w:val="000000" w:themeColor="text1"/>
              </w:rPr>
            </w:pPr>
            <w:proofErr w:type="spellStart"/>
            <w:proofErr w:type="gramStart"/>
            <w:r w:rsidRPr="009D1041">
              <w:rPr>
                <w:b/>
                <w:bCs/>
                <w:color w:val="000000" w:themeColor="text1"/>
                <w:sz w:val="20"/>
                <w:szCs w:val="20"/>
              </w:rPr>
              <w:t>Pr</w:t>
            </w:r>
            <w:proofErr w:type="spellEnd"/>
            <w:r w:rsidRPr="009D1041">
              <w:rPr>
                <w:b/>
                <w:bCs/>
                <w:color w:val="000000" w:themeColor="text1"/>
                <w:sz w:val="20"/>
                <w:szCs w:val="20"/>
              </w:rPr>
              <w:t>(</w:t>
            </w:r>
            <w:proofErr w:type="gramEnd"/>
            <w:r w:rsidRPr="009D1041">
              <w:rPr>
                <w:b/>
                <w:bCs/>
                <w:color w:val="000000" w:themeColor="text1"/>
                <w:sz w:val="20"/>
                <w:szCs w:val="20"/>
              </w:rPr>
              <w:t>β &gt; 0)</w:t>
            </w:r>
          </w:p>
        </w:tc>
        <w:tc>
          <w:tcPr>
            <w:tcW w:w="1660" w:type="dxa"/>
            <w:tcBorders>
              <w:top w:val="single" w:sz="1" w:space="0" w:color="888888"/>
              <w:left w:val="single" w:sz="1" w:space="0" w:color="888888"/>
              <w:bottom w:val="single" w:sz="1" w:space="0" w:color="888888"/>
              <w:right w:val="single" w:sz="1" w:space="0" w:color="888888"/>
            </w:tcBorders>
            <w:shd w:val="clear" w:color="auto" w:fill="E8ECEF"/>
            <w:tcMar>
              <w:top w:w="60" w:type="dxa"/>
              <w:left w:w="100" w:type="dxa"/>
              <w:bottom w:w="60" w:type="dxa"/>
              <w:right w:w="100" w:type="dxa"/>
            </w:tcMar>
          </w:tcPr>
          <w:p w14:paraId="0A1CBE14" w14:textId="77777777" w:rsidR="00891F74" w:rsidRPr="009D1041" w:rsidRDefault="00891F74" w:rsidP="001F0BA9">
            <w:pPr>
              <w:jc w:val="center"/>
              <w:rPr>
                <w:color w:val="000000" w:themeColor="text1"/>
              </w:rPr>
            </w:pPr>
            <w:r w:rsidRPr="009D1041">
              <w:rPr>
                <w:b/>
                <w:bCs/>
                <w:color w:val="000000" w:themeColor="text1"/>
                <w:sz w:val="20"/>
                <w:szCs w:val="20"/>
              </w:rPr>
              <w:t xml:space="preserve">R̂ / </w:t>
            </w:r>
            <w:proofErr w:type="spellStart"/>
            <w:r w:rsidRPr="009D1041">
              <w:rPr>
                <w:b/>
                <w:bCs/>
                <w:color w:val="000000" w:themeColor="text1"/>
                <w:sz w:val="20"/>
                <w:szCs w:val="20"/>
              </w:rPr>
              <w:t>ESS_bulk</w:t>
            </w:r>
            <w:proofErr w:type="spellEnd"/>
          </w:p>
        </w:tc>
      </w:tr>
      <w:tr w:rsidR="00891F74" w:rsidRPr="009D1041" w14:paraId="03BE67CD" w14:textId="77777777" w:rsidTr="001F0BA9">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17497DD" w14:textId="77777777" w:rsidR="00891F74" w:rsidRPr="009D1041" w:rsidRDefault="00891F74" w:rsidP="001F0BA9">
            <w:pPr>
              <w:rPr>
                <w:color w:val="000000" w:themeColor="text1"/>
              </w:rPr>
            </w:pPr>
            <w:r w:rsidRPr="009D1041">
              <w:rPr>
                <w:color w:val="000000" w:themeColor="text1"/>
                <w:sz w:val="20"/>
                <w:szCs w:val="20"/>
              </w:rPr>
              <w:t>Intercept</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F2B45D" w14:textId="77777777" w:rsidR="00891F74" w:rsidRPr="009D1041" w:rsidRDefault="00891F74" w:rsidP="001F0BA9">
            <w:pPr>
              <w:jc w:val="center"/>
              <w:rPr>
                <w:color w:val="000000" w:themeColor="text1"/>
              </w:rPr>
            </w:pPr>
            <w:r w:rsidRPr="009D1041">
              <w:rPr>
                <w:color w:val="000000" w:themeColor="text1"/>
                <w:sz w:val="20"/>
                <w:szCs w:val="20"/>
              </w:rPr>
              <w:t>−0.01</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9FE4962" w14:textId="77777777" w:rsidR="00891F74" w:rsidRPr="009D1041" w:rsidRDefault="00891F74" w:rsidP="001F0BA9">
            <w:pPr>
              <w:jc w:val="center"/>
              <w:rPr>
                <w:color w:val="000000" w:themeColor="text1"/>
              </w:rPr>
            </w:pPr>
            <w:r w:rsidRPr="009D1041">
              <w:rPr>
                <w:color w:val="000000" w:themeColor="text1"/>
                <w:sz w:val="20"/>
                <w:szCs w:val="20"/>
              </w:rPr>
              <w:t>[−0.26, +0.23]</w:t>
            </w:r>
          </w:p>
        </w:tc>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B5224EC" w14:textId="77777777" w:rsidR="00891F74" w:rsidRPr="009D1041" w:rsidRDefault="00891F74" w:rsidP="001F0BA9">
            <w:pPr>
              <w:jc w:val="center"/>
              <w:rPr>
                <w:color w:val="000000" w:themeColor="text1"/>
              </w:rPr>
            </w:pPr>
            <w:r w:rsidRPr="009D1041">
              <w:rPr>
                <w:color w:val="000000" w:themeColor="text1"/>
                <w:sz w:val="20"/>
                <w:szCs w:val="20"/>
              </w:rPr>
              <w:t>.47</w:t>
            </w:r>
          </w:p>
        </w:tc>
        <w:tc>
          <w:tcPr>
            <w:tcW w:w="16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95F2FEC" w14:textId="77777777" w:rsidR="00891F74" w:rsidRPr="009D1041" w:rsidRDefault="00891F74" w:rsidP="001F0BA9">
            <w:pPr>
              <w:jc w:val="center"/>
              <w:rPr>
                <w:color w:val="000000" w:themeColor="text1"/>
              </w:rPr>
            </w:pPr>
            <w:r w:rsidRPr="009D1041">
              <w:rPr>
                <w:color w:val="000000" w:themeColor="text1"/>
                <w:sz w:val="20"/>
                <w:szCs w:val="20"/>
              </w:rPr>
              <w:t>1.00 / 11177</w:t>
            </w:r>
          </w:p>
        </w:tc>
      </w:tr>
      <w:tr w:rsidR="00891F74" w:rsidRPr="009D1041" w14:paraId="09FE5CB7" w14:textId="77777777" w:rsidTr="001F0BA9">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AA0C8A3" w14:textId="77777777" w:rsidR="00891F74" w:rsidRPr="009D1041" w:rsidRDefault="00891F74" w:rsidP="001F0BA9">
            <w:pPr>
              <w:rPr>
                <w:color w:val="000000" w:themeColor="text1"/>
              </w:rPr>
            </w:pPr>
            <w:r w:rsidRPr="009D1041">
              <w:rPr>
                <w:color w:val="000000" w:themeColor="text1"/>
                <w:sz w:val="20"/>
                <w:szCs w:val="20"/>
              </w:rPr>
              <w:t>mood_t−1 (z)</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53DF2A7" w14:textId="77777777" w:rsidR="00891F74" w:rsidRPr="009D1041" w:rsidRDefault="00891F74" w:rsidP="001F0BA9">
            <w:pPr>
              <w:jc w:val="center"/>
              <w:rPr>
                <w:color w:val="000000" w:themeColor="text1"/>
              </w:rPr>
            </w:pPr>
            <w:r w:rsidRPr="009D1041">
              <w:rPr>
                <w:color w:val="000000" w:themeColor="text1"/>
                <w:sz w:val="20"/>
                <w:szCs w:val="20"/>
              </w:rPr>
              <w:t>−0.12</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492B78C" w14:textId="77777777" w:rsidR="00891F74" w:rsidRPr="009D1041" w:rsidRDefault="00891F74" w:rsidP="001F0BA9">
            <w:pPr>
              <w:jc w:val="center"/>
              <w:rPr>
                <w:color w:val="000000" w:themeColor="text1"/>
              </w:rPr>
            </w:pPr>
            <w:r w:rsidRPr="009D1041">
              <w:rPr>
                <w:color w:val="000000" w:themeColor="text1"/>
                <w:sz w:val="20"/>
                <w:szCs w:val="20"/>
              </w:rPr>
              <w:t>[−0.33, +0.08]</w:t>
            </w:r>
          </w:p>
        </w:tc>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B986F9E" w14:textId="77777777" w:rsidR="00891F74" w:rsidRPr="009D1041" w:rsidRDefault="00891F74" w:rsidP="001F0BA9">
            <w:pPr>
              <w:jc w:val="center"/>
              <w:rPr>
                <w:color w:val="000000" w:themeColor="text1"/>
              </w:rPr>
            </w:pPr>
            <w:r w:rsidRPr="009D1041">
              <w:rPr>
                <w:color w:val="000000" w:themeColor="text1"/>
                <w:sz w:val="20"/>
                <w:szCs w:val="20"/>
              </w:rPr>
              <w:t>.12</w:t>
            </w:r>
          </w:p>
        </w:tc>
        <w:tc>
          <w:tcPr>
            <w:tcW w:w="16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1FEE0AE" w14:textId="77777777" w:rsidR="00891F74" w:rsidRPr="009D1041" w:rsidRDefault="00891F74" w:rsidP="001F0BA9">
            <w:pPr>
              <w:jc w:val="center"/>
              <w:rPr>
                <w:color w:val="000000" w:themeColor="text1"/>
              </w:rPr>
            </w:pPr>
            <w:r w:rsidRPr="009D1041">
              <w:rPr>
                <w:color w:val="000000" w:themeColor="text1"/>
                <w:sz w:val="20"/>
                <w:szCs w:val="20"/>
              </w:rPr>
              <w:t>1.00 / 9763</w:t>
            </w:r>
          </w:p>
        </w:tc>
      </w:tr>
      <w:tr w:rsidR="00891F74" w:rsidRPr="009D1041" w14:paraId="23F4FECC" w14:textId="77777777" w:rsidTr="001F0BA9">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E37825D" w14:textId="77777777" w:rsidR="00891F74" w:rsidRPr="009D1041" w:rsidRDefault="00891F74" w:rsidP="001F0BA9">
            <w:pPr>
              <w:rPr>
                <w:color w:val="000000" w:themeColor="text1"/>
              </w:rPr>
            </w:pPr>
            <w:r w:rsidRPr="009D1041">
              <w:rPr>
                <w:color w:val="000000" w:themeColor="text1"/>
                <w:sz w:val="20"/>
                <w:szCs w:val="20"/>
              </w:rPr>
              <w:t>melatonin</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291183B" w14:textId="77777777" w:rsidR="00891F74" w:rsidRPr="009D1041" w:rsidRDefault="00891F74" w:rsidP="001F0BA9">
            <w:pPr>
              <w:jc w:val="center"/>
              <w:rPr>
                <w:color w:val="000000" w:themeColor="text1"/>
              </w:rPr>
            </w:pPr>
            <w:r w:rsidRPr="009D1041">
              <w:rPr>
                <w:color w:val="000000" w:themeColor="text1"/>
                <w:sz w:val="20"/>
                <w:szCs w:val="20"/>
              </w:rPr>
              <w:t>+0.02</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35B5F3C" w14:textId="77777777" w:rsidR="00891F74" w:rsidRPr="009D1041" w:rsidRDefault="00891F74" w:rsidP="001F0BA9">
            <w:pPr>
              <w:jc w:val="center"/>
              <w:rPr>
                <w:color w:val="000000" w:themeColor="text1"/>
              </w:rPr>
            </w:pPr>
            <w:r w:rsidRPr="009D1041">
              <w:rPr>
                <w:color w:val="000000" w:themeColor="text1"/>
                <w:sz w:val="20"/>
                <w:szCs w:val="20"/>
              </w:rPr>
              <w:t>[−0.32, +0.35]</w:t>
            </w:r>
          </w:p>
        </w:tc>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61456E" w14:textId="77777777" w:rsidR="00891F74" w:rsidRPr="009D1041" w:rsidRDefault="00891F74" w:rsidP="001F0BA9">
            <w:pPr>
              <w:jc w:val="center"/>
              <w:rPr>
                <w:color w:val="000000" w:themeColor="text1"/>
              </w:rPr>
            </w:pPr>
            <w:r w:rsidRPr="009D1041">
              <w:rPr>
                <w:color w:val="000000" w:themeColor="text1"/>
                <w:sz w:val="20"/>
                <w:szCs w:val="20"/>
              </w:rPr>
              <w:t>.54</w:t>
            </w:r>
          </w:p>
        </w:tc>
        <w:tc>
          <w:tcPr>
            <w:tcW w:w="16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5B1757D" w14:textId="77777777" w:rsidR="00891F74" w:rsidRPr="009D1041" w:rsidRDefault="00891F74" w:rsidP="001F0BA9">
            <w:pPr>
              <w:jc w:val="center"/>
              <w:rPr>
                <w:color w:val="000000" w:themeColor="text1"/>
              </w:rPr>
            </w:pPr>
            <w:r w:rsidRPr="009D1041">
              <w:rPr>
                <w:color w:val="000000" w:themeColor="text1"/>
                <w:sz w:val="20"/>
                <w:szCs w:val="20"/>
              </w:rPr>
              <w:t>1.00 / 11204</w:t>
            </w:r>
          </w:p>
        </w:tc>
      </w:tr>
      <w:tr w:rsidR="00891F74" w:rsidRPr="009D1041" w14:paraId="63B74426" w14:textId="77777777" w:rsidTr="001F0BA9">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DFAF68" w14:textId="77777777" w:rsidR="00891F74" w:rsidRPr="009D1041" w:rsidRDefault="00891F74" w:rsidP="001F0BA9">
            <w:pPr>
              <w:rPr>
                <w:color w:val="000000" w:themeColor="text1"/>
              </w:rPr>
            </w:pPr>
            <w:r w:rsidRPr="009D1041">
              <w:rPr>
                <w:i/>
                <w:iCs/>
                <w:color w:val="000000" w:themeColor="text1"/>
                <w:sz w:val="20"/>
                <w:szCs w:val="20"/>
              </w:rPr>
              <w:t>agency (z)</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58CD5A" w14:textId="77777777" w:rsidR="00891F74" w:rsidRPr="009D1041" w:rsidRDefault="00891F74" w:rsidP="001F0BA9">
            <w:pPr>
              <w:jc w:val="center"/>
              <w:rPr>
                <w:color w:val="000000" w:themeColor="text1"/>
              </w:rPr>
            </w:pPr>
            <w:r w:rsidRPr="009D1041">
              <w:rPr>
                <w:i/>
                <w:iCs/>
                <w:color w:val="000000" w:themeColor="text1"/>
                <w:sz w:val="20"/>
                <w:szCs w:val="20"/>
              </w:rPr>
              <w:t>+0.55</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1CA9B62" w14:textId="77777777" w:rsidR="00891F74" w:rsidRPr="009D1041" w:rsidRDefault="00891F74" w:rsidP="001F0BA9">
            <w:pPr>
              <w:jc w:val="center"/>
              <w:rPr>
                <w:color w:val="000000" w:themeColor="text1"/>
              </w:rPr>
            </w:pPr>
            <w:r w:rsidRPr="009D1041">
              <w:rPr>
                <w:i/>
                <w:iCs/>
                <w:color w:val="000000" w:themeColor="text1"/>
                <w:sz w:val="20"/>
                <w:szCs w:val="20"/>
              </w:rPr>
              <w:t>[+0.34, +0.76]</w:t>
            </w:r>
          </w:p>
        </w:tc>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4B7E673" w14:textId="77777777" w:rsidR="00891F74" w:rsidRPr="009D1041" w:rsidRDefault="00891F74" w:rsidP="001F0BA9">
            <w:pPr>
              <w:jc w:val="center"/>
              <w:rPr>
                <w:color w:val="000000" w:themeColor="text1"/>
              </w:rPr>
            </w:pPr>
            <w:r w:rsidRPr="009D1041">
              <w:rPr>
                <w:i/>
                <w:iCs/>
                <w:color w:val="000000" w:themeColor="text1"/>
                <w:sz w:val="20"/>
                <w:szCs w:val="20"/>
              </w:rPr>
              <w:t>1.00</w:t>
            </w:r>
          </w:p>
        </w:tc>
        <w:tc>
          <w:tcPr>
            <w:tcW w:w="16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E10C089" w14:textId="77777777" w:rsidR="00891F74" w:rsidRPr="009D1041" w:rsidRDefault="00891F74" w:rsidP="001F0BA9">
            <w:pPr>
              <w:jc w:val="center"/>
              <w:rPr>
                <w:color w:val="000000" w:themeColor="text1"/>
              </w:rPr>
            </w:pPr>
            <w:r w:rsidRPr="009D1041">
              <w:rPr>
                <w:i/>
                <w:iCs/>
                <w:color w:val="000000" w:themeColor="text1"/>
                <w:sz w:val="20"/>
                <w:szCs w:val="20"/>
              </w:rPr>
              <w:t>1.00 / 9894</w:t>
            </w:r>
          </w:p>
        </w:tc>
      </w:tr>
      <w:tr w:rsidR="00891F74" w:rsidRPr="009D1041" w14:paraId="1E6E17B0" w14:textId="77777777" w:rsidTr="001F0BA9">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BE53BA" w14:textId="77777777" w:rsidR="00891F74" w:rsidRPr="009D1041" w:rsidRDefault="00891F74" w:rsidP="001F0BA9">
            <w:pPr>
              <w:rPr>
                <w:color w:val="000000" w:themeColor="text1"/>
              </w:rPr>
            </w:pPr>
            <w:r w:rsidRPr="009D1041">
              <w:rPr>
                <w:i/>
                <w:iCs/>
                <w:color w:val="000000" w:themeColor="text1"/>
                <w:sz w:val="20"/>
                <w:szCs w:val="20"/>
              </w:rPr>
              <w:t>metacognition (z)</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9ECBF5" w14:textId="77777777" w:rsidR="00891F74" w:rsidRPr="009D1041" w:rsidRDefault="00891F74" w:rsidP="001F0BA9">
            <w:pPr>
              <w:jc w:val="center"/>
              <w:rPr>
                <w:color w:val="000000" w:themeColor="text1"/>
              </w:rPr>
            </w:pPr>
            <w:r w:rsidRPr="009D1041">
              <w:rPr>
                <w:i/>
                <w:iCs/>
                <w:color w:val="000000" w:themeColor="text1"/>
                <w:sz w:val="20"/>
                <w:szCs w:val="20"/>
              </w:rPr>
              <w:t>+0.42</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F03311F" w14:textId="77777777" w:rsidR="00891F74" w:rsidRPr="009D1041" w:rsidRDefault="00891F74" w:rsidP="001F0BA9">
            <w:pPr>
              <w:jc w:val="center"/>
              <w:rPr>
                <w:color w:val="000000" w:themeColor="text1"/>
              </w:rPr>
            </w:pPr>
            <w:r w:rsidRPr="009D1041">
              <w:rPr>
                <w:i/>
                <w:iCs/>
                <w:color w:val="000000" w:themeColor="text1"/>
                <w:sz w:val="20"/>
                <w:szCs w:val="20"/>
              </w:rPr>
              <w:t>[+0.20, +0.64]</w:t>
            </w:r>
          </w:p>
        </w:tc>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880582A" w14:textId="77777777" w:rsidR="00891F74" w:rsidRPr="009D1041" w:rsidRDefault="00891F74" w:rsidP="001F0BA9">
            <w:pPr>
              <w:jc w:val="center"/>
              <w:rPr>
                <w:color w:val="000000" w:themeColor="text1"/>
              </w:rPr>
            </w:pPr>
            <w:r w:rsidRPr="009D1041">
              <w:rPr>
                <w:i/>
                <w:iCs/>
                <w:color w:val="000000" w:themeColor="text1"/>
                <w:sz w:val="20"/>
                <w:szCs w:val="20"/>
              </w:rPr>
              <w:t>.9998</w:t>
            </w:r>
          </w:p>
        </w:tc>
        <w:tc>
          <w:tcPr>
            <w:tcW w:w="16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EC31E4B" w14:textId="77777777" w:rsidR="00891F74" w:rsidRPr="009D1041" w:rsidRDefault="00891F74" w:rsidP="001F0BA9">
            <w:pPr>
              <w:jc w:val="center"/>
              <w:rPr>
                <w:color w:val="000000" w:themeColor="text1"/>
              </w:rPr>
            </w:pPr>
            <w:r w:rsidRPr="009D1041">
              <w:rPr>
                <w:i/>
                <w:iCs/>
                <w:color w:val="000000" w:themeColor="text1"/>
                <w:sz w:val="20"/>
                <w:szCs w:val="20"/>
              </w:rPr>
              <w:t>1.00 / 9306</w:t>
            </w:r>
          </w:p>
        </w:tc>
      </w:tr>
      <w:tr w:rsidR="00891F74" w:rsidRPr="009D1041" w14:paraId="539F9471" w14:textId="77777777" w:rsidTr="001F0BA9">
        <w:tc>
          <w:tcPr>
            <w:tcW w:w="30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08F78C2" w14:textId="77777777" w:rsidR="00891F74" w:rsidRPr="009D1041" w:rsidRDefault="00891F74" w:rsidP="001F0BA9">
            <w:pPr>
              <w:rPr>
                <w:color w:val="000000" w:themeColor="text1"/>
              </w:rPr>
            </w:pPr>
            <w:r w:rsidRPr="009D1041">
              <w:rPr>
                <w:color w:val="000000" w:themeColor="text1"/>
                <w:sz w:val="20"/>
                <w:szCs w:val="20"/>
              </w:rPr>
              <w:t>σ</w:t>
            </w:r>
          </w:p>
        </w:tc>
        <w:tc>
          <w:tcPr>
            <w:tcW w:w="13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B185856" w14:textId="77777777" w:rsidR="00891F74" w:rsidRPr="009D1041" w:rsidRDefault="00891F74" w:rsidP="001F0BA9">
            <w:pPr>
              <w:jc w:val="center"/>
              <w:rPr>
                <w:color w:val="000000" w:themeColor="text1"/>
              </w:rPr>
            </w:pPr>
            <w:r w:rsidRPr="009D1041">
              <w:rPr>
                <w:color w:val="000000" w:themeColor="text1"/>
                <w:sz w:val="20"/>
                <w:szCs w:val="20"/>
              </w:rPr>
              <w:t>+0.64</w:t>
            </w:r>
          </w:p>
        </w:tc>
        <w:tc>
          <w:tcPr>
            <w:tcW w:w="2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0019504" w14:textId="77777777" w:rsidR="00891F74" w:rsidRPr="009D1041" w:rsidRDefault="00891F74" w:rsidP="001F0BA9">
            <w:pPr>
              <w:jc w:val="center"/>
              <w:rPr>
                <w:color w:val="000000" w:themeColor="text1"/>
              </w:rPr>
            </w:pPr>
            <w:r w:rsidRPr="009D1041">
              <w:rPr>
                <w:color w:val="000000" w:themeColor="text1"/>
                <w:sz w:val="20"/>
                <w:szCs w:val="20"/>
              </w:rPr>
              <w:t>[+0.52, +0.78]</w:t>
            </w:r>
          </w:p>
        </w:tc>
        <w:tc>
          <w:tcPr>
            <w:tcW w:w="12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7BE7B28" w14:textId="77777777" w:rsidR="00891F74" w:rsidRPr="009D1041" w:rsidRDefault="00891F74" w:rsidP="001F0BA9">
            <w:pPr>
              <w:jc w:val="center"/>
              <w:rPr>
                <w:color w:val="000000" w:themeColor="text1"/>
              </w:rPr>
            </w:pPr>
            <w:r w:rsidRPr="009D1041">
              <w:rPr>
                <w:color w:val="000000" w:themeColor="text1"/>
                <w:sz w:val="20"/>
                <w:szCs w:val="20"/>
              </w:rPr>
              <w:t>n/a</w:t>
            </w:r>
          </w:p>
        </w:tc>
        <w:tc>
          <w:tcPr>
            <w:tcW w:w="16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1876E4E" w14:textId="77777777" w:rsidR="00891F74" w:rsidRPr="009D1041" w:rsidRDefault="00891F74" w:rsidP="001F0BA9">
            <w:pPr>
              <w:jc w:val="center"/>
              <w:rPr>
                <w:color w:val="000000" w:themeColor="text1"/>
              </w:rPr>
            </w:pPr>
            <w:r w:rsidRPr="009D1041">
              <w:rPr>
                <w:color w:val="000000" w:themeColor="text1"/>
                <w:sz w:val="20"/>
                <w:szCs w:val="20"/>
              </w:rPr>
              <w:t>1.00 / 10011</w:t>
            </w:r>
          </w:p>
        </w:tc>
      </w:tr>
    </w:tbl>
    <w:p w14:paraId="2C0E9D13" w14:textId="77777777" w:rsidR="00891F74" w:rsidRPr="009D1041" w:rsidRDefault="00891F74" w:rsidP="00891F74">
      <w:pPr>
        <w:spacing w:before="60" w:after="240" w:line="320" w:lineRule="auto"/>
        <w:rPr>
          <w:color w:val="000000" w:themeColor="text1"/>
        </w:rPr>
      </w:pPr>
      <w:r w:rsidRPr="009D1041">
        <w:rPr>
          <w:i/>
          <w:iCs/>
          <w:color w:val="000000" w:themeColor="text1"/>
          <w:sz w:val="20"/>
          <w:szCs w:val="20"/>
        </w:rPr>
        <w:lastRenderedPageBreak/>
        <w:t xml:space="preserve">Note. </w:t>
      </w:r>
      <w:r w:rsidRPr="009D1041">
        <w:rPr>
          <w:color w:val="000000" w:themeColor="text1"/>
          <w:sz w:val="20"/>
          <w:szCs w:val="20"/>
        </w:rPr>
        <w:t xml:space="preserve">Day 18–70 subsample (n = 53). Continuous variables standardized; melatonin retained as 0/1. Priors: coefficients ~ </w:t>
      </w:r>
      <w:proofErr w:type="gramStart"/>
      <w:r w:rsidRPr="009D1041">
        <w:rPr>
          <w:color w:val="000000" w:themeColor="text1"/>
          <w:sz w:val="20"/>
          <w:szCs w:val="20"/>
        </w:rPr>
        <w:t>Normal(</w:t>
      </w:r>
      <w:proofErr w:type="gramEnd"/>
      <w:r w:rsidRPr="009D1041">
        <w:rPr>
          <w:color w:val="000000" w:themeColor="text1"/>
          <w:sz w:val="20"/>
          <w:szCs w:val="20"/>
        </w:rPr>
        <w:t>0, 1); intercept ~ Student-</w:t>
      </w:r>
      <w:proofErr w:type="gramStart"/>
      <w:r w:rsidRPr="009D1041">
        <w:rPr>
          <w:color w:val="000000" w:themeColor="text1"/>
          <w:sz w:val="20"/>
          <w:szCs w:val="20"/>
        </w:rPr>
        <w:t>t(</w:t>
      </w:r>
      <w:proofErr w:type="gramEnd"/>
      <w:r w:rsidRPr="009D1041">
        <w:rPr>
          <w:color w:val="000000" w:themeColor="text1"/>
          <w:sz w:val="20"/>
          <w:szCs w:val="20"/>
        </w:rPr>
        <w:t xml:space="preserve">3, 0, 2.5); σ ~ </w:t>
      </w:r>
      <w:proofErr w:type="gramStart"/>
      <w:r w:rsidRPr="009D1041">
        <w:rPr>
          <w:color w:val="000000" w:themeColor="text1"/>
          <w:sz w:val="20"/>
          <w:szCs w:val="20"/>
        </w:rPr>
        <w:t>Exponential(</w:t>
      </w:r>
      <w:proofErr w:type="gramEnd"/>
      <w:r w:rsidRPr="009D1041">
        <w:rPr>
          <w:color w:val="000000" w:themeColor="text1"/>
          <w:sz w:val="20"/>
          <w:szCs w:val="20"/>
        </w:rPr>
        <w:t xml:space="preserve">1). Four MCMC chains yielded 12,000 post-warmup posterior draws. Posterior M = posterior mean. </w:t>
      </w:r>
      <w:proofErr w:type="spellStart"/>
      <w:r w:rsidRPr="009D1041">
        <w:rPr>
          <w:color w:val="000000" w:themeColor="text1"/>
          <w:sz w:val="20"/>
          <w:szCs w:val="20"/>
        </w:rPr>
        <w:t>CrI</w:t>
      </w:r>
      <w:proofErr w:type="spellEnd"/>
      <w:r w:rsidRPr="009D1041">
        <w:rPr>
          <w:color w:val="000000" w:themeColor="text1"/>
          <w:sz w:val="20"/>
          <w:szCs w:val="20"/>
        </w:rPr>
        <w:t xml:space="preserve"> = 95% equal-tailed credible interval. </w:t>
      </w:r>
      <w:proofErr w:type="spellStart"/>
      <w:proofErr w:type="gramStart"/>
      <w:r w:rsidRPr="009D1041">
        <w:rPr>
          <w:color w:val="000000" w:themeColor="text1"/>
          <w:sz w:val="20"/>
          <w:szCs w:val="20"/>
        </w:rPr>
        <w:t>Pr</w:t>
      </w:r>
      <w:proofErr w:type="spellEnd"/>
      <w:r w:rsidRPr="009D1041">
        <w:rPr>
          <w:color w:val="000000" w:themeColor="text1"/>
          <w:sz w:val="20"/>
          <w:szCs w:val="20"/>
        </w:rPr>
        <w:t>(</w:t>
      </w:r>
      <w:proofErr w:type="gramEnd"/>
      <w:r w:rsidRPr="009D1041">
        <w:rPr>
          <w:color w:val="000000" w:themeColor="text1"/>
          <w:sz w:val="20"/>
          <w:szCs w:val="20"/>
        </w:rPr>
        <w:t xml:space="preserve">β &gt; 0) = proportion of posterior draws greater than zero. All R̂ values ≤ 1.001; </w:t>
      </w:r>
      <w:proofErr w:type="spellStart"/>
      <w:r w:rsidRPr="009D1041">
        <w:rPr>
          <w:color w:val="000000" w:themeColor="text1"/>
          <w:sz w:val="20"/>
          <w:szCs w:val="20"/>
        </w:rPr>
        <w:t>ESS_bulk</w:t>
      </w:r>
      <w:proofErr w:type="spellEnd"/>
      <w:r w:rsidRPr="009D1041">
        <w:rPr>
          <w:color w:val="000000" w:themeColor="text1"/>
          <w:sz w:val="20"/>
          <w:szCs w:val="20"/>
        </w:rPr>
        <w:t xml:space="preserve"> reported. All </w:t>
      </w:r>
      <w:proofErr w:type="spellStart"/>
      <w:r w:rsidRPr="009D1041">
        <w:rPr>
          <w:color w:val="000000" w:themeColor="text1"/>
          <w:sz w:val="20"/>
          <w:szCs w:val="20"/>
        </w:rPr>
        <w:t>ESS_tail</w:t>
      </w:r>
      <w:proofErr w:type="spellEnd"/>
      <w:r w:rsidRPr="009D1041">
        <w:rPr>
          <w:color w:val="000000" w:themeColor="text1"/>
          <w:sz w:val="20"/>
          <w:szCs w:val="20"/>
        </w:rPr>
        <w:t xml:space="preserve"> also exceeded 7,000 (not shown), indicating adequate sampling convergence.</w:t>
      </w:r>
    </w:p>
    <w:p w14:paraId="47ACBC91"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Bayesian </w:t>
      </w:r>
      <w:proofErr w:type="spellStart"/>
      <w:r w:rsidRPr="009D1041">
        <w:rPr>
          <w:color w:val="000000" w:themeColor="text1"/>
        </w:rPr>
        <w:t>metacontrol</w:t>
      </w:r>
      <w:proofErr w:type="spellEnd"/>
      <w:r w:rsidRPr="009D1041">
        <w:rPr>
          <w:color w:val="000000" w:themeColor="text1"/>
        </w:rPr>
        <w:t xml:space="preserve"> model (Section 2.5.9, secondary) yielded a negative posterior mean for the melatonin × metacognition interaction (β = −0.04, 95% </w:t>
      </w:r>
      <w:proofErr w:type="spellStart"/>
      <w:r w:rsidRPr="009D1041">
        <w:rPr>
          <w:color w:val="000000" w:themeColor="text1"/>
        </w:rPr>
        <w:t>CrI</w:t>
      </w:r>
      <w:proofErr w:type="spellEnd"/>
      <w:r w:rsidRPr="009D1041">
        <w:rPr>
          <w:color w:val="000000" w:themeColor="text1"/>
        </w:rPr>
        <w:t xml:space="preserve"> [−0.39, +0.31], </w:t>
      </w:r>
      <w:proofErr w:type="spellStart"/>
      <w:proofErr w:type="gramStart"/>
      <w:r w:rsidRPr="009D1041">
        <w:rPr>
          <w:color w:val="000000" w:themeColor="text1"/>
        </w:rPr>
        <w:t>Pr</w:t>
      </w:r>
      <w:proofErr w:type="spellEnd"/>
      <w:r w:rsidRPr="009D1041">
        <w:rPr>
          <w:color w:val="000000" w:themeColor="text1"/>
        </w:rPr>
        <w:t>(</w:t>
      </w:r>
      <w:proofErr w:type="gramEnd"/>
      <w:r w:rsidRPr="009D1041">
        <w:rPr>
          <w:color w:val="000000" w:themeColor="text1"/>
        </w:rPr>
        <w:t xml:space="preserve">β &lt; 0) = .59), consistent with the hypothesized direction of metacognitive buffering but with a credible interval clearly spanning zero. The </w:t>
      </w:r>
      <w:proofErr w:type="spellStart"/>
      <w:r w:rsidRPr="009D1041">
        <w:rPr>
          <w:color w:val="000000" w:themeColor="text1"/>
        </w:rPr>
        <w:t>metacontrol</w:t>
      </w:r>
      <w:proofErr w:type="spellEnd"/>
      <w:r w:rsidRPr="009D1041">
        <w:rPr>
          <w:color w:val="000000" w:themeColor="text1"/>
        </w:rPr>
        <w:t xml:space="preserve"> interaction therefore remains direction-consistent but underpowered under both frequentist and Bayesian inferential </w:t>
      </w:r>
      <w:proofErr w:type="gramStart"/>
      <w:r w:rsidRPr="009D1041">
        <w:rPr>
          <w:color w:val="000000" w:themeColor="text1"/>
        </w:rPr>
        <w:t>frameworks, and</w:t>
      </w:r>
      <w:proofErr w:type="gramEnd"/>
      <w:r w:rsidRPr="009D1041">
        <w:rPr>
          <w:color w:val="000000" w:themeColor="text1"/>
        </w:rPr>
        <w:t xml:space="preserve"> is interpreted as suggestive rather than confirmatory.</w:t>
      </w:r>
    </w:p>
    <w:p w14:paraId="48CAD846"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4. Discussion</w:t>
      </w:r>
    </w:p>
    <w:p w14:paraId="28D7C7DA"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4.1 The Melatonin Probe: Null on Level, by Design</w:t>
      </w:r>
    </w:p>
    <w:p w14:paraId="791AC88A"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most direct empirical question, whether melatonin shifts average daily mood, yielded a small and statistically non-significant mean difference. The point estimate was Δ = +1.03 on a 0–100 scale (d = 0.19), the M1 model added negligible variance over the </w:t>
      </w:r>
      <w:proofErr w:type="gramStart"/>
      <w:r w:rsidRPr="009D1041">
        <w:rPr>
          <w:color w:val="000000" w:themeColor="text1"/>
        </w:rPr>
        <w:t>AR(</w:t>
      </w:r>
      <w:proofErr w:type="gramEnd"/>
      <w:r w:rsidRPr="009D1041">
        <w:rPr>
          <w:color w:val="000000" w:themeColor="text1"/>
        </w:rPr>
        <w:t>1) baseline (ΔR² = 0.010), and within the full model containing internal drivers the melatonin coefficient was essentially zero (β = 0.06, 95% CI [−1.24, +1.36]). Within a hypothesis-testing framework, this would constitute an inconclusive null: a non-significant result with insufficient evidence to support inference in either direction.</w:t>
      </w:r>
    </w:p>
    <w:p w14:paraId="138C47E1"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framing developed in Section 1.2 was intended to change what such a null is taken to mean rather than to dispute the result itself. Within a control-theoretic account of the system, melatonin is treated not as a candidate treatment but as a perturbation of known presence and absence, applied to characterize the system’s response function. From this vantage point, the relevant evidential </w:t>
      </w:r>
      <w:r w:rsidRPr="009D1041">
        <w:rPr>
          <w:color w:val="000000" w:themeColor="text1"/>
        </w:rPr>
        <w:lastRenderedPageBreak/>
        <w:t>question is not whether the probe’s contribution to the mean differs from zero but how it compares in magnitude to the contributions of the system’s endogenous drivers. The drop-one decomposition reported in Section 3.2 makes that comparison directly: on this individual’s data, agency and metacognition predict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14:paraId="07AE2BE1" w14:textId="77777777" w:rsidR="00891F74" w:rsidRPr="009D1041" w:rsidRDefault="00891F74" w:rsidP="00891F74">
      <w:pPr>
        <w:spacing w:after="120" w:line="480" w:lineRule="auto"/>
        <w:jc w:val="both"/>
        <w:rPr>
          <w:color w:val="000000" w:themeColor="text1"/>
        </w:rPr>
      </w:pPr>
      <w:r w:rsidRPr="009D1041">
        <w:rPr>
          <w:color w:val="000000" w:themeColor="text1"/>
        </w:rPr>
        <w:t>The conclusion is constrained in two ways that should be made explicit. The 95% confidence interval on the M2 melatonin coefficient does not exclude small effects in either direction, and the present sample contains 53 days of full-model data and cannot rule out a small mean shift that would be detectable at higher power. The interpretation offered here is therefore not “melatonin has no effect on this person’s mood” but “melatonin’s contribution to this person’s daily mood, in the presence of measured internal drivers, is functionally negligible relative to those drivers.”</w:t>
      </w:r>
    </w:p>
    <w:p w14:paraId="3FD5FF80"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4.2 Internal Behavioral State as the Dominant Predictor of Daily Affect</w:t>
      </w:r>
    </w:p>
    <w:p w14:paraId="0FB7A426" w14:textId="77777777" w:rsidR="00891F74" w:rsidRPr="009D1041" w:rsidRDefault="00891F74" w:rsidP="00891F74">
      <w:pPr>
        <w:spacing w:after="120" w:line="480" w:lineRule="auto"/>
        <w:jc w:val="both"/>
        <w:rPr>
          <w:color w:val="000000" w:themeColor="text1"/>
        </w:rPr>
      </w:pPr>
      <w:r w:rsidRPr="009D1041">
        <w:rPr>
          <w:color w:val="000000" w:themeColor="text1"/>
        </w:rPr>
        <w:t>The most informative finding in this study is the magnitude of the internal-driver contribution. Daily perceived agency contributed an incremental 20.1% of variance to the daily-mood model after accounting for emotional inertia, the external probe, and metacognitive awareness. Daily metacognition contributed an incremental 10.6% under the same controls. Both effects were estimated with narrow confidence intervals and reliably distinguishable from zero (β_agency = 0.54, 95% CI [0.33, 0.74], p &lt; .001; β_</w:t>
      </w:r>
      <w:proofErr w:type="spellStart"/>
      <w:r w:rsidRPr="009D1041">
        <w:rPr>
          <w:color w:val="000000" w:themeColor="text1"/>
        </w:rPr>
        <w:t>metacog</w:t>
      </w:r>
      <w:proofErr w:type="spellEnd"/>
      <w:r w:rsidRPr="009D1041">
        <w:rPr>
          <w:color w:val="000000" w:themeColor="text1"/>
        </w:rPr>
        <w:t xml:space="preserve"> = 0.44, 95% CI [0.20, 0.67], p &lt; .001). The two internal drivers jointly raised the model R² from .121 (M1) to .637 (M2), an increase of more than half a unit of variance.</w:t>
      </w:r>
    </w:p>
    <w:p w14:paraId="132106B2" w14:textId="77777777" w:rsidR="00891F74" w:rsidRPr="009D1041" w:rsidRDefault="00891F74" w:rsidP="00891F74">
      <w:pPr>
        <w:spacing w:after="120" w:line="480" w:lineRule="auto"/>
        <w:jc w:val="both"/>
        <w:rPr>
          <w:color w:val="000000" w:themeColor="text1"/>
        </w:rPr>
      </w:pPr>
      <w:r w:rsidRPr="009D1041">
        <w:rPr>
          <w:color w:val="000000" w:themeColor="text1"/>
        </w:rPr>
        <w:lastRenderedPageBreak/>
        <w:t>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14:paraId="750A99AD" w14:textId="77777777" w:rsidR="00891F74" w:rsidRPr="009D1041" w:rsidRDefault="00891F74" w:rsidP="00891F74">
      <w:pPr>
        <w:spacing w:after="120" w:line="480" w:lineRule="auto"/>
        <w:jc w:val="both"/>
        <w:rPr>
          <w:color w:val="000000" w:themeColor="text1"/>
        </w:rPr>
      </w:pPr>
      <w:r w:rsidRPr="009D1041">
        <w:rPr>
          <w:color w:val="000000" w:themeColor="text1"/>
        </w:rPr>
        <w:t>The agency × melatonin robustness check provided further evidence for agency as a stable internal organizer. The interaction coefficient was indistinguishable from zero (β = −0.02, 95% CI [−0.38, +0.34], p = .919),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14:paraId="32B678D6"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role of metacognition was somewhat more complex. As a main-effect predictor, metacognition contributed reliably to daily mood (β = 0.44, p &lt; .001), suggesting that the system’s awareness of its own state is itself bound up with its affective state. The </w:t>
      </w:r>
      <w:proofErr w:type="spellStart"/>
      <w:r w:rsidRPr="009D1041">
        <w:rPr>
          <w:color w:val="000000" w:themeColor="text1"/>
        </w:rPr>
        <w:t>metacontrol</w:t>
      </w:r>
      <w:proofErr w:type="spellEnd"/>
      <w:r w:rsidRPr="009D1041">
        <w:rPr>
          <w:color w:val="000000" w:themeColor="text1"/>
        </w:rPr>
        <w:t xml:space="preserve"> interaction, the prediction that higher metacognition would buffer the system against external perturbation, was direction-consistent but not statistically distinguishable from zero (β₃ = −0.14, 95% CI [−0.60, +0.32], p = .544). The simple-slope pattern, in which the apparent melatonin slope reversed sign across the metacognition continuum (from +0.84 at one SD below mean metacognition to −0.17 at one SD above), is consistent with the </w:t>
      </w:r>
      <w:proofErr w:type="spellStart"/>
      <w:r w:rsidRPr="009D1041">
        <w:rPr>
          <w:color w:val="000000" w:themeColor="text1"/>
        </w:rPr>
        <w:t>metacontrol</w:t>
      </w:r>
      <w:proofErr w:type="spellEnd"/>
      <w:r w:rsidRPr="009D1041">
        <w:rPr>
          <w:color w:val="000000" w:themeColor="text1"/>
        </w:rPr>
        <w:t xml:space="preserve"> hypothesis advanced by Metcalfe and Greene (2007) but underpowered to support it inferentially. Larger samples, or interventions that more </w:t>
      </w:r>
      <w:r w:rsidRPr="009D1041">
        <w:rPr>
          <w:color w:val="000000" w:themeColor="text1"/>
        </w:rPr>
        <w:lastRenderedPageBreak/>
        <w:t>strongly perturb the system, would be needed to evaluate this hypothesis more rigorously. The pattern is reported as a direction-consistent suggestion rather than as a confirmed effect.</w:t>
      </w:r>
    </w:p>
    <w:p w14:paraId="1D466E4E"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4.3 A Suggestive Variability Signal: Probe Affects Stability, Not Level</w:t>
      </w:r>
    </w:p>
    <w:p w14:paraId="32026188"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 the heteroskedasticity model regressing log-squared M2 residuals on the melatonin indicator, did reach conventional significance (α₁ = −1.21, p = .044). The state-dependent decay analysis, although individually underpowered, was direction-consistent with this variability pattern: the daily </w:t>
      </w:r>
      <w:proofErr w:type="gramStart"/>
      <w:r w:rsidRPr="009D1041">
        <w:rPr>
          <w:color w:val="000000" w:themeColor="text1"/>
        </w:rPr>
        <w:t>AR(</w:t>
      </w:r>
      <w:proofErr w:type="gramEnd"/>
      <w:r w:rsidRPr="009D1041">
        <w:rPr>
          <w:color w:val="000000" w:themeColor="text1"/>
        </w:rPr>
        <w:t>1) coefficient was lower on melatonin days (φ = 0.22) than on control days (φ = 0.47), implying faster recovery from perturbation on melatonin days.</w:t>
      </w:r>
    </w:p>
    <w:p w14:paraId="206464EB"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This pattern is consistent with the pharmacology of melatonin. Melatonin is a </w:t>
      </w:r>
      <w:proofErr w:type="spellStart"/>
      <w:r w:rsidRPr="009D1041">
        <w:rPr>
          <w:color w:val="000000" w:themeColor="text1"/>
        </w:rPr>
        <w:t>chronobiotic</w:t>
      </w:r>
      <w:proofErr w:type="spellEnd"/>
      <w:r w:rsidRPr="009D1041">
        <w:rPr>
          <w:color w:val="000000" w:themeColor="text1"/>
        </w:rPr>
        <w:t>,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14:paraId="46803BED"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lastRenderedPageBreak/>
        <w:t>4.4 Limitations</w:t>
      </w:r>
    </w:p>
    <w:p w14:paraId="4087C18C"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The single-subject design limits external generalizability by construction; the findings cannot be generalized to other persons or to the same person at other points in time. Whether </w:t>
      </w:r>
      <w:proofErr w:type="gramStart"/>
      <w:r w:rsidRPr="009D1041">
        <w:rPr>
          <w:color w:val="000000" w:themeColor="text1"/>
        </w:rPr>
        <w:t>this individual exhibits</w:t>
      </w:r>
      <w:proofErr w:type="gramEnd"/>
      <w:r w:rsidRPr="009D1041">
        <w:rPr>
          <w:color w:val="000000" w:themeColor="text1"/>
        </w:rPr>
        <w:t xml:space="preserve"> unusually strong internal-driver organization, or whether a comparable contrast between internal-driver variance and external-probe variance is a general feature of human affect under stable environmental conditions, cannot be distinguished from a single-subject design. The variance contrast is informative about this system but not about whether the system is typical. The contribution claimed here is therefore methodological and theoretical (a template for control-theoretic single-system characterization, and an individual-level instance consistent with the agency framework) rather than evidence of inter-individual differences. Multi-subject extensions of the same idiographic pipeline are needed to evaluate whether the pattern reflects this person specifically or a broader regularity.</w:t>
      </w:r>
    </w:p>
    <w:p w14:paraId="3318F885" w14:textId="77777777" w:rsidR="00891F74" w:rsidRPr="009D1041" w:rsidRDefault="00891F74" w:rsidP="00891F74">
      <w:pPr>
        <w:spacing w:after="120" w:line="480" w:lineRule="auto"/>
        <w:jc w:val="both"/>
        <w:rPr>
          <w:color w:val="000000" w:themeColor="text1"/>
        </w:rPr>
      </w:pPr>
      <w:r w:rsidRPr="009D1041">
        <w:rPr>
          <w:color w:val="000000" w:themeColor="text1"/>
        </w:rPr>
        <w:t>Several measurement-level concerns constrain interpretation. Single-item momentary affect measures carry non-trivial measurement error (</w:t>
      </w:r>
      <w:proofErr w:type="spellStart"/>
      <w:r w:rsidRPr="009D1041">
        <w:rPr>
          <w:color w:val="000000" w:themeColor="text1"/>
        </w:rPr>
        <w:t>Dejonckheere</w:t>
      </w:r>
      <w:proofErr w:type="spellEnd"/>
      <w:r w:rsidRPr="009D1041">
        <w:rPr>
          <w:color w:val="000000" w:themeColor="text1"/>
        </w:rPr>
        <w:t xml:space="preserve"> et al., 2022), and the Day-18 protocol amendment restricts the data window for analyses involving agency and metacognition to 53 days, limiting statistical power for interaction tests. Mood, agency, and metacognitive awareness were all measured by single-item self-report at the same EMA prompt, while the melatonin indicator was recorded objectively. The three internal variables share an instrument, a reporter, and a response scale that the external probe does not; their covariance therefore carries a common-method component that may inflate the apparent predictive contribution of agency and metacognition. The variance contrast should be read as a comparison that favors the internal drivers on measurement grounds, not as a calibrated estimate across measurement modalities. </w:t>
      </w:r>
      <w:r w:rsidRPr="009D1041">
        <w:rPr>
          <w:color w:val="000000" w:themeColor="text1"/>
        </w:rPr>
        <w:lastRenderedPageBreak/>
        <w:t>Thrice-daily monitoring may also have increased the salience of these internal states and thereby their observed predictive contribution (Barta et al., 2012; Conner &amp; Reid, 2012).</w:t>
      </w:r>
    </w:p>
    <w:p w14:paraId="6002C5EE" w14:textId="77777777" w:rsidR="00891F74" w:rsidRPr="009D1041" w:rsidRDefault="00891F74" w:rsidP="00891F74">
      <w:pPr>
        <w:spacing w:after="120" w:line="480" w:lineRule="auto"/>
        <w:jc w:val="both"/>
        <w:rPr>
          <w:color w:val="000000" w:themeColor="text1"/>
        </w:rPr>
      </w:pPr>
      <w:r w:rsidRPr="009D1041">
        <w:rPr>
          <w:color w:val="000000" w:themeColor="text1"/>
        </w:rPr>
        <w:t>Several design choices warrant note. Blinding was partial; the participant was aware of having taken melatonin within minutes of bedtime, and complete blinding is not achievable in self-administered, self-reported N-of-1 designs. The melatonin dose (3 mg) was not titrated, and dose-response characterization is beyond the present scope. EMA timing was approximate: delayed responses were retained within one hour of the scheduled prompt, adding minor noise to observation-level analyses but unlikely to affect daily-mean analyses. The participant’s continuous use of a combined oral contraceptive (Section 2.2) suppressed cyclical affective variation associated with the menstrual cycle; while this served the design goal of reducing baseline noise, it also restricts generalizability, as the relative contribution of stable internal drivers might be diminished in the presence of stronger cyclically varying internal perturbations.</w:t>
      </w:r>
    </w:p>
    <w:p w14:paraId="65701D77"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Three inferential limitations should also be noted. The autoregressive lag in M2 does not resolve contemporaneous endogeneity between mood and the internal-driver variables; because the EMA protocol measures mood, agency, and metacognitive awareness simultaneously, the design cannot construct a cross-lagged identification, and the causal direction between affect and the felt sense of intentional progress cannot be tested. The analysis estimates predictive, not causal, contributions. The within-day temporal dependence between lagged mood and the internal drivers may also produce multicollinearity that partly inflates the internal-driver coefficients in M2: the sign reversal of the autoregressive coefficient when agency and metacognition are added (Section 3.2) is consistent with such absorption, and the present analysis does not formally distinguish substantive absorption from shared variance. Future replications should report variance inflation factors and fit cross-lagged structures. Finally, the variability findings (Section 3.4) derive </w:t>
      </w:r>
      <w:r w:rsidRPr="009D1041">
        <w:rPr>
          <w:color w:val="000000" w:themeColor="text1"/>
        </w:rPr>
        <w:lastRenderedPageBreak/>
        <w:t>significance support from a single test in a multi-test family; the direction-consistent pattern across four indices is informative, but the signal should be treated as suggestive pending pre-registered replication.</w:t>
      </w:r>
    </w:p>
    <w:p w14:paraId="19274E8D" w14:textId="77777777" w:rsidR="00891F74" w:rsidRPr="009D1041" w:rsidRDefault="00891F74" w:rsidP="00891F74">
      <w:pPr>
        <w:spacing w:after="120" w:line="480" w:lineRule="auto"/>
        <w:jc w:val="both"/>
        <w:rPr>
          <w:color w:val="000000" w:themeColor="text1"/>
        </w:rPr>
      </w:pPr>
      <w:r w:rsidRPr="009D1041">
        <w:rPr>
          <w:color w:val="000000" w:themeColor="text1"/>
        </w:rPr>
        <w:t>A further interpretive consideration concerns the directness of the predictors compared. Agency and metacognitive awareness are subjective psychological variables measured at the same EMA prompt as mood, placing them in a contemporaneous and potentially mutually constitutive relation with affective state. Melatonin, by contrast, acts on mood only indirectly: a 3 mg evening dose is expected to shift sleep onset and circadian phase rather than mood per se, with downstream effects on next-day mood mediated through sleep variables not measured here. The variance contrast therefore also reflects this asymmetry between directly observed psychological correlates and a pharmacological probe whose effect must propagate through unmeasured physiological channels.</w:t>
      </w:r>
    </w:p>
    <w:p w14:paraId="13FD356B" w14:textId="77777777" w:rsidR="00891F74" w:rsidRPr="009D1041" w:rsidRDefault="00891F74" w:rsidP="00891F74">
      <w:pPr>
        <w:pStyle w:val="Heading2"/>
        <w:spacing w:line="360" w:lineRule="auto"/>
        <w:rPr>
          <w:color w:val="000000" w:themeColor="text1"/>
        </w:rPr>
      </w:pPr>
      <w:r w:rsidRPr="009D1041">
        <w:rPr>
          <w:rFonts w:ascii="Times New Roman" w:eastAsia="Times New Roman" w:hAnsi="Times New Roman" w:cs="Times New Roman"/>
          <w:b/>
          <w:bCs/>
          <w:color w:val="000000" w:themeColor="text1"/>
          <w:sz w:val="26"/>
          <w:szCs w:val="26"/>
        </w:rPr>
        <w:t>4.5 Contribution</w:t>
      </w:r>
    </w:p>
    <w:p w14:paraId="73F6F434" w14:textId="77777777" w:rsidR="00891F74" w:rsidRPr="009D1041" w:rsidRDefault="00891F74" w:rsidP="00891F74">
      <w:pPr>
        <w:spacing w:after="120" w:line="480" w:lineRule="auto"/>
        <w:jc w:val="both"/>
        <w:rPr>
          <w:color w:val="000000" w:themeColor="text1"/>
        </w:rPr>
      </w:pPr>
      <w:r w:rsidRPr="009D1041">
        <w:rPr>
          <w:color w:val="000000" w:themeColor="text1"/>
        </w:rPr>
        <w:t>The present study offers three modest contributions to the affective-dynamics literature.</w:t>
      </w:r>
    </w:p>
    <w:p w14:paraId="640360C8" w14:textId="77777777" w:rsidR="00891F74" w:rsidRPr="009D1041" w:rsidRDefault="00891F74" w:rsidP="00891F74">
      <w:pPr>
        <w:spacing w:after="120" w:line="480" w:lineRule="auto"/>
        <w:jc w:val="both"/>
        <w:rPr>
          <w:color w:val="000000" w:themeColor="text1"/>
        </w:rPr>
      </w:pPr>
      <w:r w:rsidRPr="009D1041">
        <w:rPr>
          <w:color w:val="000000" w:themeColor="text1"/>
        </w:rPr>
        <w:t>First, methodologically, it demonstrates the application of control-theoretic methods (system identification, impulse response analysis, state-space modeling, and conditional heteroskedasticity modeling) 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 The control-theoretic terminology used here (perturbation, sensitivity boundary, system identification) is intended in an analytic and conceptual sense, as a vocabulary for organizing dynamical questions about a single person across time; it is not a claim that the present analyses estimate engineering transfer functions or recover a closed-form physical plant model.</w:t>
      </w:r>
    </w:p>
    <w:p w14:paraId="70A4B617" w14:textId="77777777" w:rsidR="00891F74" w:rsidRPr="009D1041" w:rsidRDefault="00891F74" w:rsidP="00891F74">
      <w:pPr>
        <w:spacing w:after="120" w:line="480" w:lineRule="auto"/>
        <w:jc w:val="both"/>
        <w:rPr>
          <w:color w:val="000000" w:themeColor="text1"/>
        </w:rPr>
      </w:pPr>
      <w:r w:rsidRPr="009D1041">
        <w:rPr>
          <w:color w:val="000000" w:themeColor="text1"/>
        </w:rPr>
        <w:lastRenderedPageBreak/>
        <w:t>Second, theoretically, the study provides individual-level empirical support for an agentic account of affective dynamics in the tradition of Bandura (2001) and Carver and Scheier (1990). The same person whose mood was largely insensitive to a daily pharmacological probe showed mood that covaried strongly with her own moment-to-moment sense of intentional action and self-monitoring. The variance ratios reported here suggest, at least for this individual, that the system’s affective trajectory appears organized primarily by its own self-regulatory machinery and only secondarily by external inputs of small magnitude.</w:t>
      </w:r>
    </w:p>
    <w:p w14:paraId="79EA7D99"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Third, empirically, the study offers a refined reading of melatonin’s signature in this individual’s affect. The probe was null on mean mood and suggestive on mood variability, a pattern compatible with melatonin’s known </w:t>
      </w:r>
      <w:proofErr w:type="spellStart"/>
      <w:r w:rsidRPr="009D1041">
        <w:rPr>
          <w:color w:val="000000" w:themeColor="text1"/>
        </w:rPr>
        <w:t>chronobiotic</w:t>
      </w:r>
      <w:proofErr w:type="spellEnd"/>
      <w:r w:rsidRPr="009D1041">
        <w:rPr>
          <w:color w:val="000000" w:themeColor="text1"/>
        </w:rPr>
        <w:t xml:space="preserve"> rather than antidepressant function, and one that points to the importance of testing pharmacological effects on the dynamics of affective trajectories rather than only on their levels. This finding warrants larger and pre-registered replication.</w:t>
      </w:r>
    </w:p>
    <w:p w14:paraId="33E15057" w14:textId="77777777" w:rsidR="00891F74" w:rsidRPr="009D1041" w:rsidRDefault="00891F74" w:rsidP="00891F74">
      <w:pPr>
        <w:spacing w:after="120" w:line="480" w:lineRule="auto"/>
        <w:jc w:val="both"/>
        <w:rPr>
          <w:color w:val="000000" w:themeColor="text1"/>
        </w:rPr>
      </w:pPr>
      <w:r w:rsidRPr="009D1041">
        <w:rPr>
          <w:color w:val="000000" w:themeColor="text1"/>
        </w:rPr>
        <w:t>A non-significant intervention effect, read within a control-theoretic framework, can be informative rather than inconclusive: it identifies the sensitivity boundary of a system whose primary organizing forces lie elsewhere.</w:t>
      </w:r>
    </w:p>
    <w:p w14:paraId="65D3F9E3" w14:textId="77777777" w:rsidR="00891F74" w:rsidRPr="009D1041" w:rsidRDefault="00891F74" w:rsidP="00891F74">
      <w:pPr>
        <w:spacing w:after="120" w:line="480" w:lineRule="auto"/>
        <w:jc w:val="both"/>
        <w:rPr>
          <w:color w:val="000000" w:themeColor="text1"/>
        </w:rPr>
      </w:pPr>
      <w:r w:rsidRPr="009D1041">
        <w:rPr>
          <w:color w:val="000000" w:themeColor="text1"/>
        </w:rPr>
        <w:t>In conclusion, this study illustrates how a control-theoretic framework can characterize the affective dynamics of a single individual using a small set of complementary time-series tools, and how a discrete pharmacological probe can be used to identify the system’s sensitivity boundary rather than as a test of treatment efficacy.</w:t>
      </w:r>
    </w:p>
    <w:p w14:paraId="102662F8"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A natural extension is to incorporate objective sleep variables (e.g., actigraphy, as in </w:t>
      </w:r>
      <w:proofErr w:type="spellStart"/>
      <w:r w:rsidRPr="009D1041">
        <w:rPr>
          <w:color w:val="000000" w:themeColor="text1"/>
        </w:rPr>
        <w:t>Knapen</w:t>
      </w:r>
      <w:proofErr w:type="spellEnd"/>
      <w:r w:rsidRPr="009D1041">
        <w:rPr>
          <w:color w:val="000000" w:themeColor="text1"/>
        </w:rPr>
        <w:t xml:space="preserve"> et al., 2025) to decompose the indirect path from melatonin through sleep to mood directly within the same idiographic framework.</w:t>
      </w:r>
    </w:p>
    <w:p w14:paraId="2BAF6DFB"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lastRenderedPageBreak/>
        <w:t>5. Data and Code Availability</w:t>
      </w:r>
    </w:p>
    <w:p w14:paraId="041AFE45" w14:textId="77777777" w:rsidR="00891F74" w:rsidRPr="009D1041" w:rsidRDefault="00891F74" w:rsidP="00891F74">
      <w:pPr>
        <w:spacing w:after="120" w:line="480" w:lineRule="auto"/>
        <w:jc w:val="both"/>
        <w:rPr>
          <w:color w:val="000000" w:themeColor="text1"/>
        </w:rPr>
      </w:pPr>
      <w:r w:rsidRPr="009D1041">
        <w:rPr>
          <w:color w:val="000000" w:themeColor="text1"/>
        </w:rPr>
        <w:t xml:space="preserve">Data and analysis code are available at: </w:t>
      </w:r>
      <w:r w:rsidRPr="009D1041">
        <w:rPr>
          <w:color w:val="000000" w:themeColor="text1"/>
          <w:u w:val="single"/>
        </w:rPr>
        <w:t>https://github.com/haomeng797-ship-it/N-of-1-Melatonin-Study</w:t>
      </w:r>
      <w:r w:rsidRPr="009D1041">
        <w:rPr>
          <w:color w:val="000000" w:themeColor="text1"/>
        </w:rPr>
        <w:t>. The repository includes the preregistered randomization schedule, iOS Shortcuts data-collection pipeline, Python validation layer, cleaned EMA dataset, and reproducible scripts for the figures and statistical estimates reported in this manuscript.</w:t>
      </w:r>
    </w:p>
    <w:p w14:paraId="1A994681"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6. Author Contributions</w:t>
      </w:r>
    </w:p>
    <w:p w14:paraId="05328780" w14:textId="77777777" w:rsidR="00891F74" w:rsidRPr="009D1041" w:rsidRDefault="00891F74" w:rsidP="00891F74">
      <w:pPr>
        <w:spacing w:after="120" w:line="480" w:lineRule="auto"/>
        <w:jc w:val="both"/>
        <w:rPr>
          <w:color w:val="000000" w:themeColor="text1"/>
        </w:rPr>
      </w:pPr>
      <w:r w:rsidRPr="009D1041">
        <w:rPr>
          <w:color w:val="000000" w:themeColor="text1"/>
        </w:rPr>
        <w:t>Miura Meng (MM) designed the study, collected the data, performed the statistical analyses, and wrote the manuscript.</w:t>
      </w:r>
    </w:p>
    <w:p w14:paraId="7E84FBA8"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7. Declaration of Interests</w:t>
      </w:r>
    </w:p>
    <w:p w14:paraId="4EB76B25" w14:textId="77777777" w:rsidR="00891F74" w:rsidRPr="009D1041" w:rsidRDefault="00891F74" w:rsidP="00891F74">
      <w:pPr>
        <w:spacing w:after="120" w:line="480" w:lineRule="auto"/>
        <w:jc w:val="both"/>
        <w:rPr>
          <w:color w:val="000000" w:themeColor="text1"/>
        </w:rPr>
      </w:pPr>
      <w:r w:rsidRPr="009D1041">
        <w:rPr>
          <w:color w:val="000000" w:themeColor="text1"/>
        </w:rPr>
        <w:t>The author declares no conflict of interest.</w:t>
      </w:r>
    </w:p>
    <w:p w14:paraId="6D9641BB"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8. Acknowledgments</w:t>
      </w:r>
    </w:p>
    <w:p w14:paraId="3864943A" w14:textId="77777777" w:rsidR="00891F74" w:rsidRPr="009D1041" w:rsidRDefault="00891F74" w:rsidP="00891F74">
      <w:pPr>
        <w:spacing w:after="120" w:line="480" w:lineRule="auto"/>
        <w:jc w:val="both"/>
        <w:rPr>
          <w:color w:val="000000" w:themeColor="text1"/>
        </w:rPr>
      </w:pPr>
      <w:r w:rsidRPr="009D1041">
        <w:rPr>
          <w:color w:val="000000" w:themeColor="text1"/>
        </w:rPr>
        <w:t>I thank David Lydon-Staley for recommending the Journal for Person-Oriented Research as a venue for this work.</w:t>
      </w:r>
    </w:p>
    <w:p w14:paraId="05974120"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9. Funding</w:t>
      </w:r>
    </w:p>
    <w:p w14:paraId="16AA2A1D" w14:textId="77777777" w:rsidR="00891F74" w:rsidRPr="009D1041" w:rsidRDefault="00891F74" w:rsidP="00891F74">
      <w:pPr>
        <w:spacing w:after="120" w:line="480" w:lineRule="auto"/>
        <w:jc w:val="both"/>
        <w:rPr>
          <w:color w:val="000000" w:themeColor="text1"/>
        </w:rPr>
      </w:pPr>
      <w:r w:rsidRPr="009D1041">
        <w:rPr>
          <w:color w:val="000000" w:themeColor="text1"/>
        </w:rPr>
        <w:t>This research received no specific grant from any funding agency in the public, commercial, or not-for-profit sectors.</w:t>
      </w:r>
    </w:p>
    <w:p w14:paraId="191E6AF0" w14:textId="77777777" w:rsidR="00891F74" w:rsidRPr="009D1041" w:rsidRDefault="00891F74" w:rsidP="00891F74">
      <w:pPr>
        <w:pStyle w:val="Heading1"/>
        <w:spacing w:line="360" w:lineRule="auto"/>
        <w:rPr>
          <w:color w:val="000000" w:themeColor="text1"/>
        </w:rPr>
      </w:pPr>
      <w:r w:rsidRPr="009D1041">
        <w:rPr>
          <w:rFonts w:ascii="Times New Roman" w:eastAsia="Times New Roman" w:hAnsi="Times New Roman" w:cs="Times New Roman"/>
          <w:b/>
          <w:bCs/>
          <w:color w:val="000000" w:themeColor="text1"/>
          <w:sz w:val="28"/>
          <w:szCs w:val="28"/>
        </w:rPr>
        <w:t>10. References</w:t>
      </w:r>
    </w:p>
    <w:p w14:paraId="3EF928D8"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Archer, M. S. (2003). </w:t>
      </w:r>
      <w:r w:rsidRPr="009D1041">
        <w:rPr>
          <w:i/>
          <w:iCs/>
          <w:color w:val="000000" w:themeColor="text1"/>
        </w:rPr>
        <w:t>Structure, agency, and the internal conversation</w:t>
      </w:r>
      <w:r w:rsidRPr="009D1041">
        <w:rPr>
          <w:color w:val="000000" w:themeColor="text1"/>
        </w:rPr>
        <w:t>. Cambridge University Press.</w:t>
      </w:r>
    </w:p>
    <w:p w14:paraId="77A0AE06" w14:textId="77777777" w:rsidR="00891F74" w:rsidRPr="009D1041" w:rsidRDefault="00891F74" w:rsidP="00891F74">
      <w:pPr>
        <w:spacing w:after="120" w:line="480" w:lineRule="auto"/>
        <w:ind w:left="720" w:hanging="720"/>
        <w:rPr>
          <w:color w:val="000000" w:themeColor="text1"/>
        </w:rPr>
      </w:pPr>
      <w:r w:rsidRPr="009D1041">
        <w:rPr>
          <w:color w:val="000000" w:themeColor="text1"/>
        </w:rPr>
        <w:lastRenderedPageBreak/>
        <w:t xml:space="preserve">Bandura, A. (1989). Human agency in social cognitive theory. </w:t>
      </w:r>
      <w:r w:rsidRPr="009D1041">
        <w:rPr>
          <w:i/>
          <w:iCs/>
          <w:color w:val="000000" w:themeColor="text1"/>
        </w:rPr>
        <w:t>American Psychologist, 44</w:t>
      </w:r>
      <w:r w:rsidRPr="009D1041">
        <w:rPr>
          <w:color w:val="000000" w:themeColor="text1"/>
        </w:rPr>
        <w:t>(9), 1175–1184.</w:t>
      </w:r>
      <w:r w:rsidRPr="009D1041">
        <w:rPr>
          <w:color w:val="000000" w:themeColor="text1"/>
          <w:u w:val="single"/>
        </w:rPr>
        <w:t xml:space="preserve"> https://doi.org/10.1037/0003-066X.44.9.1175</w:t>
      </w:r>
    </w:p>
    <w:p w14:paraId="6A4107ED"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Bandura, A. (2001). Social cognitive theory: An agentic perspective. </w:t>
      </w:r>
      <w:r w:rsidRPr="009D1041">
        <w:rPr>
          <w:i/>
          <w:iCs/>
          <w:color w:val="000000" w:themeColor="text1"/>
        </w:rPr>
        <w:t>Annual Review of Psychology, 52</w:t>
      </w:r>
      <w:r w:rsidRPr="009D1041">
        <w:rPr>
          <w:color w:val="000000" w:themeColor="text1"/>
        </w:rPr>
        <w:t>, 1–26.</w:t>
      </w:r>
      <w:r w:rsidRPr="009D1041">
        <w:rPr>
          <w:color w:val="000000" w:themeColor="text1"/>
          <w:u w:val="single"/>
        </w:rPr>
        <w:t xml:space="preserve"> https://doi.org/10.1146/annurev.psych.52.1.1</w:t>
      </w:r>
    </w:p>
    <w:p w14:paraId="5BD9F094"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Bandura, A. (2006). Toward a psychology of human agency. </w:t>
      </w:r>
      <w:r w:rsidRPr="009D1041">
        <w:rPr>
          <w:i/>
          <w:iCs/>
          <w:color w:val="000000" w:themeColor="text1"/>
        </w:rPr>
        <w:t>Perspectives on Psychological Science, 1</w:t>
      </w:r>
      <w:r w:rsidRPr="009D1041">
        <w:rPr>
          <w:color w:val="000000" w:themeColor="text1"/>
        </w:rPr>
        <w:t>(2), 164–180.</w:t>
      </w:r>
      <w:r w:rsidRPr="009D1041">
        <w:rPr>
          <w:color w:val="000000" w:themeColor="text1"/>
          <w:u w:val="single"/>
        </w:rPr>
        <w:t xml:space="preserve"> https://doi.org/10.1111/j.1745-6916.2006.00011.x</w:t>
      </w:r>
    </w:p>
    <w:p w14:paraId="52EF43AB"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Barta, W. D., Tennen, H., &amp; Litt, M. D. (2012). Measurement reactivity in diary research. In M. R. Mehl &amp; T. S. Conner (Eds.), </w:t>
      </w:r>
      <w:r w:rsidRPr="009D1041">
        <w:rPr>
          <w:i/>
          <w:iCs/>
          <w:color w:val="000000" w:themeColor="text1"/>
        </w:rPr>
        <w:t>Handbook of research methods for studying daily life</w:t>
      </w:r>
      <w:r w:rsidRPr="009D1041">
        <w:rPr>
          <w:color w:val="000000" w:themeColor="text1"/>
        </w:rPr>
        <w:t xml:space="preserve"> (pp. 108–123). Guilford Press.</w:t>
      </w:r>
    </w:p>
    <w:p w14:paraId="4003D229"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Bourdieu, P. (1990). </w:t>
      </w:r>
      <w:r w:rsidRPr="009D1041">
        <w:rPr>
          <w:i/>
          <w:iCs/>
          <w:color w:val="000000" w:themeColor="text1"/>
        </w:rPr>
        <w:t>The logic of practice</w:t>
      </w:r>
      <w:r w:rsidRPr="009D1041">
        <w:rPr>
          <w:color w:val="000000" w:themeColor="text1"/>
        </w:rPr>
        <w:t xml:space="preserve"> (R. Nice, Trans.). Stanford University Press. (Original work published 1980)</w:t>
      </w:r>
    </w:p>
    <w:p w14:paraId="6DA23CF8"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Bringmann, L. F., Vissers, N., Wichers, M., Geschwind, N., </w:t>
      </w:r>
      <w:proofErr w:type="spellStart"/>
      <w:r w:rsidRPr="009D1041">
        <w:rPr>
          <w:color w:val="000000" w:themeColor="text1"/>
        </w:rPr>
        <w:t>Kuppens</w:t>
      </w:r>
      <w:proofErr w:type="spellEnd"/>
      <w:r w:rsidRPr="009D1041">
        <w:rPr>
          <w:color w:val="000000" w:themeColor="text1"/>
        </w:rPr>
        <w:t xml:space="preserve">, P., Peeters, F., Borsboom, D., &amp; </w:t>
      </w:r>
      <w:proofErr w:type="spellStart"/>
      <w:r w:rsidRPr="009D1041">
        <w:rPr>
          <w:color w:val="000000" w:themeColor="text1"/>
        </w:rPr>
        <w:t>Tuerlinckx</w:t>
      </w:r>
      <w:proofErr w:type="spellEnd"/>
      <w:r w:rsidRPr="009D1041">
        <w:rPr>
          <w:color w:val="000000" w:themeColor="text1"/>
        </w:rPr>
        <w:t xml:space="preserve">, F. (2013). A network approach to psychopathology: New insights into clinical longitudinal data. </w:t>
      </w:r>
      <w:proofErr w:type="spellStart"/>
      <w:r w:rsidRPr="009D1041">
        <w:rPr>
          <w:i/>
          <w:iCs/>
          <w:color w:val="000000" w:themeColor="text1"/>
        </w:rPr>
        <w:t>PLoS</w:t>
      </w:r>
      <w:proofErr w:type="spellEnd"/>
      <w:r w:rsidRPr="009D1041">
        <w:rPr>
          <w:i/>
          <w:iCs/>
          <w:color w:val="000000" w:themeColor="text1"/>
        </w:rPr>
        <w:t xml:space="preserve"> ONE, 8</w:t>
      </w:r>
      <w:r w:rsidRPr="009D1041">
        <w:rPr>
          <w:color w:val="000000" w:themeColor="text1"/>
        </w:rPr>
        <w:t>(4), e60188.</w:t>
      </w:r>
      <w:r w:rsidRPr="009D1041">
        <w:rPr>
          <w:color w:val="000000" w:themeColor="text1"/>
          <w:u w:val="single"/>
        </w:rPr>
        <w:t xml:space="preserve"> https://doi.org/10.1371/journal.pone.0060188</w:t>
      </w:r>
    </w:p>
    <w:p w14:paraId="0409DA47"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Bringmann, L. F., Albers, C., Bockting, C., Borsboom, D., Ceulemans, E., Cramer, A. O. J., ... &amp; Wichers, M. (2022). Psychopathological networks: Theory, methods and practice. </w:t>
      </w:r>
      <w:proofErr w:type="spellStart"/>
      <w:r w:rsidRPr="009D1041">
        <w:rPr>
          <w:color w:val="000000" w:themeColor="text1"/>
        </w:rPr>
        <w:t>Behaviour</w:t>
      </w:r>
      <w:proofErr w:type="spellEnd"/>
      <w:r w:rsidRPr="009D1041">
        <w:rPr>
          <w:color w:val="000000" w:themeColor="text1"/>
        </w:rPr>
        <w:t xml:space="preserve"> Research and Therapy, 149, 104011. https://doi.org/10.1016/j.brat.2021.104011</w:t>
      </w:r>
    </w:p>
    <w:p w14:paraId="090783BA"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Bürkner</w:t>
      </w:r>
      <w:proofErr w:type="spellEnd"/>
      <w:r w:rsidRPr="009D1041">
        <w:rPr>
          <w:color w:val="000000" w:themeColor="text1"/>
        </w:rPr>
        <w:t xml:space="preserve">, P.-C. (2017). brms: An R package for Bayesian multilevel models using Stan. </w:t>
      </w:r>
      <w:r w:rsidRPr="009D1041">
        <w:rPr>
          <w:i/>
          <w:iCs/>
          <w:color w:val="000000" w:themeColor="text1"/>
        </w:rPr>
        <w:t>Journal of Statistical Software, 80</w:t>
      </w:r>
      <w:r w:rsidRPr="009D1041">
        <w:rPr>
          <w:color w:val="000000" w:themeColor="text1"/>
        </w:rPr>
        <w:t>(1), 1–28.</w:t>
      </w:r>
      <w:r w:rsidRPr="009D1041">
        <w:rPr>
          <w:color w:val="000000" w:themeColor="text1"/>
          <w:u w:val="single"/>
        </w:rPr>
        <w:t xml:space="preserve"> https://doi.org/10.18637/jss.v080.i01</w:t>
      </w:r>
    </w:p>
    <w:p w14:paraId="00553750" w14:textId="77777777" w:rsidR="00891F74" w:rsidRPr="009D1041" w:rsidRDefault="00891F74" w:rsidP="00891F74">
      <w:pPr>
        <w:spacing w:after="120" w:line="480" w:lineRule="auto"/>
        <w:ind w:left="720" w:hanging="720"/>
        <w:rPr>
          <w:color w:val="000000" w:themeColor="text1"/>
        </w:rPr>
      </w:pPr>
      <w:r w:rsidRPr="009D1041">
        <w:rPr>
          <w:color w:val="000000" w:themeColor="text1"/>
        </w:rPr>
        <w:lastRenderedPageBreak/>
        <w:t xml:space="preserve">Carver, C. S., &amp; Scheier, M. F. (1990). Origins and functions of positive and negative affect: A control-process view. </w:t>
      </w:r>
      <w:r w:rsidRPr="009D1041">
        <w:rPr>
          <w:i/>
          <w:iCs/>
          <w:color w:val="000000" w:themeColor="text1"/>
        </w:rPr>
        <w:t>Psychological Review, 97</w:t>
      </w:r>
      <w:r w:rsidRPr="009D1041">
        <w:rPr>
          <w:color w:val="000000" w:themeColor="text1"/>
        </w:rPr>
        <w:t>(1), 19–35.</w:t>
      </w:r>
      <w:r w:rsidRPr="009D1041">
        <w:rPr>
          <w:color w:val="000000" w:themeColor="text1"/>
          <w:u w:val="single"/>
        </w:rPr>
        <w:t xml:space="preserve"> https://doi.org/10.1037/0033-295X.97.1.19</w:t>
      </w:r>
    </w:p>
    <w:p w14:paraId="6037A924"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Carver, C. S., &amp; Scheier, M. F. (1998). </w:t>
      </w:r>
      <w:r w:rsidRPr="009D1041">
        <w:rPr>
          <w:i/>
          <w:iCs/>
          <w:color w:val="000000" w:themeColor="text1"/>
        </w:rPr>
        <w:t>On the self-regulation of behavior</w:t>
      </w:r>
      <w:r w:rsidRPr="009D1041">
        <w:rPr>
          <w:color w:val="000000" w:themeColor="text1"/>
        </w:rPr>
        <w:t>. Cambridge University Press.</w:t>
      </w:r>
    </w:p>
    <w:p w14:paraId="5260A2F2"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Conner, T. S., &amp; Reid, K. A. (2012). Effects of intensive mobile happiness reporting in daily life. </w:t>
      </w:r>
      <w:r w:rsidRPr="009D1041">
        <w:rPr>
          <w:i/>
          <w:iCs/>
          <w:color w:val="000000" w:themeColor="text1"/>
        </w:rPr>
        <w:t>Social Psychological and Personality Science, 3</w:t>
      </w:r>
      <w:r w:rsidRPr="009D1041">
        <w:rPr>
          <w:color w:val="000000" w:themeColor="text1"/>
        </w:rPr>
        <w:t>(3), 315–323.</w:t>
      </w:r>
      <w:r w:rsidRPr="009D1041">
        <w:rPr>
          <w:color w:val="000000" w:themeColor="text1"/>
          <w:u w:val="single"/>
        </w:rPr>
        <w:t xml:space="preserve"> https://doi.org/10.1177/1948550611419677</w:t>
      </w:r>
    </w:p>
    <w:p w14:paraId="6057F01C"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Craig, A. D. (2009). How do you feel — now? The anterior insula and human awareness. </w:t>
      </w:r>
      <w:r w:rsidRPr="009D1041">
        <w:rPr>
          <w:i/>
          <w:iCs/>
          <w:color w:val="000000" w:themeColor="text1"/>
        </w:rPr>
        <w:t>Nature Reviews Neuroscience, 10</w:t>
      </w:r>
      <w:r w:rsidRPr="009D1041">
        <w:rPr>
          <w:color w:val="000000" w:themeColor="text1"/>
        </w:rPr>
        <w:t>(1), 59–70.</w:t>
      </w:r>
      <w:r w:rsidRPr="009D1041">
        <w:rPr>
          <w:color w:val="000000" w:themeColor="text1"/>
          <w:u w:val="single"/>
        </w:rPr>
        <w:t xml:space="preserve"> https://doi.org/10.1038/nrn2555</w:t>
      </w:r>
    </w:p>
    <w:p w14:paraId="28A345FA"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Damasio, A. R. (1999). </w:t>
      </w:r>
      <w:r w:rsidRPr="009D1041">
        <w:rPr>
          <w:i/>
          <w:iCs/>
          <w:color w:val="000000" w:themeColor="text1"/>
        </w:rPr>
        <w:t>The feeling of what happens: Body and emotion in the making of consciousness</w:t>
      </w:r>
      <w:r w:rsidRPr="009D1041">
        <w:rPr>
          <w:color w:val="000000" w:themeColor="text1"/>
        </w:rPr>
        <w:t>. Harcourt.</w:t>
      </w:r>
    </w:p>
    <w:p w14:paraId="1AC05F90"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Deci, E. L., &amp; Ryan, R. M. (2000). The “what” and “why” of goal pursuits: Human needs and the self-determination of behavior. </w:t>
      </w:r>
      <w:r w:rsidRPr="009D1041">
        <w:rPr>
          <w:i/>
          <w:iCs/>
          <w:color w:val="000000" w:themeColor="text1"/>
        </w:rPr>
        <w:t>Psychological Inquiry, 11</w:t>
      </w:r>
      <w:r w:rsidRPr="009D1041">
        <w:rPr>
          <w:color w:val="000000" w:themeColor="text1"/>
        </w:rPr>
        <w:t>(4), 227–268.</w:t>
      </w:r>
      <w:r w:rsidRPr="009D1041">
        <w:rPr>
          <w:color w:val="000000" w:themeColor="text1"/>
          <w:u w:val="single"/>
        </w:rPr>
        <w:t xml:space="preserve"> https://doi.org/10.1207/S15327965PLI1104_01</w:t>
      </w:r>
    </w:p>
    <w:p w14:paraId="611EE5B0"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Dejonckheere</w:t>
      </w:r>
      <w:proofErr w:type="spellEnd"/>
      <w:r w:rsidRPr="009D1041">
        <w:rPr>
          <w:color w:val="000000" w:themeColor="text1"/>
        </w:rPr>
        <w:t xml:space="preserve">, E., Demeyer, F., Geusens, B., Piot, M., </w:t>
      </w:r>
      <w:proofErr w:type="spellStart"/>
      <w:r w:rsidRPr="009D1041">
        <w:rPr>
          <w:color w:val="000000" w:themeColor="text1"/>
        </w:rPr>
        <w:t>Tuerlinckx</w:t>
      </w:r>
      <w:proofErr w:type="spellEnd"/>
      <w:r w:rsidRPr="009D1041">
        <w:rPr>
          <w:color w:val="000000" w:themeColor="text1"/>
        </w:rPr>
        <w:t xml:space="preserve">, F., Verdonck, S., &amp; Mestdagh, M. (2022). Assessing the reliability of single-item momentary affective measurements in experience sampling. </w:t>
      </w:r>
      <w:r w:rsidRPr="009D1041">
        <w:rPr>
          <w:i/>
          <w:iCs/>
          <w:color w:val="000000" w:themeColor="text1"/>
        </w:rPr>
        <w:t>Psychological Assessment, 34</w:t>
      </w:r>
      <w:r w:rsidRPr="009D1041">
        <w:rPr>
          <w:color w:val="000000" w:themeColor="text1"/>
        </w:rPr>
        <w:t>(12), 1138–1154.</w:t>
      </w:r>
      <w:r w:rsidRPr="009D1041">
        <w:rPr>
          <w:color w:val="000000" w:themeColor="text1"/>
          <w:u w:val="single"/>
        </w:rPr>
        <w:t xml:space="preserve"> https://doi.org/10.1037/pas0001178</w:t>
      </w:r>
    </w:p>
    <w:p w14:paraId="795E6AA0"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Efklides</w:t>
      </w:r>
      <w:proofErr w:type="spellEnd"/>
      <w:r w:rsidRPr="009D1041">
        <w:rPr>
          <w:color w:val="000000" w:themeColor="text1"/>
        </w:rPr>
        <w:t xml:space="preserve">, A. (2008). Metacognition: Defining its facets and levels of functioning in relation to self-regulation and co-regulation. </w:t>
      </w:r>
      <w:r w:rsidRPr="009D1041">
        <w:rPr>
          <w:i/>
          <w:iCs/>
          <w:color w:val="000000" w:themeColor="text1"/>
        </w:rPr>
        <w:t>European Psychologist, 13</w:t>
      </w:r>
      <w:r w:rsidRPr="009D1041">
        <w:rPr>
          <w:color w:val="000000" w:themeColor="text1"/>
        </w:rPr>
        <w:t>(4), 277–287.</w:t>
      </w:r>
      <w:r w:rsidRPr="009D1041">
        <w:rPr>
          <w:color w:val="000000" w:themeColor="text1"/>
          <w:u w:val="single"/>
        </w:rPr>
        <w:t xml:space="preserve"> https://doi.org/10.1027/1016-9040.13.4.277</w:t>
      </w:r>
    </w:p>
    <w:p w14:paraId="362D6639" w14:textId="77777777" w:rsidR="00891F74" w:rsidRPr="009D1041" w:rsidRDefault="00891F74" w:rsidP="00891F74">
      <w:pPr>
        <w:spacing w:after="120" w:line="480" w:lineRule="auto"/>
        <w:ind w:left="720" w:hanging="720"/>
        <w:rPr>
          <w:color w:val="000000" w:themeColor="text1"/>
        </w:rPr>
      </w:pPr>
      <w:r w:rsidRPr="009D1041">
        <w:rPr>
          <w:color w:val="000000" w:themeColor="text1"/>
        </w:rPr>
        <w:lastRenderedPageBreak/>
        <w:t xml:space="preserve">Eisele, G., Vachon, H., </w:t>
      </w:r>
      <w:proofErr w:type="spellStart"/>
      <w:r w:rsidRPr="009D1041">
        <w:rPr>
          <w:color w:val="000000" w:themeColor="text1"/>
        </w:rPr>
        <w:t>Lafit</w:t>
      </w:r>
      <w:proofErr w:type="spellEnd"/>
      <w:r w:rsidRPr="009D1041">
        <w:rPr>
          <w:color w:val="000000" w:themeColor="text1"/>
        </w:rPr>
        <w:t xml:space="preserve">, G., </w:t>
      </w:r>
      <w:proofErr w:type="spellStart"/>
      <w:r w:rsidRPr="009D1041">
        <w:rPr>
          <w:color w:val="000000" w:themeColor="text1"/>
        </w:rPr>
        <w:t>Kuppens</w:t>
      </w:r>
      <w:proofErr w:type="spellEnd"/>
      <w:r w:rsidRPr="009D1041">
        <w:rPr>
          <w:color w:val="000000" w:themeColor="text1"/>
        </w:rPr>
        <w:t>, P., Houben, M., Myin-</w:t>
      </w:r>
      <w:proofErr w:type="spellStart"/>
      <w:r w:rsidRPr="009D1041">
        <w:rPr>
          <w:color w:val="000000" w:themeColor="text1"/>
        </w:rPr>
        <w:t>Germeys</w:t>
      </w:r>
      <w:proofErr w:type="spellEnd"/>
      <w:r w:rsidRPr="009D1041">
        <w:rPr>
          <w:color w:val="000000" w:themeColor="text1"/>
        </w:rPr>
        <w:t xml:space="preserve">, I., &amp; </w:t>
      </w:r>
      <w:proofErr w:type="spellStart"/>
      <w:r w:rsidRPr="009D1041">
        <w:rPr>
          <w:color w:val="000000" w:themeColor="text1"/>
        </w:rPr>
        <w:t>Viechtbauer</w:t>
      </w:r>
      <w:proofErr w:type="spellEnd"/>
      <w:r w:rsidRPr="009D1041">
        <w:rPr>
          <w:color w:val="000000" w:themeColor="text1"/>
        </w:rPr>
        <w:t xml:space="preserve">, W. (2022). The effects of sampling frequency and questionnaire length on perceived burden, compliance, and careless responding in experience sampling data in a student population. </w:t>
      </w:r>
      <w:r w:rsidRPr="009D1041">
        <w:rPr>
          <w:i/>
          <w:iCs/>
          <w:color w:val="000000" w:themeColor="text1"/>
        </w:rPr>
        <w:t>Assessment, 29</w:t>
      </w:r>
      <w:r w:rsidRPr="009D1041">
        <w:rPr>
          <w:color w:val="000000" w:themeColor="text1"/>
        </w:rPr>
        <w:t>(2), 136–151.</w:t>
      </w:r>
      <w:r w:rsidRPr="009D1041">
        <w:rPr>
          <w:color w:val="000000" w:themeColor="text1"/>
          <w:u w:val="single"/>
        </w:rPr>
        <w:t xml:space="preserve"> https://doi.org/10.1177/1073191120957102</w:t>
      </w:r>
    </w:p>
    <w:p w14:paraId="06B77A58"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Flavell, J. H. (1979). Metacognition and cognitive monitoring: A new area of cognitive–developmental inquiry. </w:t>
      </w:r>
      <w:r w:rsidRPr="009D1041">
        <w:rPr>
          <w:i/>
          <w:iCs/>
          <w:color w:val="000000" w:themeColor="text1"/>
        </w:rPr>
        <w:t>American Psychologist, 34</w:t>
      </w:r>
      <w:r w:rsidRPr="009D1041">
        <w:rPr>
          <w:color w:val="000000" w:themeColor="text1"/>
        </w:rPr>
        <w:t>(10), 906–911.</w:t>
      </w:r>
      <w:r w:rsidRPr="009D1041">
        <w:rPr>
          <w:color w:val="000000" w:themeColor="text1"/>
          <w:u w:val="single"/>
        </w:rPr>
        <w:t xml:space="preserve"> https://doi.org/10.1037/0003-066X.34.10.906</w:t>
      </w:r>
    </w:p>
    <w:p w14:paraId="47DD2915"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Frijda</w:t>
      </w:r>
      <w:proofErr w:type="spellEnd"/>
      <w:r w:rsidRPr="009D1041">
        <w:rPr>
          <w:color w:val="000000" w:themeColor="text1"/>
        </w:rPr>
        <w:t xml:space="preserve">, N. H. (1986). </w:t>
      </w:r>
      <w:r w:rsidRPr="009D1041">
        <w:rPr>
          <w:i/>
          <w:iCs/>
          <w:color w:val="000000" w:themeColor="text1"/>
        </w:rPr>
        <w:t>The emotions</w:t>
      </w:r>
      <w:r w:rsidRPr="009D1041">
        <w:rPr>
          <w:color w:val="000000" w:themeColor="text1"/>
        </w:rPr>
        <w:t>. Cambridge University Press.</w:t>
      </w:r>
    </w:p>
    <w:p w14:paraId="0A7DDD6E"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Frith, C. (2005). The self in action: Lessons from delusions of control. </w:t>
      </w:r>
      <w:r w:rsidRPr="009D1041">
        <w:rPr>
          <w:i/>
          <w:iCs/>
          <w:color w:val="000000" w:themeColor="text1"/>
        </w:rPr>
        <w:t>Consciousness and Cognition, 14</w:t>
      </w:r>
      <w:r w:rsidRPr="009D1041">
        <w:rPr>
          <w:color w:val="000000" w:themeColor="text1"/>
        </w:rPr>
        <w:t>(4), 752–770.</w:t>
      </w:r>
      <w:r w:rsidRPr="009D1041">
        <w:rPr>
          <w:color w:val="000000" w:themeColor="text1"/>
          <w:u w:val="single"/>
        </w:rPr>
        <w:t xml:space="preserve"> https://doi.org/10.1016/j.concog.2005.04.002</w:t>
      </w:r>
    </w:p>
    <w:p w14:paraId="19A46D6D"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Giddens, A. (1984). </w:t>
      </w:r>
      <w:r w:rsidRPr="009D1041">
        <w:rPr>
          <w:i/>
          <w:iCs/>
          <w:color w:val="000000" w:themeColor="text1"/>
        </w:rPr>
        <w:t>The constitution of society: Outline of the theory of structuration</w:t>
      </w:r>
      <w:r w:rsidRPr="009D1041">
        <w:rPr>
          <w:color w:val="000000" w:themeColor="text1"/>
        </w:rPr>
        <w:t>. University of California Press.</w:t>
      </w:r>
    </w:p>
    <w:p w14:paraId="5406A55F"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Haggard, P. (2017). Sense of agency in the human brain. </w:t>
      </w:r>
      <w:r w:rsidRPr="009D1041">
        <w:rPr>
          <w:i/>
          <w:iCs/>
          <w:color w:val="000000" w:themeColor="text1"/>
        </w:rPr>
        <w:t>Nature Reviews Neuroscience, 18</w:t>
      </w:r>
      <w:r w:rsidRPr="009D1041">
        <w:rPr>
          <w:color w:val="000000" w:themeColor="text1"/>
        </w:rPr>
        <w:t>(4), 196–207.</w:t>
      </w:r>
      <w:r w:rsidRPr="009D1041">
        <w:rPr>
          <w:color w:val="000000" w:themeColor="text1"/>
          <w:u w:val="single"/>
        </w:rPr>
        <w:t xml:space="preserve"> https://doi.org/10.1038/nrn.2017.14</w:t>
      </w:r>
    </w:p>
    <w:p w14:paraId="1E02FEE3"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Hamaker, E. L. (2012). Why researchers should think “within-person”: A paradigmatic rationale. In M. R. Mehl &amp; T. S. Conner (Eds.), </w:t>
      </w:r>
      <w:r w:rsidRPr="009D1041">
        <w:rPr>
          <w:i/>
          <w:iCs/>
          <w:color w:val="000000" w:themeColor="text1"/>
        </w:rPr>
        <w:t>Handbook of research methods for studying daily life</w:t>
      </w:r>
      <w:r w:rsidRPr="009D1041">
        <w:rPr>
          <w:color w:val="000000" w:themeColor="text1"/>
        </w:rPr>
        <w:t xml:space="preserve"> (pp. 43–61). Guilford Press.</w:t>
      </w:r>
    </w:p>
    <w:p w14:paraId="73F907FA"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Houben, M., Van Den Noortgate, W., &amp; </w:t>
      </w:r>
      <w:proofErr w:type="spellStart"/>
      <w:r w:rsidRPr="009D1041">
        <w:rPr>
          <w:color w:val="000000" w:themeColor="text1"/>
        </w:rPr>
        <w:t>Kuppens</w:t>
      </w:r>
      <w:proofErr w:type="spellEnd"/>
      <w:r w:rsidRPr="009D1041">
        <w:rPr>
          <w:color w:val="000000" w:themeColor="text1"/>
        </w:rPr>
        <w:t xml:space="preserve">, P. (2015). The relation between short-term emotion dynamics and psychological well-being: A meta-analysis. </w:t>
      </w:r>
      <w:r w:rsidRPr="009D1041">
        <w:rPr>
          <w:i/>
          <w:iCs/>
          <w:color w:val="000000" w:themeColor="text1"/>
        </w:rPr>
        <w:t>Psychological Bulletin, 141</w:t>
      </w:r>
      <w:r w:rsidRPr="009D1041">
        <w:rPr>
          <w:color w:val="000000" w:themeColor="text1"/>
        </w:rPr>
        <w:t>(4), 901–930.</w:t>
      </w:r>
      <w:r w:rsidRPr="009D1041">
        <w:rPr>
          <w:color w:val="000000" w:themeColor="text1"/>
          <w:u w:val="single"/>
        </w:rPr>
        <w:t xml:space="preserve"> https://doi.org/10.1037/a0038822</w:t>
      </w:r>
    </w:p>
    <w:p w14:paraId="33B406E5"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Jahng, S., Wood, P. K., &amp; Trull, T. J. (2008). Analysis of affective instability in ecological momentary assessment: Indices using successive difference and group comparison via </w:t>
      </w:r>
      <w:r w:rsidRPr="009D1041">
        <w:rPr>
          <w:color w:val="000000" w:themeColor="text1"/>
        </w:rPr>
        <w:lastRenderedPageBreak/>
        <w:t xml:space="preserve">multilevel modeling. </w:t>
      </w:r>
      <w:r w:rsidRPr="009D1041">
        <w:rPr>
          <w:i/>
          <w:iCs/>
          <w:color w:val="000000" w:themeColor="text1"/>
        </w:rPr>
        <w:t>Psychological Methods, 13</w:t>
      </w:r>
      <w:r w:rsidRPr="009D1041">
        <w:rPr>
          <w:color w:val="000000" w:themeColor="text1"/>
        </w:rPr>
        <w:t>(4), 354–375.</w:t>
      </w:r>
      <w:r w:rsidRPr="009D1041">
        <w:rPr>
          <w:color w:val="000000" w:themeColor="text1"/>
          <w:u w:val="single"/>
        </w:rPr>
        <w:t xml:space="preserve"> https://doi.org/10.1037/a0014173</w:t>
      </w:r>
    </w:p>
    <w:p w14:paraId="1C794973"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Knapen</w:t>
      </w:r>
      <w:proofErr w:type="spellEnd"/>
      <w:r w:rsidRPr="009D1041">
        <w:rPr>
          <w:color w:val="000000" w:themeColor="text1"/>
        </w:rPr>
        <w:t xml:space="preserve">, S. E., </w:t>
      </w:r>
      <w:proofErr w:type="spellStart"/>
      <w:r w:rsidRPr="009D1041">
        <w:rPr>
          <w:color w:val="000000" w:themeColor="text1"/>
        </w:rPr>
        <w:t>Snippe</w:t>
      </w:r>
      <w:proofErr w:type="spellEnd"/>
      <w:r w:rsidRPr="009D1041">
        <w:rPr>
          <w:color w:val="000000" w:themeColor="text1"/>
        </w:rPr>
        <w:t xml:space="preserve">, E., Smit, A. C., </w:t>
      </w:r>
      <w:proofErr w:type="spellStart"/>
      <w:r w:rsidRPr="009D1041">
        <w:rPr>
          <w:color w:val="000000" w:themeColor="text1"/>
        </w:rPr>
        <w:t>Schoevers</w:t>
      </w:r>
      <w:proofErr w:type="spellEnd"/>
      <w:r w:rsidRPr="009D1041">
        <w:rPr>
          <w:color w:val="000000" w:themeColor="text1"/>
        </w:rPr>
        <w:t>, R. A., &amp; Riemersma-van der Lek, R. F. (2025). Sleep disturbances in the prodromal phase of mood episodes in patients with bipolar disorder: A replicated single-case design. Journal for Person-Oriented Research, 11(3), 142-168. https://doi.org/10.17505/jpor.2025.28202</w:t>
      </w:r>
    </w:p>
    <w:p w14:paraId="7403747A"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Koval, P., &amp; </w:t>
      </w:r>
      <w:proofErr w:type="spellStart"/>
      <w:r w:rsidRPr="009D1041">
        <w:rPr>
          <w:color w:val="000000" w:themeColor="text1"/>
        </w:rPr>
        <w:t>Kuppens</w:t>
      </w:r>
      <w:proofErr w:type="spellEnd"/>
      <w:r w:rsidRPr="009D1041">
        <w:rPr>
          <w:color w:val="000000" w:themeColor="text1"/>
        </w:rPr>
        <w:t xml:space="preserve">, P. (2012). Changing emotion dynamics: Individual differences in the effect of anticipatory social stress on emotional inertia. </w:t>
      </w:r>
      <w:r w:rsidRPr="009D1041">
        <w:rPr>
          <w:i/>
          <w:iCs/>
          <w:color w:val="000000" w:themeColor="text1"/>
        </w:rPr>
        <w:t>Emotion, 12</w:t>
      </w:r>
      <w:r w:rsidRPr="009D1041">
        <w:rPr>
          <w:color w:val="000000" w:themeColor="text1"/>
        </w:rPr>
        <w:t>(2), 256–267.</w:t>
      </w:r>
      <w:r w:rsidRPr="009D1041">
        <w:rPr>
          <w:color w:val="000000" w:themeColor="text1"/>
          <w:u w:val="single"/>
        </w:rPr>
        <w:t xml:space="preserve"> https://doi.org/10.1037/a0024756</w:t>
      </w:r>
    </w:p>
    <w:p w14:paraId="439852E6"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Kuppens</w:t>
      </w:r>
      <w:proofErr w:type="spellEnd"/>
      <w:r w:rsidRPr="009D1041">
        <w:rPr>
          <w:color w:val="000000" w:themeColor="text1"/>
        </w:rPr>
        <w:t xml:space="preserve">, P., Allen, N. B., &amp; </w:t>
      </w:r>
      <w:proofErr w:type="spellStart"/>
      <w:r w:rsidRPr="009D1041">
        <w:rPr>
          <w:color w:val="000000" w:themeColor="text1"/>
        </w:rPr>
        <w:t>Sheeber</w:t>
      </w:r>
      <w:proofErr w:type="spellEnd"/>
      <w:r w:rsidRPr="009D1041">
        <w:rPr>
          <w:color w:val="000000" w:themeColor="text1"/>
        </w:rPr>
        <w:t xml:space="preserve">, L. B. (2010). Emotional inertia and psychological maladjustment. </w:t>
      </w:r>
      <w:r w:rsidRPr="009D1041">
        <w:rPr>
          <w:i/>
          <w:iCs/>
          <w:color w:val="000000" w:themeColor="text1"/>
        </w:rPr>
        <w:t>Psychological Science, 21</w:t>
      </w:r>
      <w:r w:rsidRPr="009D1041">
        <w:rPr>
          <w:color w:val="000000" w:themeColor="text1"/>
        </w:rPr>
        <w:t>(7), 984–991.</w:t>
      </w:r>
      <w:r w:rsidRPr="009D1041">
        <w:rPr>
          <w:color w:val="000000" w:themeColor="text1"/>
          <w:u w:val="single"/>
        </w:rPr>
        <w:t xml:space="preserve"> https://doi.org/10.1177/0956797610372634</w:t>
      </w:r>
    </w:p>
    <w:p w14:paraId="45B10EA8"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Lakens</w:t>
      </w:r>
      <w:proofErr w:type="spellEnd"/>
      <w:r w:rsidRPr="009D1041">
        <w:rPr>
          <w:color w:val="000000" w:themeColor="text1"/>
        </w:rPr>
        <w:t xml:space="preserve">, D. (2017). Equivalence tests: A practical primer for </w:t>
      </w:r>
      <w:r w:rsidRPr="009D1041">
        <w:rPr>
          <w:i/>
          <w:iCs/>
          <w:color w:val="000000" w:themeColor="text1"/>
        </w:rPr>
        <w:t>t</w:t>
      </w:r>
      <w:r w:rsidRPr="009D1041">
        <w:rPr>
          <w:color w:val="000000" w:themeColor="text1"/>
        </w:rPr>
        <w:t xml:space="preserve"> tests, correlations, and meta-analyses. </w:t>
      </w:r>
      <w:r w:rsidRPr="009D1041">
        <w:rPr>
          <w:i/>
          <w:iCs/>
          <w:color w:val="000000" w:themeColor="text1"/>
        </w:rPr>
        <w:t>Social Psychological and Personality Science, 8</w:t>
      </w:r>
      <w:r w:rsidRPr="009D1041">
        <w:rPr>
          <w:color w:val="000000" w:themeColor="text1"/>
        </w:rPr>
        <w:t>(4), 355–362.</w:t>
      </w:r>
      <w:r w:rsidRPr="009D1041">
        <w:rPr>
          <w:color w:val="000000" w:themeColor="text1"/>
          <w:u w:val="single"/>
        </w:rPr>
        <w:t xml:space="preserve"> https://doi.org/10.1177/1948550617697177</w:t>
      </w:r>
    </w:p>
    <w:p w14:paraId="348C195A"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Lazarus, R. S. (1991). </w:t>
      </w:r>
      <w:r w:rsidRPr="009D1041">
        <w:rPr>
          <w:i/>
          <w:iCs/>
          <w:color w:val="000000" w:themeColor="text1"/>
        </w:rPr>
        <w:t>Emotion and adaptation</w:t>
      </w:r>
      <w:r w:rsidRPr="009D1041">
        <w:rPr>
          <w:color w:val="000000" w:themeColor="text1"/>
        </w:rPr>
        <w:t>. Oxford University Press.</w:t>
      </w:r>
    </w:p>
    <w:p w14:paraId="7DB54EC2"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Metcalfe, J., &amp; Greene, M. J. (2007). Metacognition of agency. </w:t>
      </w:r>
      <w:r w:rsidRPr="009D1041">
        <w:rPr>
          <w:i/>
          <w:iCs/>
          <w:color w:val="000000" w:themeColor="text1"/>
        </w:rPr>
        <w:t>Journal of Experimental Psychology: General, 136</w:t>
      </w:r>
      <w:r w:rsidRPr="009D1041">
        <w:rPr>
          <w:color w:val="000000" w:themeColor="text1"/>
        </w:rPr>
        <w:t>(2), 184–199.</w:t>
      </w:r>
      <w:r w:rsidRPr="009D1041">
        <w:rPr>
          <w:color w:val="000000" w:themeColor="text1"/>
          <w:u w:val="single"/>
        </w:rPr>
        <w:t xml:space="preserve"> https://doi.org/10.1037/0096-3445.136.2.184</w:t>
      </w:r>
    </w:p>
    <w:p w14:paraId="2F9B6A1B"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Molenaar, P. C. M. (2004). A manifesto on psychology as idiographic science: Bringing the person back into scientific psychology, this time forever. </w:t>
      </w:r>
      <w:r w:rsidRPr="009D1041">
        <w:rPr>
          <w:i/>
          <w:iCs/>
          <w:color w:val="000000" w:themeColor="text1"/>
        </w:rPr>
        <w:t>Measurement: Interdisciplinary Research and Perspectives, 2</w:t>
      </w:r>
      <w:r w:rsidRPr="009D1041">
        <w:rPr>
          <w:color w:val="000000" w:themeColor="text1"/>
        </w:rPr>
        <w:t>(4), 201–218.</w:t>
      </w:r>
      <w:r w:rsidRPr="009D1041">
        <w:rPr>
          <w:color w:val="000000" w:themeColor="text1"/>
          <w:u w:val="single"/>
        </w:rPr>
        <w:t xml:space="preserve"> https://doi.org/10.1207/s15366359mea0204_1</w:t>
      </w:r>
    </w:p>
    <w:p w14:paraId="78424A6C" w14:textId="77777777" w:rsidR="00891F74" w:rsidRPr="009D1041" w:rsidRDefault="00891F74" w:rsidP="00891F74">
      <w:pPr>
        <w:spacing w:after="120" w:line="480" w:lineRule="auto"/>
        <w:ind w:left="720" w:hanging="720"/>
        <w:rPr>
          <w:color w:val="000000" w:themeColor="text1"/>
        </w:rPr>
      </w:pPr>
      <w:r w:rsidRPr="009D1041">
        <w:rPr>
          <w:color w:val="000000" w:themeColor="text1"/>
        </w:rPr>
        <w:lastRenderedPageBreak/>
        <w:t xml:space="preserve">Molenaar, P. C. M., &amp; Campbell, C. G. (2009). The new person-specific paradigm in psychology. </w:t>
      </w:r>
      <w:r w:rsidRPr="009D1041">
        <w:rPr>
          <w:i/>
          <w:iCs/>
          <w:color w:val="000000" w:themeColor="text1"/>
        </w:rPr>
        <w:t>Current Directions in Psychological Science, 18</w:t>
      </w:r>
      <w:r w:rsidRPr="009D1041">
        <w:rPr>
          <w:color w:val="000000" w:themeColor="text1"/>
        </w:rPr>
        <w:t>(2), 112–117.</w:t>
      </w:r>
      <w:r w:rsidRPr="009D1041">
        <w:rPr>
          <w:color w:val="000000" w:themeColor="text1"/>
          <w:u w:val="single"/>
        </w:rPr>
        <w:t xml:space="preserve"> https://doi.org/10.1111/j.1467-8721.2009.01619.x</w:t>
      </w:r>
    </w:p>
    <w:p w14:paraId="222E0F6A"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Moore, J. W., &amp; Fletcher, P. C. (2012). Sense of agency in health and disease: A review of cue integration approaches. </w:t>
      </w:r>
      <w:r w:rsidRPr="009D1041">
        <w:rPr>
          <w:i/>
          <w:iCs/>
          <w:color w:val="000000" w:themeColor="text1"/>
        </w:rPr>
        <w:t>Consciousness and Cognition, 21</w:t>
      </w:r>
      <w:r w:rsidRPr="009D1041">
        <w:rPr>
          <w:color w:val="000000" w:themeColor="text1"/>
        </w:rPr>
        <w:t>(1), 59–68.</w:t>
      </w:r>
      <w:r w:rsidRPr="009D1041">
        <w:rPr>
          <w:color w:val="000000" w:themeColor="text1"/>
          <w:u w:val="single"/>
        </w:rPr>
        <w:t xml:space="preserve"> https://doi.org/10.1016/j.concog.2011.08.010</w:t>
      </w:r>
    </w:p>
    <w:p w14:paraId="5C122ADA" w14:textId="77777777" w:rsidR="00891F74" w:rsidRPr="009D1041" w:rsidRDefault="00891F74" w:rsidP="00891F74">
      <w:pPr>
        <w:spacing w:after="120" w:line="480" w:lineRule="auto"/>
        <w:ind w:left="720" w:hanging="720"/>
        <w:rPr>
          <w:color w:val="000000" w:themeColor="text1"/>
        </w:rPr>
      </w:pPr>
      <w:r w:rsidRPr="009D1041">
        <w:rPr>
          <w:color w:val="000000" w:themeColor="text1"/>
        </w:rPr>
        <w:t>Myin-</w:t>
      </w:r>
      <w:proofErr w:type="spellStart"/>
      <w:r w:rsidRPr="009D1041">
        <w:rPr>
          <w:color w:val="000000" w:themeColor="text1"/>
        </w:rPr>
        <w:t>Germeys</w:t>
      </w:r>
      <w:proofErr w:type="spellEnd"/>
      <w:r w:rsidRPr="009D1041">
        <w:rPr>
          <w:color w:val="000000" w:themeColor="text1"/>
        </w:rPr>
        <w:t xml:space="preserve">, I., &amp; </w:t>
      </w:r>
      <w:proofErr w:type="spellStart"/>
      <w:r w:rsidRPr="009D1041">
        <w:rPr>
          <w:color w:val="000000" w:themeColor="text1"/>
        </w:rPr>
        <w:t>Kuppens</w:t>
      </w:r>
      <w:proofErr w:type="spellEnd"/>
      <w:r w:rsidRPr="009D1041">
        <w:rPr>
          <w:color w:val="000000" w:themeColor="text1"/>
        </w:rPr>
        <w:t xml:space="preserve">, P. (Eds.). (2022). </w:t>
      </w:r>
      <w:r w:rsidRPr="009D1041">
        <w:rPr>
          <w:i/>
          <w:iCs/>
          <w:color w:val="000000" w:themeColor="text1"/>
        </w:rPr>
        <w:t>The open handbook of experience sampling methodology</w:t>
      </w:r>
      <w:r w:rsidRPr="009D1041">
        <w:rPr>
          <w:color w:val="000000" w:themeColor="text1"/>
        </w:rPr>
        <w:t xml:space="preserve"> (2nd ed.). Center for Research on Experience Sampling and Ambulatory Methods Leuven.</w:t>
      </w:r>
    </w:p>
    <w:p w14:paraId="4002C2C4"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Nelson, T. O., &amp; Narens, L. (1990). Metamemory: A theoretical framework and new findings. In G. H. Bower (Ed.), </w:t>
      </w:r>
      <w:r w:rsidRPr="009D1041">
        <w:rPr>
          <w:i/>
          <w:iCs/>
          <w:color w:val="000000" w:themeColor="text1"/>
        </w:rPr>
        <w:t>The psychology of learning and motivation</w:t>
      </w:r>
      <w:r w:rsidRPr="009D1041">
        <w:rPr>
          <w:color w:val="000000" w:themeColor="text1"/>
        </w:rPr>
        <w:t xml:space="preserve"> (Vol. 26, pp. 125–173). Academic Press.</w:t>
      </w:r>
    </w:p>
    <w:p w14:paraId="44F69D50"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Olthof, M., Hasselman, F., Strunk, G., van </w:t>
      </w:r>
      <w:proofErr w:type="spellStart"/>
      <w:r w:rsidRPr="009D1041">
        <w:rPr>
          <w:color w:val="000000" w:themeColor="text1"/>
        </w:rPr>
        <w:t>Rooij</w:t>
      </w:r>
      <w:proofErr w:type="spellEnd"/>
      <w:r w:rsidRPr="009D1041">
        <w:rPr>
          <w:color w:val="000000" w:themeColor="text1"/>
        </w:rPr>
        <w:t xml:space="preserve">, M., Aas, B., Helmich, M. A., </w:t>
      </w:r>
      <w:proofErr w:type="spellStart"/>
      <w:r w:rsidRPr="009D1041">
        <w:rPr>
          <w:color w:val="000000" w:themeColor="text1"/>
        </w:rPr>
        <w:t>Schiepek</w:t>
      </w:r>
      <w:proofErr w:type="spellEnd"/>
      <w:r w:rsidRPr="009D1041">
        <w:rPr>
          <w:color w:val="000000" w:themeColor="text1"/>
        </w:rPr>
        <w:t xml:space="preserve">, G., &amp; Lichtwarck-Aschoff, A. (2020). Critical fluctuations as an early-warning signal for sudden gains and losses in patients receiving psychotherapy for mood disorders. </w:t>
      </w:r>
      <w:r w:rsidRPr="009D1041">
        <w:rPr>
          <w:i/>
          <w:iCs/>
          <w:color w:val="000000" w:themeColor="text1"/>
        </w:rPr>
        <w:t>Clinical Psychological Science, 8</w:t>
      </w:r>
      <w:r w:rsidRPr="009D1041">
        <w:rPr>
          <w:color w:val="000000" w:themeColor="text1"/>
        </w:rPr>
        <w:t>(1), 25–35.</w:t>
      </w:r>
      <w:r w:rsidRPr="009D1041">
        <w:rPr>
          <w:color w:val="000000" w:themeColor="text1"/>
          <w:u w:val="single"/>
        </w:rPr>
        <w:t xml:space="preserve"> https://doi.org/10.1177/2167702619865969</w:t>
      </w:r>
    </w:p>
    <w:p w14:paraId="43FDE42C"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Russell, J. A. (1980). A circumplex model of affect. </w:t>
      </w:r>
      <w:r w:rsidRPr="009D1041">
        <w:rPr>
          <w:i/>
          <w:iCs/>
          <w:color w:val="000000" w:themeColor="text1"/>
        </w:rPr>
        <w:t>Journal of Personality and Social Psychology, 39</w:t>
      </w:r>
      <w:r w:rsidRPr="009D1041">
        <w:rPr>
          <w:color w:val="000000" w:themeColor="text1"/>
        </w:rPr>
        <w:t>(6), 1161–1178.</w:t>
      </w:r>
      <w:r w:rsidRPr="009D1041">
        <w:rPr>
          <w:color w:val="000000" w:themeColor="text1"/>
          <w:u w:val="single"/>
        </w:rPr>
        <w:t xml:space="preserve"> https://doi.org/10.1037/h0077714</w:t>
      </w:r>
    </w:p>
    <w:p w14:paraId="7E274B37"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Russell, J. A., &amp; Barrett, L. F. (1999). Core affect, prototypical emotional episodes, and other things called emotion: Dissecting the elephant. </w:t>
      </w:r>
      <w:r w:rsidRPr="009D1041">
        <w:rPr>
          <w:i/>
          <w:iCs/>
          <w:color w:val="000000" w:themeColor="text1"/>
        </w:rPr>
        <w:t>Journal of Personality and Social Psychology, 76</w:t>
      </w:r>
      <w:r w:rsidRPr="009D1041">
        <w:rPr>
          <w:color w:val="000000" w:themeColor="text1"/>
        </w:rPr>
        <w:t>(5), 805–819.</w:t>
      </w:r>
      <w:r w:rsidRPr="009D1041">
        <w:rPr>
          <w:color w:val="000000" w:themeColor="text1"/>
          <w:u w:val="single"/>
        </w:rPr>
        <w:t xml:space="preserve"> https://doi.org/10.1037/0022-3514.76.5.805</w:t>
      </w:r>
    </w:p>
    <w:p w14:paraId="447D7803" w14:textId="77777777" w:rsidR="00891F74" w:rsidRPr="009D1041" w:rsidRDefault="00891F74" w:rsidP="00891F74">
      <w:pPr>
        <w:spacing w:after="120" w:line="480" w:lineRule="auto"/>
        <w:ind w:left="720" w:hanging="720"/>
        <w:rPr>
          <w:color w:val="000000" w:themeColor="text1"/>
        </w:rPr>
      </w:pPr>
      <w:r w:rsidRPr="009D1041">
        <w:rPr>
          <w:color w:val="000000" w:themeColor="text1"/>
        </w:rPr>
        <w:lastRenderedPageBreak/>
        <w:t xml:space="preserve">Ryan, R. M., &amp; Deci, E. L. (2017). </w:t>
      </w:r>
      <w:r w:rsidRPr="009D1041">
        <w:rPr>
          <w:i/>
          <w:iCs/>
          <w:color w:val="000000" w:themeColor="text1"/>
        </w:rPr>
        <w:t>Self-determination theory: Basic psychological needs in motivation, development, and wellness</w:t>
      </w:r>
      <w:r w:rsidRPr="009D1041">
        <w:rPr>
          <w:color w:val="000000" w:themeColor="text1"/>
        </w:rPr>
        <w:t>. Guilford Press.</w:t>
      </w:r>
    </w:p>
    <w:p w14:paraId="1C71EEAC"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Schraw, G., &amp; </w:t>
      </w:r>
      <w:proofErr w:type="spellStart"/>
      <w:r w:rsidRPr="009D1041">
        <w:rPr>
          <w:color w:val="000000" w:themeColor="text1"/>
        </w:rPr>
        <w:t>Moshman</w:t>
      </w:r>
      <w:proofErr w:type="spellEnd"/>
      <w:r w:rsidRPr="009D1041">
        <w:rPr>
          <w:color w:val="000000" w:themeColor="text1"/>
        </w:rPr>
        <w:t xml:space="preserve">, D. (1995). Metacognitive theories. </w:t>
      </w:r>
      <w:r w:rsidRPr="009D1041">
        <w:rPr>
          <w:i/>
          <w:iCs/>
          <w:color w:val="000000" w:themeColor="text1"/>
        </w:rPr>
        <w:t>Educational Psychology Review, 7</w:t>
      </w:r>
      <w:r w:rsidRPr="009D1041">
        <w:rPr>
          <w:color w:val="000000" w:themeColor="text1"/>
        </w:rPr>
        <w:t>(4), 351–371.</w:t>
      </w:r>
      <w:r w:rsidRPr="009D1041">
        <w:rPr>
          <w:color w:val="000000" w:themeColor="text1"/>
          <w:u w:val="single"/>
        </w:rPr>
        <w:t xml:space="preserve"> https://doi.org/10.1007/BF02212307</w:t>
      </w:r>
    </w:p>
    <w:p w14:paraId="59DDFF52"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Seabold, S., &amp; </w:t>
      </w:r>
      <w:proofErr w:type="spellStart"/>
      <w:r w:rsidRPr="009D1041">
        <w:rPr>
          <w:color w:val="000000" w:themeColor="text1"/>
        </w:rPr>
        <w:t>Perktold</w:t>
      </w:r>
      <w:proofErr w:type="spellEnd"/>
      <w:r w:rsidRPr="009D1041">
        <w:rPr>
          <w:color w:val="000000" w:themeColor="text1"/>
        </w:rPr>
        <w:t xml:space="preserve">, J. (2010). </w:t>
      </w:r>
      <w:proofErr w:type="spellStart"/>
      <w:r w:rsidRPr="009D1041">
        <w:rPr>
          <w:color w:val="000000" w:themeColor="text1"/>
        </w:rPr>
        <w:t>statsmodels</w:t>
      </w:r>
      <w:proofErr w:type="spellEnd"/>
      <w:r w:rsidRPr="009D1041">
        <w:rPr>
          <w:color w:val="000000" w:themeColor="text1"/>
        </w:rPr>
        <w:t xml:space="preserve">: Econometric and statistical modeling with Python. In </w:t>
      </w:r>
      <w:r w:rsidRPr="009D1041">
        <w:rPr>
          <w:i/>
          <w:iCs/>
          <w:color w:val="000000" w:themeColor="text1"/>
        </w:rPr>
        <w:t>Proceedings of the 9th Python in Science Conference</w:t>
      </w:r>
      <w:r w:rsidRPr="009D1041">
        <w:rPr>
          <w:color w:val="000000" w:themeColor="text1"/>
        </w:rPr>
        <w:t xml:space="preserve"> (pp. 92–96).</w:t>
      </w:r>
    </w:p>
    <w:p w14:paraId="3498C787"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Smit, A. C., Snippe, E., Bringmann, L. F., </w:t>
      </w:r>
      <w:proofErr w:type="spellStart"/>
      <w:r w:rsidRPr="009D1041">
        <w:rPr>
          <w:color w:val="000000" w:themeColor="text1"/>
        </w:rPr>
        <w:t>Hoenders</w:t>
      </w:r>
      <w:proofErr w:type="spellEnd"/>
      <w:r w:rsidRPr="009D1041">
        <w:rPr>
          <w:color w:val="000000" w:themeColor="text1"/>
        </w:rPr>
        <w:t>, H. J. R., &amp; Wichers, M. (2023). Transitions in depression: If, how, and when depressive symptoms return during and after discontinuing antidepressants. Quality of Life Research, 32(5), 1295-1306. https://doi.org/10.1007/s11136-022-03301-0</w:t>
      </w:r>
    </w:p>
    <w:p w14:paraId="642B5E9B" w14:textId="77777777" w:rsidR="00891F74" w:rsidRPr="009D1041" w:rsidRDefault="00891F74" w:rsidP="00891F74">
      <w:pPr>
        <w:spacing w:after="120" w:line="480" w:lineRule="auto"/>
        <w:ind w:left="720" w:hanging="720"/>
        <w:rPr>
          <w:color w:val="000000" w:themeColor="text1"/>
        </w:rPr>
      </w:pPr>
      <w:proofErr w:type="spellStart"/>
      <w:r w:rsidRPr="009D1041">
        <w:rPr>
          <w:color w:val="000000" w:themeColor="text1"/>
        </w:rPr>
        <w:t>Synofzik</w:t>
      </w:r>
      <w:proofErr w:type="spellEnd"/>
      <w:r w:rsidRPr="009D1041">
        <w:rPr>
          <w:color w:val="000000" w:themeColor="text1"/>
        </w:rPr>
        <w:t xml:space="preserve">, M., </w:t>
      </w:r>
      <w:proofErr w:type="spellStart"/>
      <w:r w:rsidRPr="009D1041">
        <w:rPr>
          <w:color w:val="000000" w:themeColor="text1"/>
        </w:rPr>
        <w:t>Vosgerau</w:t>
      </w:r>
      <w:proofErr w:type="spellEnd"/>
      <w:r w:rsidRPr="009D1041">
        <w:rPr>
          <w:color w:val="000000" w:themeColor="text1"/>
        </w:rPr>
        <w:t xml:space="preserve">, G., &amp; </w:t>
      </w:r>
      <w:proofErr w:type="spellStart"/>
      <w:r w:rsidRPr="009D1041">
        <w:rPr>
          <w:color w:val="000000" w:themeColor="text1"/>
        </w:rPr>
        <w:t>Newen</w:t>
      </w:r>
      <w:proofErr w:type="spellEnd"/>
      <w:r w:rsidRPr="009D1041">
        <w:rPr>
          <w:color w:val="000000" w:themeColor="text1"/>
        </w:rPr>
        <w:t xml:space="preserve">, A. (2008). Beyond the comparator model: A multifactorial two-step account of agency. </w:t>
      </w:r>
      <w:r w:rsidRPr="009D1041">
        <w:rPr>
          <w:i/>
          <w:iCs/>
          <w:color w:val="000000" w:themeColor="text1"/>
        </w:rPr>
        <w:t>Consciousness and Cognition, 17</w:t>
      </w:r>
      <w:r w:rsidRPr="009D1041">
        <w:rPr>
          <w:color w:val="000000" w:themeColor="text1"/>
        </w:rPr>
        <w:t>(1), 219–239.</w:t>
      </w:r>
      <w:r w:rsidRPr="009D1041">
        <w:rPr>
          <w:color w:val="000000" w:themeColor="text1"/>
          <w:u w:val="single"/>
        </w:rPr>
        <w:t xml:space="preserve"> https://doi.org/10.1016/j.concog.2007.03.010</w:t>
      </w:r>
    </w:p>
    <w:p w14:paraId="6ED954F8"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Veenman, M. V. J., Van Hout-Wolters, B. H. A. M., &amp; Afflerbach, P. (2006). Metacognition and learning: Conceptual and methodological considerations. </w:t>
      </w:r>
      <w:r w:rsidRPr="009D1041">
        <w:rPr>
          <w:i/>
          <w:iCs/>
          <w:color w:val="000000" w:themeColor="text1"/>
        </w:rPr>
        <w:t>Metacognition and Learning, 1</w:t>
      </w:r>
      <w:r w:rsidRPr="009D1041">
        <w:rPr>
          <w:color w:val="000000" w:themeColor="text1"/>
        </w:rPr>
        <w:t>(1), 3–14.</w:t>
      </w:r>
      <w:r w:rsidRPr="009D1041">
        <w:rPr>
          <w:color w:val="000000" w:themeColor="text1"/>
          <w:u w:val="single"/>
        </w:rPr>
        <w:t xml:space="preserve"> https://doi.org/10.1007/s11409-006-6893-0</w:t>
      </w:r>
    </w:p>
    <w:p w14:paraId="229DA72E"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Wegner, D. M. (2002). </w:t>
      </w:r>
      <w:r w:rsidRPr="009D1041">
        <w:rPr>
          <w:i/>
          <w:iCs/>
          <w:color w:val="000000" w:themeColor="text1"/>
        </w:rPr>
        <w:t>The illusion of conscious will</w:t>
      </w:r>
      <w:r w:rsidRPr="009D1041">
        <w:rPr>
          <w:color w:val="000000" w:themeColor="text1"/>
        </w:rPr>
        <w:t>. MIT Press.</w:t>
      </w:r>
    </w:p>
    <w:p w14:paraId="15235792" w14:textId="77777777" w:rsidR="00891F74" w:rsidRPr="009D1041" w:rsidRDefault="00891F74" w:rsidP="00891F74">
      <w:pPr>
        <w:spacing w:after="120" w:line="480" w:lineRule="auto"/>
        <w:ind w:left="720" w:hanging="720"/>
        <w:rPr>
          <w:color w:val="000000" w:themeColor="text1"/>
        </w:rPr>
      </w:pPr>
      <w:r w:rsidRPr="009D1041">
        <w:rPr>
          <w:color w:val="000000" w:themeColor="text1"/>
        </w:rPr>
        <w:t xml:space="preserve">Wichers, M. (2014). The dynamic nature of depression: A new micro-level perspective of mental disorder that meets current challenges. </w:t>
      </w:r>
      <w:r w:rsidRPr="009D1041">
        <w:rPr>
          <w:i/>
          <w:iCs/>
          <w:color w:val="000000" w:themeColor="text1"/>
        </w:rPr>
        <w:t>Psychological Medicine, 44</w:t>
      </w:r>
      <w:r w:rsidRPr="009D1041">
        <w:rPr>
          <w:color w:val="000000" w:themeColor="text1"/>
        </w:rPr>
        <w:t>(7), 1349–1360.</w:t>
      </w:r>
      <w:r w:rsidRPr="009D1041">
        <w:rPr>
          <w:color w:val="000000" w:themeColor="text1"/>
          <w:u w:val="single"/>
        </w:rPr>
        <w:t xml:space="preserve"> https://doi.org/10.1017/S0033291713001979</w:t>
      </w:r>
    </w:p>
    <w:p w14:paraId="6769BF1C" w14:textId="77777777" w:rsidR="004538BC" w:rsidRPr="009D1041" w:rsidRDefault="004538BC">
      <w:pPr>
        <w:rPr>
          <w:color w:val="000000" w:themeColor="text1"/>
        </w:rPr>
      </w:pPr>
    </w:p>
    <w:sectPr w:rsidR="004538BC" w:rsidRPr="009D1041" w:rsidSect="00891F7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6F4B" w14:textId="77777777" w:rsidR="00176BF4" w:rsidRDefault="00176BF4">
      <w:r>
        <w:separator/>
      </w:r>
    </w:p>
  </w:endnote>
  <w:endnote w:type="continuationSeparator" w:id="0">
    <w:p w14:paraId="1FB7FBF9" w14:textId="77777777" w:rsidR="00176BF4" w:rsidRDefault="00176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90F2" w14:textId="77777777" w:rsidR="00891F74" w:rsidRDefault="00891F74">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D1B2" w14:textId="77777777" w:rsidR="00176BF4" w:rsidRDefault="00176BF4">
      <w:r>
        <w:separator/>
      </w:r>
    </w:p>
  </w:footnote>
  <w:footnote w:type="continuationSeparator" w:id="0">
    <w:p w14:paraId="60EBD2A2" w14:textId="77777777" w:rsidR="00176BF4" w:rsidRDefault="00176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FCFD" w14:textId="77777777" w:rsidR="00891F74" w:rsidRDefault="00891F74">
    <w:pPr>
      <w:jc w:val="right"/>
    </w:pPr>
    <w:r>
      <w:rPr>
        <w:color w:val="555555"/>
        <w:sz w:val="20"/>
        <w:szCs w:val="20"/>
      </w:rPr>
      <w:t>AFFECT AS A DYNAMICAL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74"/>
    <w:rsid w:val="00176BF4"/>
    <w:rsid w:val="004538BC"/>
    <w:rsid w:val="005045E3"/>
    <w:rsid w:val="005E2504"/>
    <w:rsid w:val="00682BED"/>
    <w:rsid w:val="00891F74"/>
    <w:rsid w:val="00973EDC"/>
    <w:rsid w:val="009D1041"/>
    <w:rsid w:val="00A82E34"/>
    <w:rsid w:val="00B76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DC87A8"/>
  <w15:chartTrackingRefBased/>
  <w15:docId w15:val="{55CE7EFE-BB5F-1B45-8C6A-F6DBED28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F7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1F7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91F7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91F7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1F7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91F7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91F7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91F7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91F7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91F7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F74"/>
    <w:rPr>
      <w:rFonts w:eastAsiaTheme="majorEastAsia" w:cstheme="majorBidi"/>
      <w:color w:val="272727" w:themeColor="text1" w:themeTint="D8"/>
    </w:rPr>
  </w:style>
  <w:style w:type="paragraph" w:styleId="Title">
    <w:name w:val="Title"/>
    <w:basedOn w:val="Normal"/>
    <w:next w:val="Normal"/>
    <w:link w:val="TitleChar"/>
    <w:uiPriority w:val="10"/>
    <w:qFormat/>
    <w:rsid w:val="00891F7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F7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F74"/>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91F74"/>
    <w:rPr>
      <w:i/>
      <w:iCs/>
      <w:color w:val="404040" w:themeColor="text1" w:themeTint="BF"/>
    </w:rPr>
  </w:style>
  <w:style w:type="paragraph" w:styleId="ListParagraph">
    <w:name w:val="List Paragraph"/>
    <w:basedOn w:val="Normal"/>
    <w:uiPriority w:val="34"/>
    <w:qFormat/>
    <w:rsid w:val="00891F74"/>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891F74"/>
    <w:rPr>
      <w:i/>
      <w:iCs/>
      <w:color w:val="0F4761" w:themeColor="accent1" w:themeShade="BF"/>
    </w:rPr>
  </w:style>
  <w:style w:type="paragraph" w:styleId="IntenseQuote">
    <w:name w:val="Intense Quote"/>
    <w:basedOn w:val="Normal"/>
    <w:next w:val="Normal"/>
    <w:link w:val="IntenseQuoteChar"/>
    <w:uiPriority w:val="30"/>
    <w:qFormat/>
    <w:rsid w:val="00891F7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91F74"/>
    <w:rPr>
      <w:i/>
      <w:iCs/>
      <w:color w:val="0F4761" w:themeColor="accent1" w:themeShade="BF"/>
    </w:rPr>
  </w:style>
  <w:style w:type="character" w:styleId="IntenseReference">
    <w:name w:val="Intense Reference"/>
    <w:basedOn w:val="DefaultParagraphFont"/>
    <w:uiPriority w:val="32"/>
    <w:qFormat/>
    <w:rsid w:val="00891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9952</Words>
  <Characters>59615</Characters>
  <Application>Microsoft Office Word</Application>
  <DocSecurity>0</DocSecurity>
  <Lines>946</Lines>
  <Paragraphs>358</Paragraphs>
  <ScaleCrop>false</ScaleCrop>
  <Company/>
  <LinksUpToDate>false</LinksUpToDate>
  <CharactersWithSpaces>69209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1210027212@student.must.edu.mo</dc:creator>
  <cp:keywords/>
  <dc:description/>
  <cp:lastModifiedBy>1210027212@student.must.edu.mo</cp:lastModifiedBy>
  <cp:revision>2</cp:revision>
  <cp:lastPrinted>2026-05-20T18:05:00Z</cp:lastPrinted>
  <dcterms:created xsi:type="dcterms:W3CDTF">2026-05-20T18:08:00Z</dcterms:created>
  <dcterms:modified xsi:type="dcterms:W3CDTF">2026-05-20T18:08:00Z</dcterms:modified>
</cp:coreProperties>
</file>