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32"/>
          <w:szCs w:val="32"/>
        </w:rPr>
        <w:t xml:space="preserve">What organizes daily affect in one person:</w:t>
      </w:r>
    </w:p>
    <w:p>
      <w:pPr>
        <w:spacing w:after="720" w:line="480"/>
        <w:jc w:val="center"/>
      </w:pPr>
      <w:r>
        <w:rPr>
          <w:rFonts w:ascii="Times New Roman" w:cs="Times New Roman" w:eastAsia="Times New Roman" w:hAnsi="Times New Roman"/>
          <w:b/>
          <w:bCs/>
          <w:sz w:val="32"/>
          <w:szCs w:val="32"/>
        </w:rPr>
        <w:t xml:space="preserve">A 70-day N-of-1 characterization with a nightly melatonin probe</w:t>
      </w:r>
    </w:p>
    <w:p>
      <w:pPr>
        <w:spacing w:after="120" w:line="480"/>
        <w:jc w:val="center"/>
      </w:pPr>
      <w:r>
        <w:rPr>
          <w:rFonts w:ascii="Times New Roman" w:cs="Times New Roman" w:eastAsia="Times New Roman" w:hAnsi="Times New Roman"/>
          <w:sz w:val="26"/>
          <w:szCs w:val="26"/>
        </w:rPr>
        <w:t xml:space="preserve">Miura Meng</w:t>
      </w:r>
    </w:p>
    <w:p>
      <w:r>
        <w:t>Graduate School of Education, University of Pennsylvania, Philadelphia, Pennsylvania, United States</w:t>
      </w:r>
    </w:p>
    <w:p>
      <w:r>
        <w:t>Correspondence: Miura Meng, Graduate School of Education, University of Pennsylvania, 3700 Walnut Street, Philadelphia, PA 19104, United States. Email: meng10@upenn.edu. Telephone: +1 (773) 406-8649.</w:t>
      </w:r>
    </w:p>
    <w:p>
      <w:pPr>
        <w:spacing w:after="120" w:line="480"/>
        <w:jc w:val="center"/>
      </w:pPr>
      <w:r>
        <w:rPr>
          <w:rFonts w:ascii="Times New Roman" w:cs="Times New Roman" w:eastAsia="Times New Roman" w:hAnsi="Times New Roman"/>
          <w:sz w:val="24"/>
          <w:szCs w:val="24"/>
        </w:rPr>
        <w:t xml:space="preserve">July 2026</w:t>
      </w:r>
    </w:p>
    <w:p>
      <w:r>
        <w:br w:type="page"/>
      </w:r>
    </w:p>
    <w:p>
      <w:pPr>
        <w:spacing w:after="240" w:before="240" w:line="48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Over 70 days, one adult recorded momentary emotional valence, perceived agency, and metacognitive awareness three times a day, and took 3 mg of melatonin on the nights assigned by a pre-generated randomized schedule. This yielded 193 scheduled observations at 91.9% compliance across 35 control and 35 melatonin days. Melatonin left mean daily mood essentially unchanged: the difference was +0.86 points on a 0 to 100 scale, d = 0.16, and an equivalence test placed it inside an analysis-defined bound of five points, which gives the null a stated width. What moved with mood was the person’s own regulatory state. Perceived agency and metacognitive awareness together accounted for a further 52.8% of daily-mood variance beyond autoregressive carryover and the probe, lifting model R² from .116 to .644, and the internal-over-probe contrast persisted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chronobiotic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pPr>
        <w:spacing w:after="120" w:before="240" w:line="48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480"/>
      </w:pPr>
      <w:r>
        <w:rPr>
          <w:rFonts w:ascii="Times New Roman" w:cs="Times New Roman" w:eastAsia="Times New Roman" w:hAnsi="Times New Roman"/>
          <w:b/>
          <w:bCs/>
          <w:sz w:val="28"/>
          <w:szCs w:val="28"/>
        </w:rPr>
        <w:t xml:space="preserve">1. Introduction</w:t>
      </w:r>
    </w:p>
    <w:p>
      <w:pPr>
        <w:pStyle w:val="Heading2"/>
        <w:spacing w:after="120" w:before="240" w:line="480"/>
      </w:pPr>
      <w:r>
        <w:rPr>
          <w:rFonts w:ascii="Times New Roman" w:cs="Times New Roman" w:eastAsia="Times New Roman" w:hAnsi="Times New Roman"/>
          <w:b/>
          <w:bCs/>
          <w:sz w:val="26"/>
          <w:szCs w:val="26"/>
        </w:rPr>
        <w:t xml:space="preserve">1.1 What Organizes One Person’s Daily Affect?</w:t>
      </w:r>
    </w:p>
    <w:p>
      <w:pPr>
        <w:spacing w:after="120" w:before="0" w:line="480"/>
        <w:jc w:val="both"/>
      </w:pPr>
      <w:r>
        <w:rPr>
          <w:rFonts w:ascii="Times New Roman" w:cs="Times New Roman" w:eastAsia="Times New Roman" w:hAnsi="Times New Roman"/>
          <w:sz w:val="24"/>
          <w:szCs w:val="24"/>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pPr>
        <w:spacing w:after="120" w:before="0" w:line="480"/>
        <w:jc w:val="both"/>
      </w:pPr>
      <w:r>
        <w:rPr>
          <w:rFonts w:ascii="Times New Roman" w:cs="Times New Roman" w:eastAsia="Times New Roman" w:hAnsi="Times New Roman"/>
          <w:sz w:val="24"/>
          <w:szCs w:val="24"/>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pPr>
        <w:pStyle w:val="Heading2"/>
        <w:spacing w:after="120" w:before="240" w:line="480"/>
      </w:pPr>
      <w:r>
        <w:rPr>
          <w:rFonts w:ascii="Times New Roman" w:cs="Times New Roman" w:eastAsia="Times New Roman" w:hAnsi="Times New Roman"/>
          <w:b/>
          <w:bCs/>
          <w:sz w:val="26"/>
          <w:szCs w:val="26"/>
        </w:rPr>
        <w:t xml:space="preserve">1.2 Two Theoretical Commitments</w:t>
      </w:r>
    </w:p>
    <w:p>
      <w:pPr>
        <w:spacing w:after="120" w:before="0" w:line="480"/>
        <w:jc w:val="both"/>
      </w:pPr>
      <w:r>
        <w:rPr>
          <w:rFonts w:ascii="Times New Roman" w:cs="Times New Roman" w:eastAsia="Times New Roman" w:hAnsi="Times New Roman"/>
          <w:sz w:val="24"/>
          <w:szCs w:val="24"/>
        </w:rPr>
        <w:t xml:space="preserve">The internal-dynamics account is grounded here in two commitments.</w:t>
      </w:r>
    </w:p>
    <w:p>
      <w:pPr>
        <w:spacing w:after="120" w:before="0" w:line="480"/>
        <w:jc w:val="both"/>
      </w:pPr>
      <w:r>
        <w:rPr>
          <w:rFonts w:ascii="Times New Roman" w:cs="Times New Roman" w:eastAsia="Times New Roman" w:hAnsi="Times New Roman"/>
          <w:sz w:val="24"/>
          <w:szCs w:val="24"/>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pPr>
        <w:spacing w:after="120" w:before="0" w:line="480"/>
        <w:jc w:val="both"/>
      </w:pPr>
      <w:r>
        <w:rPr>
          <w:rFonts w:ascii="Times New Roman" w:cs="Times New Roman" w:eastAsia="Times New Roman" w:hAnsi="Times New Roman"/>
          <w:sz w:val="24"/>
          <w:szCs w:val="24"/>
        </w:rPr>
        <w:t xml:space="preserve">The second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pPr>
        <w:spacing w:after="120" w:before="0" w:line="480"/>
        <w:jc w:val="both"/>
      </w:pPr>
      <w:r>
        <w:rPr>
          <w:rFonts w:ascii="Times New Roman" w:cs="Times New Roman" w:eastAsia="Times New Roman" w:hAnsi="Times New Roman"/>
          <w:sz w:val="24"/>
          <w:szCs w:val="24"/>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pPr>
        <w:pStyle w:val="Heading2"/>
        <w:spacing w:after="120" w:before="240" w:line="480"/>
      </w:pPr>
      <w:r>
        <w:rPr>
          <w:rFonts w:ascii="Times New Roman" w:cs="Times New Roman" w:eastAsia="Times New Roman" w:hAnsi="Times New Roman"/>
          <w:b/>
          <w:bCs/>
          <w:sz w:val="26"/>
          <w:szCs w:val="26"/>
        </w:rPr>
        <w:t xml:space="preserve">1.3 Why a Single Person, and Why a Probe</w:t>
      </w:r>
    </w:p>
    <w:p>
      <w:pPr>
        <w:spacing w:after="120" w:before="0" w:line="480"/>
        <w:jc w:val="both"/>
      </w:pPr>
      <w:r>
        <w:rPr>
          <w:rFonts w:ascii="Times New Roman" w:cs="Times New Roman" w:eastAsia="Times New Roman" w:hAnsi="Times New Roman"/>
          <w:sz w:val="24"/>
          <w:szCs w:val="24"/>
        </w:rPr>
        <w:t xml:space="preserve">Two design choices follow from the question, and both depart from convention.</w:t>
      </w:r>
    </w:p>
    <w:p>
      <w:pPr>
        <w:spacing w:after="120" w:before="0" w:line="480"/>
        <w:jc w:val="both"/>
      </w:pPr>
      <w:r>
        <w:rPr>
          <w:rFonts w:ascii="Times New Roman" w:cs="Times New Roman" w:eastAsia="Times New Roman" w:hAnsi="Times New Roman"/>
          <w:sz w:val="24"/>
          <w:szCs w:val="24"/>
        </w:rPr>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Kuppens, 2022) and idiographic behavioral science (Molenaar, 2004), treating one individual as the unit of analysis in her own right.</w:t>
      </w:r>
    </w:p>
    <w:p>
      <w:pPr>
        <w:spacing w:after="120" w:before="0" w:line="480"/>
        <w:jc w:val="both"/>
      </w:pPr>
      <w:r>
        <w:rPr>
          <w:rFonts w:ascii="Times New Roman" w:cs="Times New Roman" w:eastAsia="Times New Roman" w:hAnsi="Times New Roman"/>
          <w:sz w:val="24"/>
          <w:szCs w:val="24"/>
        </w:rPr>
        <w:t>The second is what the melatonin is for. Standard intervention logic treats an external input as a lever: pull it, observe the outcome, read the effect size as the lever’s causal force. Dynamical systems accounts of affect describe something different. An external input perturbs a self-organizing system, which then responds according to its own internal structure, its inertia, its attractor states, and its sensitivity to inputs of particular magnitude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Kuppens, 2015; Koval &amp; Kuppens, 2012; Kuppens, Allen, &amp; Sheeber, 2010).</w:t>
      </w:r>
    </w:p>
    <w:p>
      <w:pPr>
        <w:spacing w:after="120" w:before="0" w:line="480"/>
        <w:jc w:val="both"/>
      </w:pPr>
      <w:r>
        <w:rPr>
          <w:rFonts w:ascii="Times New Roman" w:cs="Times New Roman" w:eastAsia="Times New Roman" w:hAnsi="Times New Roman"/>
          <w:sz w:val="24"/>
          <w:szCs w:val="24"/>
        </w:rPr>
        <w:t>The control-theoretic vocabulary used here, including the language of system identification, is intended in an analytic and conceptual sense, as a way of organizing dynamical questions about a 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pPr>
        <w:pStyle w:val="Heading2"/>
        <w:spacing w:after="120" w:before="240" w:line="48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w:t>
      </w:r>
      <w:r>
        <w:rPr>
          <w:rFonts w:ascii="Times New Roman" w:cs="Times New Roman" w:eastAsia="Times New Roman" w:hAnsi="Times New Roman"/>
          <w:sz w:val="24"/>
          <w:szCs w:val="24"/>
        </w:rPr>
        <w:t xml:space="preserve">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Probe.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pPr>
        <w:spacing w:after="120" w:before="0" w:line="480"/>
        <w:jc w:val="both"/>
      </w:pPr>
      <w:r>
        <w:rPr>
          <w:rFonts w:ascii="Times New Roman" w:cs="Times New Roman" w:eastAsia="Times New Roman" w:hAnsi="Times New Roman"/>
          <w:b/>
          <w:bCs/>
          <w:sz w:val="24"/>
          <w:szCs w:val="24"/>
        </w:rPr>
        <w:t xml:space="preserve">Exploratory. </w:t>
      </w:r>
      <w:r>
        <w:rPr>
          <w:rFonts w:ascii="Times New Roman" w:cs="Times New Roman" w:eastAsia="Times New Roman" w:hAnsi="Times New Roman"/>
          <w:sz w:val="24"/>
          <w:szCs w:val="24"/>
        </w:rPr>
        <w:t xml:space="preserve">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pPr>
        <w:pStyle w:val="Heading2"/>
        <w:spacing w:after="120" w:before="240" w:line="480"/>
      </w:pPr>
      <w:r>
        <w:rPr>
          <w:rFonts w:ascii="Times New Roman" w:cs="Times New Roman" w:eastAsia="Times New Roman" w:hAnsi="Times New Roman"/>
          <w:b/>
          <w:bCs/>
          <w:sz w:val="26"/>
          <w:szCs w:val="26"/>
        </w:rPr>
        <w:t xml:space="preserve">1.5 Study Origin and Analytic Reframing</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pPr>
        <w:spacing w:after="120" w:before="0" w:line="480"/>
        <w:jc w:val="both"/>
      </w:pPr>
      <w:r>
        <w:rPr>
          <w:rFonts w:ascii="Times New Roman" w:cs="Times New Roman" w:eastAsia="Times New Roman" w:hAnsi="Times New Roman"/>
          <w:sz w:val="24"/>
          <w:szCs w:val="24"/>
        </w:rPr>
        <w:t xml:space="preserve">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pPr>
        <w:pStyle w:val="Heading1"/>
        <w:spacing w:after="240" w:before="360" w:line="480"/>
      </w:pPr>
      <w:r>
        <w:rPr>
          <w:rFonts w:ascii="Times New Roman" w:cs="Times New Roman" w:eastAsia="Times New Roman" w:hAnsi="Times New Roman"/>
          <w:b/>
          <w:bCs/>
          <w:sz w:val="28"/>
          <w:szCs w:val="28"/>
        </w:rPr>
        <w:t xml:space="preserve">2. Methods</w:t>
      </w:r>
    </w:p>
    <w:p>
      <w:pPr>
        <w:pStyle w:val="Heading2"/>
        <w:spacing w:after="120" w:before="240" w:line="48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48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pPr>
        <w:pStyle w:val="Heading2"/>
        <w:spacing w:after="120" w:before="240" w:line="48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Melatonin functions here as an analytic probe: a perturbation input of known presence and absence, applied to an otherwise free-running system in order to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pPr>
        <w:pStyle w:val="Heading2"/>
        <w:spacing w:after="120" w:before="240" w:line="480"/>
      </w:pPr>
      <w:r>
        <w:rPr>
          <w:rFonts w:ascii="Times New Roman" w:cs="Times New Roman" w:eastAsia="Times New Roman" w:hAnsi="Times New Roman"/>
          <w:b/>
          <w:bCs/>
          <w:sz w:val="26"/>
          <w:szCs w:val="26"/>
        </w:rPr>
        <w:t xml:space="preserve">2.4 Procedure and Measurement</w:t>
      </w:r>
    </w:p>
    <w:p>
      <w:pPr>
        <w:pStyle w:val="Heading3"/>
        <w:spacing w:after="60" w:before="180" w:line="48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Each study day is a calendar date, and EMA observations were aggregated to the study day, yielding the planned 35 control and 35 melatonin daily aggregates over the 70-day window (2026-02-18 to 2026-04-29). Two records were entered on 2026-04-03, after the three prompts for that study day had already been completed on 2026-04-02. They fill none of the 210 planned prompt slots, so they are retained in the archived log and excluded from the analytic dataset (cf. Section 3.1). Compliance and the realized sample are reported in Section 3.1.</w:t>
      </w:r>
    </w:p>
    <w:p>
      <w:pPr>
        <w:pStyle w:val="Heading3"/>
        <w:spacing w:after="60" w:before="180" w:line="48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1.2).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48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142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193-observation analytic sample.</w:t>
      </w:r>
    </w:p>
    <w:p>
      <w:pPr>
        <w:pStyle w:val="Heading3"/>
        <w:spacing w:after="60" w:before="180" w:line="48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pPr>
        <w:pStyle w:val="Heading2"/>
        <w:spacing w:after="120" w:before="240" w:line="480"/>
      </w:pPr>
      <w:r>
        <w:rPr>
          <w:rFonts w:ascii="Times New Roman" w:cs="Times New Roman" w:eastAsia="Times New Roman" w:hAnsi="Times New Roman"/>
          <w:b/>
          <w:bCs/>
          <w:sz w:val="26"/>
          <w:szCs w:val="26"/>
        </w:rPr>
        <w:t xml:space="preserve">2.5 Analytic Strategy</w:t>
      </w:r>
    </w:p>
    <w:p>
      <w:pPr>
        <w:spacing w:after="120" w:before="0" w:line="480"/>
        <w:jc w:val="both"/>
      </w:pPr>
      <w:r>
        <w:rPr>
          <w:rFonts w:ascii="Times New Roman" w:cs="Times New Roman" w:eastAsia="Times New Roman" w:hAnsi="Times New Roman"/>
          <w:b w:val="0"/>
          <w:i w:val="0"/>
          <w:sz w:val="24"/>
          <w:szCs w:val="24"/>
        </w:rPr>
        <w:t>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The remaining sections are sensitivity, exploratory, and robustness analyses: the metacontrol and decay interactions, the variability indices, and a multilevel re-estimation that repeats the primary comparison without daily aggregation (Sections 2.5.5 through 2.5.9).</w:t>
      </w:r>
    </w:p>
    <w:p>
      <w:pPr>
        <w:pStyle w:val="Heading3"/>
        <w:spacing w:after="60" w:before="180" w:line="48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rPr>
          <w:i w:val="0"/>
        </w:rPr>
        <w:t xml:space="preserve"> Lag-order sensitivity was evaluated on the same Day 18–70 window. In the outcome-only model the second lag was positive (β = 0.33, 95% CI [0.06, 0.61], </w:t>
      </w:r>
      <w:r>
        <w:rPr>
          <w:i/>
        </w:rPr>
        <w:t>p</w:t>
      </w:r>
      <w:r>
        <w:rPr>
          <w:i w:val="0"/>
        </w:rPr>
        <w:t xml:space="preserve"> = .017). When the second lag was added to the full M2 specification, however, it was smaller and not reliably distinguishable from zero (β = 0.12, 95% CI [−0.07, 0.32], </w:t>
      </w:r>
      <w:r>
        <w:rPr>
          <w:i/>
        </w:rPr>
        <w:t>p</w:t>
      </w:r>
      <w:r>
        <w:rPr>
          <w:i w:val="0"/>
        </w:rPr>
        <w:t xml:space="preserve"> = .212), and both AIC and BIC favored the more parsimonious AR(1) M2 (AIC 244.28 against 244.51; BIC 254.13 against 256.33). The substantive contrast persisted in the AR(2) specification: agency β = 0.49, metacognition β = 0.45, and melatonin β = −0.01. A Ljung-Box test found no residual autocorrelation in the AR(1) M2 residuals (lag 10, </w:t>
      </w:r>
      <w:r>
        <w:rPr>
          <w:i/>
        </w:rPr>
        <w:t>p</w:t>
      </w:r>
      <w:r>
        <w:rPr>
          <w:i w:val="0"/>
        </w:rPr>
        <w:t xml:space="preserve"> = .354), supporting the first-order specification.</w:t>
      </w:r>
    </w:p>
    <w:p>
      <w:pPr>
        <w:pStyle w:val="Heading3"/>
        <w:spacing w:after="60" w:before="180" w:line="48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48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48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48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48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193 EMA pings, ordered by timestamp; its half-life was converted to physical time using the median between-prompt interval. The choice of sample window for IRF estimation is reported in Appendix A.</w:t>
      </w:r>
    </w:p>
    <w:p>
      <w:pPr>
        <w:pStyle w:val="Heading3"/>
        <w:spacing w:after="60" w:before="180" w:line="48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48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48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The metacontrol hypothesis holds that metacognitive awareness moderates the system’s responsiveness to external perturbation. It was tested by adding a melatonin × metacognition interaction term, with metacognition mean-centered:</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48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In addition to the mean-shift analyses above, three indices of mood variability were computed by condition: (a) the standard deviation of daily mood within each condition; (b) the mean squared successive difference (MSSD; Jahng, Wood, &amp; Trull, 2008). The MSSD was computed within contiguous within-condition runs of EMA observations and averaged across runs. The third was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48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48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pPr>
        <w:pStyle w:val="Heading3"/>
        <w:spacing w:after="60" w:before="180" w:line="48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One robustness check was performed: an agency × melatonin interaction term was added to the M2 framework to test whether the agency–mood association differed between conditions. Results are reported in Section 3.4.</w:t>
      </w:r>
    </w:p>
    <w:p>
      <w:pPr>
        <w:pStyle w:val="Heading3"/>
        <w:spacing w:after="60" w:before="180" w:line="480"/>
      </w:pPr>
      <w:r>
        <w:rPr>
          <w:rFonts w:ascii="Times New Roman" w:cs="Times New Roman" w:eastAsia="Times New Roman" w:hAnsi="Times New Roman"/>
          <w:b/>
          <w:bCs/>
          <w:i/>
          <w:iCs/>
          <w:sz w:val="24"/>
          <w:szCs w:val="24"/>
        </w:rPr>
        <w:t>2.5.9 Multilevel (mixed-effects) robustness analysis</w:t>
      </w:r>
    </w:p>
    <w:p>
      <w:pPr>
        <w:spacing w:after="120" w:before="0" w:line="480"/>
        <w:jc w:val="both"/>
      </w:pPr>
      <w:r>
        <w:rPr>
          <w:rFonts w:ascii="Times New Roman" w:cs="Times New Roman" w:eastAsia="Times New Roman" w:hAnsi="Times New Roman"/>
          <w:sz w:val="24"/>
          <w:szCs w:val="24"/>
        </w:rPr>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 xml:space="preserve">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480"/>
      </w:pPr>
      <w:r>
        <w:rPr>
          <w:rFonts w:ascii="Times New Roman" w:cs="Times New Roman" w:eastAsia="Times New Roman" w:hAnsi="Times New Roman"/>
          <w:b/>
          <w:bCs/>
          <w:i/>
          <w:iCs/>
          <w:sz w:val="24"/>
          <w:szCs w:val="24"/>
        </w:rPr>
        <w:t>2.5.10 Equivalence test for the melatonin mean effect</w:t>
      </w:r>
    </w:p>
    <w:p>
      <w:pPr>
        <w:spacing w:after="120" w:before="0" w:line="480"/>
        <w:jc w:val="both"/>
      </w:pPr>
      <w:r>
        <w:rPr>
          <w:rFonts w:ascii="Times New Roman" w:cs="Times New Roman" w:eastAsia="Times New Roman" w:hAnsi="Times New Roman"/>
          <w:sz w:val="24"/>
          <w:szCs w:val="24"/>
        </w:rPr>
        <w:t>Because a non-significant mean difference does not by itself establish the absence of a meaningful effect, the melatonin mean effect was also evaluated with a two one-sided tests (TOST) equivalence procedure (Lakens, 2017). A smallest effect size of interest (SESOI) of ±5 points on the 0–100 mood scale was defined for this analysis as the smallest day-level mean shift judged practically meaningful for this individual, approximately 0.9 of the daily mood standard deviation. 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pPr>
        <w:pStyle w:val="Heading3"/>
        <w:spacing w:after="60" w:before="180" w:line="48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Primary analyses were performed in Python 3.11 using statsmodels (Seabold &amp; Perktold, 2010) for OLS and state-space modeling, scipy.stats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lmerTest (Kuznetsova et al., 2017). The equivalence test (Section 2.5.10) was computed in R 4.5 using the TOSTER package (Lakens, 2017).</w:t>
      </w:r>
    </w:p>
    <w:p>
      <w:pPr>
        <w:pStyle w:val="Heading1"/>
        <w:spacing w:after="240" w:before="360" w:line="480"/>
      </w:pPr>
      <w:r>
        <w:rPr>
          <w:rFonts w:ascii="Times New Roman" w:cs="Times New Roman" w:eastAsia="Times New Roman" w:hAnsi="Times New Roman"/>
          <w:b/>
          <w:bCs/>
          <w:sz w:val="28"/>
          <w:szCs w:val="28"/>
        </w:rPr>
        <w:t xml:space="preserve">3. Results</w:t>
      </w:r>
    </w:p>
    <w:p>
      <w:pPr>
        <w:pStyle w:val="Heading2"/>
        <w:spacing w:after="120" w:before="240" w:line="48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The raw EMA log contained 195 records. Of these, 193 filled one of the 210 prompt slots planned across the 70-day study window (2026-02-18 to 2026-04-29), a scheduled-response compliance of 91.9% (55 study days with three scheduled observations, 13 with two, and 2 with one). Two further records were entered on April 3, after that study day's three prompts had been completed the previous day; they remain in the archived raw log and were excluded from all analyses. As described in Section 2.3, the protocol’s 70-day randomized schedule yielded 35 control and 35 melatonin study days. Within the Day 18–70 window in which agency and metacognition were also collected, 27 control and 26 melatonin days yielded 142 complete observations.</w:t>
      </w:r>
    </w:p>
    <w:p>
      <w:pPr>
        <w:spacing w:after="120" w:before="0" w:line="480"/>
        <w:jc w:val="both"/>
      </w:pPr>
      <w:r>
        <w:rPr>
          <w:rFonts w:ascii="Times New Roman" w:cs="Times New Roman" w:eastAsia="Times New Roman" w:hAnsi="Times New Roman"/>
          <w:sz w:val="24"/>
          <w:szCs w:val="24"/>
        </w:rPr>
        <w:t>Daily mean mood was high overall (M = 77.10, SD = 5.49), with a range from 60.00 to 86.50 across the 70-day window. By condition, daily mood averaged 76.67 (SD = 6.41) on control days and 77.53 (SD = 4.42) on melatonin days. Within the Day 18–70 window, daily agency averaged 77.71 (SD = 4.50) on control days and 78.48 (SD = 3.18) on melatonin days. Daily metacognition averaged 79.39 (SD = 3.98) on control days and 80.11 (SD = 3.32) on melatonin days. The descriptive time series of daily mean mood and of all 193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193 scheduled momentary mood observations are colored by daily condition. The dark line shows the 7-day rolling mean, indicating a gradual upward trend that stabilizes from approximately Day 40 onward.</w:t>
      </w:r>
    </w:p>
    <w:p>
      <w:pPr>
        <w:pStyle w:val="Heading2"/>
        <w:spacing w:after="120" w:before="240" w:line="48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 xml:space="preserve">Three nested autoregressive models were fit to daily mean mood on the Day 18–70 subsample (n = 53 days; Table 1). The baseline AR(1) model (M0) yielded φ = 0.33, 95% CI [0.06, 0.60],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.016, accounting for 10.9% of the variance in daily mood and confirming the presence of day-to-day emotional inertia. Adding the melatonin probe (M1) increased explained variance only marginally (R² = 0.116, ΔR² = 0.007; β = 0.62, 95% CI [−1.35, 2.60],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.530). Adding the two internal drivers (M2) increased explained variance dramatically (R² = 0.644, adjusted R² = 0.614).</w:t>
      </w:r>
    </w:p>
    <w:p>
      <w:pPr>
        <w:spacing w:after="120" w:before="0" w:line="480"/>
        <w:jc w:val="both"/>
      </w:pPr>
      <w:r>
        <w:rPr>
          <w:rFonts w:ascii="Times New Roman" w:cs="Times New Roman" w:eastAsia="Times New Roman" w:hAnsi="Times New Roman"/>
          <w:sz w:val="24"/>
          <w:szCs w:val="24"/>
        </w:rPr>
        <w:t xml:space="preserve">In the full M2 model, agency emerged as a strong positive predictor of daily mood (β = 0.52, 95% CI [0.32, 0.73],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&lt; .001), as did metacognition (β = 0.46, 95% CI [0.23, 0.69],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&lt; .001). The melatonin coefficient was estimated near zero (β = −0.09, 95% CI [−1.38, 1.20],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.886). The autoregressive coefficient flipped sign in the full model and was no longer reliably distinguishable from zero (β = −0.15, 95% CI [−0.36, 0.06],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.156). This suggests that the apparent emotional inertia detected by M0 was substantially absorbed by the two internal drivers once they were included as predictors. Collinearity diagnostics did not indicate problematic collinearity as an alternative account of that change: variance inflation factors in M2 stayed below 1.8 for every predictor (highest 1.73, for metacognition), and the condition number of the standardized predictor matrix was 2.22.</w:t>
      </w:r>
    </w:p>
    <w:p>
      <w:pPr>
        <w:spacing w:after="60" w:before="240" w:line="48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52.54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[31.63, 73.45]</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[0.06, 0.60]</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52.26</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[31.20, 73.33]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[0.06, 0.60]</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.017</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[−1.35, 2.60]</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.530</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8.24</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[−3.45, 29.69]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.118</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0.06]</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.156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−0.09</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0.64</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[−1.38, 1.20]</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.886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0.46</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[0.23,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48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models fit on the Day 18–70 subsample (n = 53 days). M0: R² = .109, adjusted R² = .091. M1: R² = .116, adjusted R² = .081. M2: R² = .644, adjusted R² = .614. Predictors are on their original 0–100 scales. M2 residuals showed no remaining serial dependence (Ljung–Box </w:t>
      </w:r>
      <w:r>
        <w:rPr>
          <w:rFonts w:ascii="Times New Roman" w:cs="Times New Roman" w:eastAsia="Times New Roman" w:hAnsi="Times New Roman"/>
          <w:i/>
          <w:sz w:val="20"/>
          <w:szCs w:val="20"/>
        </w:rPr>
        <w:t>p</w:t>
      </w:r>
      <w:r>
        <w:rPr>
          <w:rFonts w:ascii="Times New Roman" w:cs="Times New Roman" w:eastAsia="Times New Roman" w:hAnsi="Times New Roman"/>
          <w:sz w:val="20"/>
          <w:szCs w:val="20"/>
        </w:rPr>
        <w:t xml:space="preserve"> = .157, .527, and .354 at lags 1, 5, and 10) and were approximately normal (Shapiro–Wilk W = 0.98, </w:t>
      </w:r>
      <w:r>
        <w:rPr>
          <w:rFonts w:ascii="Times New Roman" w:cs="Times New Roman" w:eastAsia="Times New Roman" w:hAnsi="Times New Roman"/>
          <w:i/>
          <w:sz w:val="20"/>
          <w:szCs w:val="20"/>
        </w:rPr>
        <w:t>p</w:t>
      </w:r>
      <w:r>
        <w:rPr>
          <w:rFonts w:ascii="Times New Roman" w:cs="Times New Roman" w:eastAsia="Times New Roman" w:hAnsi="Times New Roman"/>
          <w:sz w:val="20"/>
          <w:szCs w:val="20"/>
        </w:rPr>
        <w:t xml:space="preserve"> = .393).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19.6% of the variance in daily mood beyond what the other predictors in M2 captured; metacognition uniquely accounted for 11.7%; melatonin uniquely accounted for 0.02%. The internal-driver block (agency and metacognition jointly) accounted for 52.8% of the variance beyond the autoregressive-plus-melatonin model (M1), raising R² from .116 (M1) to .644 (M2). Because agency and metacognition are themselves correlated, this joint contribution exceeds the sum of their unique drop-one contributions (19.6% and 11.7%);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pStyle w:val="Heading2"/>
        <w:spacing w:after="120" w:before="240" w:line="480"/>
      </w:pPr>
      <w:r>
        <w:rPr>
          <w:rFonts w:ascii="Times New Roman" w:cs="Times New Roman" w:eastAsia="Times New Roman" w:hAnsi="Times New Roman"/>
          <w:b/>
          <w:bCs/>
          <w:sz w:val="26"/>
          <w:szCs w:val="26"/>
        </w:rPr>
        <w:t xml:space="preserve">3.3 The Probe: A Bounded Null on the Mean, a Suggestive Signal on Variability</w:t>
      </w:r>
    </w:p>
    <w:p>
      <w:pPr>
        <w:spacing w:after="120" w:before="0" w:line="480"/>
        <w:jc w:val="both"/>
      </w:pPr>
      <w:r>
        <w:rPr>
          <w:rFonts w:ascii="Times New Roman" w:cs="Times New Roman" w:eastAsia="Times New Roman" w:hAnsi="Times New Roman"/>
          <w:sz w:val="24"/>
          <w:szCs w:val="24"/>
        </w:rPr>
        <w:t xml:space="preserve">Consistent with the M1 result above, the between-condition comparison of daily mean mood yielded a small and non-significant difference: melatonin minus control = +0.86 mood points, Welch t(60.4) = 0.66,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.514, Cohen’s d = 0.16 (Figure 4). A two one-sided tests (TOST) equivalence procedure sharpened this null: the 90% confidence interval for the mean difference, [−1.34, +3.06] points, fell within the analysis-defined ±5-point bound, establishing equivalence at that bound (TOST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.001). At a tighter 3-point bound the interval was not fully contained and equivalence was not established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.055). The data therefore bound the melatonin mean effect to at most roughly +3 points on the high side, a bound the interval itself supplies.</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Between-condition comparison of daily mood, agency, and metacognition.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 xml:space="preserve">The variability analyses gave a more nuanced picture. Three descriptive indices pointed the same way, with melatonin days showing lower mood variability than control days: daily mood SD was 4.42 against 6.41, MSSD across within-condition runs was 57.36 against 88.26, and observation-level mood SD was 6.55 against 8.26. The univariate Levene and MSSD tests did not reach significance; full statistics are in Appendix C. The model-based heteroskedasticity analysis, regressing log-squared M2 residuals on the melatonin indicator, pointed in the same direction but did not reach conventional significance either (α₁ = −1.24,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.149). A state-dependent decay analysis was direction-consistent as well, with faster estimated decay on melatonin days, though its interaction coefficient also spanned zero; full estimates are in Appendix C.</w:t>
      </w:r>
    </w:p>
    <w:p>
      <w:pPr>
        <w:spacing w:after="120" w:before="0" w:line="480"/>
        <w:jc w:val="both"/>
      </w:pPr>
      <w:r>
        <w:rPr>
          <w:rFonts w:ascii="Times New Roman" w:cs="Times New Roman" w:eastAsia="Times New Roman" w:hAnsi="Times New Roman"/>
          <w:sz w:val="24"/>
          <w:szCs w:val="24"/>
        </w:rPr>
        <w:t>Taken together, the probe moved the level of this system by an amount the design can bound, and it may have moved the stability of the system, on evidence that is consistent in direction across four indices and short of conventional significance in each.</w:t>
      </w:r>
    </w:p>
    <w:p>
      <w:pPr>
        <w:pStyle w:val="Heading2"/>
        <w:spacing w:after="120" w:before="240" w:line="480"/>
      </w:pPr>
      <w:r>
        <w:rPr>
          <w:rFonts w:ascii="Times New Roman" w:cs="Times New Roman" w:eastAsia="Times New Roman" w:hAnsi="Times New Roman"/>
          <w:b/>
          <w:bCs/>
          <w:sz w:val="26"/>
          <w:szCs w:val="26"/>
        </w:rPr>
        <w:t xml:space="preserve">3.4 Robustness and Secondary Analyses</w:t>
      </w:r>
    </w:p>
    <w:p>
      <w:pPr>
        <w:spacing w:after="120" w:before="0" w:line="480"/>
        <w:jc w:val="both"/>
      </w:pPr>
      <w:r>
        <w:rPr>
          <w:rFonts w:ascii="Times New Roman" w:cs="Times New Roman" w:eastAsia="Times New Roman" w:hAnsi="Times New Roman"/>
          <w:sz w:val="24"/>
          <w:szCs w:val="24"/>
        </w:rPr>
        <w:t xml:space="preserve">The primary comparison was reproduced without daily aggregation. A multilevel re-analysis of all 142 momentary observations again placed both internal-state predictors far above the probe (agency β = 0.34, metacognition β = 0.48, both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&lt; .001; melatonin β = −0.05,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.937; Table B.1). The two exchange rank at this resolution, with metacognition the larger of the pair, so the ordering that holds throughout is between the internal block and the probe rather than within the block. An unconditional model placed approximately 31% of the variance in momentary mood between days (ICC = .31 in the full sample, .25 in the analysis window). The three daily prompts are therefore not independent observations and require either aggregation or an explicit nesting term; the within-day variance that daily aggregation sets aside is the larger share. A Bayesian re-estimation of M2 with weakly informative priors, reported in the project repository (Section 9), placed the coefficients in the same order as the daily-level M2.</w:t>
      </w:r>
    </w:p>
    <w:p>
      <w:pPr>
        <w:spacing w:after="120" w:before="0" w:line="480"/>
        <w:jc w:val="both"/>
      </w:pPr>
      <w:r>
        <w:rPr>
          <w:rFonts w:ascii="Times New Roman" w:cs="Times New Roman" w:eastAsia="Times New Roman" w:hAnsi="Times New Roman"/>
          <w:sz w:val="24"/>
          <w:szCs w:val="24"/>
        </w:rPr>
        <w:t xml:space="preserve">Two further checks bear on the interpretation of the main result. The agency by melatonin interaction provided no evidence that the agency to mood association differed between conditions (β = −0.06, 95% CI [−0.42, +0.30],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.756). The metacontrol interaction, treated here as exploratory, was negative as predicted but not reliably distinguishable from zero; simple slopes are in Appendix C.</w:t>
      </w:r>
    </w:p>
    <w:p>
      <w:pPr>
        <w:spacing w:after="120" w:before="0" w:line="480"/>
        <w:jc w:val="both"/>
      </w:pPr>
      <w:r>
        <w:rPr>
          <w:rFonts w:ascii="Times New Roman" w:cs="Times New Roman" w:eastAsia="Times New Roman" w:hAnsi="Times New Roman"/>
          <w:sz w:val="24"/>
          <w:szCs w:val="24"/>
        </w:rPr>
        <w:t>Emotional inertia was positive at both sampling resolutions, with an observation-level φ of 0.23, 95% CI [0.09, 0.36], and a daily-level φ of approximately 0.42 on the full sample (Figure A.1). The two do not stand in the relation φ_day = φ_obs³ that a single first-order process would imply, so the AR(1) description should be read as resolution-specific. A local-level state-space decomposition of the daily series, the associated impulse response functions and half-lives, and the smoothed latent trajectory are reported in Appendix A (Figures A.2 and A.3).</w:t>
      </w:r>
    </w:p>
    <w:p>
      <w:pPr>
        <w:pStyle w:val="Heading1"/>
        <w:spacing w:after="240" w:before="360" w:line="480"/>
      </w:pPr>
      <w:r>
        <w:rPr>
          <w:rFonts w:ascii="Times New Roman" w:cs="Times New Roman" w:eastAsia="Times New Roman" w:hAnsi="Times New Roman"/>
          <w:b/>
          <w:bCs/>
          <w:sz w:val="28"/>
          <w:szCs w:val="28"/>
        </w:rPr>
        <w:t xml:space="preserve">4. Discussion</w:t>
      </w:r>
    </w:p>
    <w:p>
      <w:pPr>
        <w:pStyle w:val="Heading2"/>
        <w:spacing w:after="120" w:before="240" w:line="480"/>
      </w:pPr>
      <w:r>
        <w:rPr>
          <w:rFonts w:ascii="Times New Roman" w:cs="Times New Roman" w:eastAsia="Times New Roman" w:hAnsi="Times New Roman"/>
          <w:b/>
          <w:bCs/>
          <w:sz w:val="26"/>
          <w:szCs w:val="26"/>
        </w:rPr>
        <w:t xml:space="preserve">4.1 Internal Behavioral State as the Dominant Predictor of Daily Affect</w:t>
      </w:r>
    </w:p>
    <w:p>
      <w:pPr>
        <w:spacing w:after="120" w:before="0" w:line="480"/>
        <w:jc w:val="both"/>
      </w:pPr>
      <w:r>
        <w:rPr>
          <w:rFonts w:ascii="Times New Roman" w:cs="Times New Roman" w:eastAsia="Times New Roman" w:hAnsi="Times New Roman"/>
          <w:sz w:val="24"/>
          <w:szCs w:val="24"/>
        </w:rPr>
        <w:t>The most informative finding in this study is the magnitude of the internal-driver contribution. Daily perceived agency contributed an incremental 19.6% of variance to the daily-mood model after accounting for emotional inertia, the external probe, and metacognitive awareness. Daily metacognition contributed an incremental 11.7% under the same controls. Both effects were estimated with narrow confidence intervals and were reliably distinguishable from zero, and the internal-over-probe contrast persisted in a multilevel re-analysis that did not aggregate to days.</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pPr>
        <w:spacing w:after="120" w:before="0" w:line="480"/>
        <w:jc w:val="both"/>
      </w:pPr>
      <w:r>
        <w:rPr>
          <w:rFonts w:ascii="Times New Roman" w:cs="Times New Roman" w:eastAsia="Times New Roman" w:hAnsi="Times New Roman"/>
          <w:sz w:val="24"/>
          <w:szCs w:val="24"/>
        </w:rPr>
        <w:t>The agency by melatonin robustness check is consistent with this reading. That interaction provided no evidence that the agency to mood association differed between conditions, so nothing in these data indicates that the contribution of agency to daily mood depends on whether the participant had taken melatonin. The interval is too wide to establish that the two associations are equal.</w:t>
      </w:r>
    </w:p>
    <w:p>
      <w:pPr>
        <w:spacing w:after="120" w:before="0" w:line="480"/>
        <w:jc w:val="both"/>
      </w:pPr>
      <w:r>
        <w:rPr>
          <w:rFonts w:ascii="Times New Roman" w:cs="Times New Roman" w:eastAsia="Times New Roman" w:hAnsi="Times New Roman"/>
          <w:sz w:val="24"/>
          <w:szCs w:val="24"/>
        </w:rPr>
        <w:t>Metacognition behaved more simply than predicted. As a main-effect predictor it contributed reliably to daily mood, suggesting that the system’s read-out of its own state is bound up with that state. The metacontrol prediction, that higher metacognition would buffer the system against external perturbation, was direction-consistent but did not reach significance. It is reported here as exploratory, and the estimates are in Appendix C.</w:t>
      </w:r>
    </w:p>
    <w:p>
      <w:pPr>
        <w:pStyle w:val="Heading2"/>
        <w:spacing w:after="120" w:before="240" w:line="480"/>
      </w:pPr>
      <w:r>
        <w:rPr>
          <w:rFonts w:ascii="Times New Roman" w:cs="Times New Roman" w:eastAsia="Times New Roman" w:hAnsi="Times New Roman"/>
          <w:b/>
          <w:bCs/>
          <w:sz w:val="26"/>
          <w:szCs w:val="26"/>
        </w:rPr>
        <w:t xml:space="preserve">4.2 Interpreting the Probe Result</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19.6% of daily-mood variance, and the probe's was 0.02%, indistinguishable from zero.</w:t>
      </w:r>
    </w:p>
    <w:p>
      <w:pPr>
        <w:spacing w:after="120" w:before="0" w:line="480"/>
        <w:jc w:val="both"/>
      </w:pPr>
      <w:r>
        <w:rPr>
          <w:rFonts w:ascii="Times New Roman" w:cs="Times New Roman" w:eastAsia="Times New Roman" w:hAnsi="Times New Roman"/>
          <w:sz w:val="24"/>
          <w:szCs w:val="24"/>
        </w:rPr>
        <w:t xml:space="preserve">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pPr>
        <w:spacing w:after="120" w:before="0" w:line="480"/>
        <w:jc w:val="both"/>
      </w:pPr>
      <w:r>
        <w:rPr>
          <w:rFonts w:ascii="Times New Roman" w:cs="Times New Roman" w:eastAsia="Times New Roman" w:hAnsi="Times New Roman"/>
          <w:sz w:val="24"/>
          <w:szCs w:val="24"/>
        </w:rPr>
        <w:t xml:space="preserve">The variability analyses point somewhere the mean analysis does not reach. The direction-consistent pattern reported in Section 3.3 is the one melatonin’s pharmacology predicts. Melatonin is a chronobiotic whose primary function is the entrainment and stabilization of circadian rhythm, and an agent that stabilizes the timing of the sleep-wake cycle is plausibly one that stabilizes daily affective state without lifting it. A level-only analysis could not have drawn that distinction.</w:t>
      </w:r>
    </w:p>
    <w:p>
      <w:pPr>
        <w:pStyle w:val="Heading2"/>
        <w:spacing w:after="120" w:before="240" w:line="480"/>
      </w:pPr>
      <w:r>
        <w:rPr>
          <w:rFonts w:ascii="Times New Roman" w:cs="Times New Roman" w:eastAsia="Times New Roman" w:hAnsi="Times New Roman"/>
          <w:b/>
          <w:bCs/>
          <w:sz w:val="26"/>
          <w:szCs w:val="26"/>
        </w:rPr>
        <w:t xml:space="preserve">4.3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extended to other persons, or to this person at other points in time. Whether this individual exhibits unusually strong internal-driver organization, or whether a comparable contrast between internal and external variance is a general feature of affect under stable environmental conditions, cannot be settled from a single case.</w:t>
      </w:r>
    </w:p>
    <w:p>
      <w:pPr>
        <w:spacing w:after="120" w:before="0" w:line="480"/>
        <w:jc w:val="both"/>
      </w:pPr>
      <w:r>
        <w:rPr>
          <w:rFonts w:ascii="Times New Roman" w:cs="Times New Roman" w:eastAsia="Times New Roman" w:hAnsi="Times New Roman"/>
          <w:sz w:val="24"/>
          <w:szCs w:val="24"/>
        </w:rPr>
        <w:t xml:space="preserve">The variability signal carries an inferential caveat of its own. Four indices were examined and the strongest of them reached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.149, so the present analysis cannot rule out that this result is a chance product of multiple testing. It is reported as suggestive, and it would need a design powered for variance effects to be treated as more than that.</w:t>
      </w:r>
    </w:p>
    <w:p>
      <w:pPr>
        <w:spacing w:after="120" w:before="0" w:line="480"/>
        <w:jc w:val="both"/>
      </w:pPr>
      <w:r>
        <w:rPr>
          <w:rFonts w:ascii="Times New Roman" w:cs="Times New Roman" w:eastAsia="Times New Roman" w:hAnsi="Times New Roman"/>
          <w:sz w:val="24"/>
          <w:szCs w:val="24"/>
        </w:rPr>
        <w:t>Measurement and design impose further constraints. Mood, agency and metacognitive awareness were single-item self-reports collected at the same EMA prompt; single-item momentary measures carry non-trivial measurement error (Dejonckheere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not titrated, and EMA timing was approximate, with delayed responses retained within one hour of the scheduled prompt.</w:t>
      </w:r>
    </w:p>
    <w:p>
      <w:pPr>
        <w:spacing w:after="120" w:before="0" w:line="480"/>
        <w:jc w:val="both"/>
      </w:pPr>
      <w:r>
        <w:rPr>
          <w:rFonts w:ascii="Times New Roman" w:cs="Times New Roman" w:eastAsia="Times New Roman" w:hAnsi="Times New Roman"/>
          <w:sz w:val="24"/>
          <w:szCs w:val="24"/>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pPr>
        <w:spacing w:after="120" w:before="0" w:line="480"/>
        <w:jc w:val="both"/>
      </w:pPr>
      <w:r>
        <w:rPr>
          <w:rFonts w:ascii="Times New Roman" w:cs="Times New Roman" w:eastAsia="Times New Roman" w:hAnsi="Times New Roman"/>
          <w:sz w:val="24"/>
          <w:szCs w:val="24"/>
        </w:rPr>
        <w:t xml:space="preserve">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pPr>
        <w:pStyle w:val="Heading2"/>
        <w:spacing w:after="120" w:before="240" w:line="480"/>
      </w:pPr>
      <w:r>
        <w:rPr>
          <w:rFonts w:ascii="Times New Roman" w:cs="Times New Roman" w:eastAsia="Times New Roman" w:hAnsi="Times New Roman"/>
          <w:b/>
          <w:bCs/>
          <w:sz w:val="26"/>
          <w:szCs w:val="26"/>
        </w:rPr>
        <w:t xml:space="preserve">4.4 Contribution</w:t>
      </w:r>
    </w:p>
    <w:p>
      <w:pPr>
        <w:spacing w:after="120" w:before="0" w:line="480"/>
        <w:jc w:val="both"/>
      </w:pPr>
      <w:r>
        <w:rPr>
          <w:rFonts w:ascii="Times New Roman" w:cs="Times New Roman" w:eastAsia="Times New Roman" w:hAnsi="Times New Roman"/>
          <w:sz w:val="24"/>
          <w:szCs w:val="24"/>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pPr>
        <w:spacing w:after="120" w:before="0" w:line="480"/>
        <w:jc w:val="both"/>
      </w:pPr>
      <w:r>
        <w:rPr>
          <w:rFonts w:ascii="Times New Roman" w:cs="Times New Roman" w:eastAsia="Times New Roman" w:hAnsi="Times New Roman"/>
          <w:sz w:val="24"/>
          <w:szCs w:val="24"/>
        </w:rPr>
        <w:t xml:space="preserve">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for example actigraphy as in Knapen et al. (2025), so that the indirect path from melatonin through sleep to mood can be decomposed within the same idiographic framework.</w:t>
      </w:r>
    </w:p>
    <w:p>
      <w:pPr>
        <w:pStyle w:val="Heading1"/>
        <w:spacing w:after="240" w:before="360" w:line="480"/>
      </w:pPr>
      <w:r>
        <w:rPr>
          <w:rFonts w:ascii="Times New Roman" w:cs="Times New Roman" w:eastAsia="Times New Roman" w:hAnsi="Times New Roman"/>
          <w:b/>
          <w:bCs/>
          <w:sz w:val="28"/>
          <w:szCs w:val="28"/>
        </w:rPr>
        <w:t>5. Acknowledgments</w:t>
      </w:r>
    </w:p>
    <w:p>
      <w:pPr>
        <w:spacing w:after="120" w:before="0" w:line="480"/>
        <w:jc w:val="both"/>
      </w:pPr>
      <w:r>
        <w:rPr>
          <w:rFonts w:ascii="Times New Roman" w:cs="Times New Roman" w:eastAsia="Times New Roman" w:hAnsi="Times New Roman"/>
          <w:sz w:val="24"/>
          <w:szCs w:val="24"/>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pPr>
        <w:pStyle w:val="Heading1"/>
        <w:spacing w:after="240" w:before="360" w:line="480"/>
      </w:pPr>
      <w:r>
        <w:rPr>
          <w:rFonts w:ascii="Times New Roman" w:cs="Times New Roman" w:eastAsia="Times New Roman" w:hAnsi="Times New Roman"/>
          <w:b/>
          <w:bCs/>
          <w:sz w:val="28"/>
          <w:szCs w:val="28"/>
        </w:rPr>
        <w:t>6. Funding</w:t>
      </w:r>
    </w:p>
    <w:p>
      <w:pPr>
        <w:spacing w:after="120" w:before="0" w:line="480"/>
        <w:jc w:val="both"/>
      </w:pPr>
      <w:r>
        <w:rPr>
          <w:rFonts w:ascii="Times New Roman" w:cs="Times New Roman" w:eastAsia="Times New Roman" w:hAnsi="Times New Roman"/>
          <w:sz w:val="24"/>
          <w:szCs w:val="24"/>
        </w:rPr>
        <w:t>This research received no specific grant from any funding agency in the public, commercial, or not-for-profit sectors.</w:t>
      </w:r>
    </w:p>
    <w:p>
      <w:pPr>
        <w:pStyle w:val="Heading1"/>
        <w:spacing w:after="240" w:before="360" w:line="480"/>
      </w:pPr>
      <w:r>
        <w:rPr>
          <w:rFonts w:ascii="Times New Roman" w:cs="Times New Roman" w:eastAsia="Times New Roman" w:hAnsi="Times New Roman"/>
          <w:b/>
          <w:bCs/>
          <w:sz w:val="28"/>
          <w:szCs w:val="28"/>
        </w:rPr>
        <w:t>7. Author Contributions</w:t>
      </w:r>
    </w:p>
    <w:p>
      <w:pPr>
        <w:spacing w:after="120" w:before="0" w:line="480"/>
        <w:jc w:val="both"/>
      </w:pPr>
      <w:r>
        <w:rPr>
          <w:rFonts w:ascii="Times New Roman" w:cs="Times New Roman" w:eastAsia="Times New Roman" w:hAnsi="Times New Roman"/>
          <w:sz w:val="24"/>
          <w:szCs w:val="24"/>
        </w:rPr>
        <w:t>Miura Meng (MM) designed the study, collected the data, performed the statistical analyses, and wrote the manuscript. The author read and approved the final manuscript.</w:t>
      </w:r>
    </w:p>
    <w:p>
      <w:pPr>
        <w:pStyle w:val="Heading1"/>
        <w:spacing w:after="240" w:before="360" w:line="480"/>
      </w:pPr>
      <w:r>
        <w:rPr>
          <w:rFonts w:ascii="Times New Roman" w:cs="Times New Roman" w:eastAsia="Times New Roman" w:hAnsi="Times New Roman"/>
          <w:b/>
          <w:bCs/>
          <w:sz w:val="28"/>
          <w:szCs w:val="28"/>
        </w:rPr>
        <w:t>8. Ethics Statement</w:t>
      </w:r>
    </w:p>
    <w:p>
      <w:pPr>
        <w:spacing w:after="120" w:before="0" w:line="480"/>
        <w:jc w:val="both"/>
      </w:pPr>
      <w:r>
        <w:rPr>
          <w:rFonts w:ascii="Times New Roman" w:cs="Times New Roman" w:eastAsia="Times New Roman" w:hAnsi="Times New Roman"/>
          <w:i w:val="0"/>
          <w:sz w:val="24"/>
          <w:szCs w:val="24"/>
        </w:rPr>
        <w:t>The University of Pennsylvania Institutional Review Board reviewed this study and determined that it constitutes Not Human Subjects Research, so formal Institutional Review Board approval was not required. The determination was issued by email on May 13, 2026. Determinations of this kind are not assigned an approval number, and the correspondence is available from the author on request. As the sole investigator and sole participant, the author consented to her own participation.</w:t>
      </w:r>
    </w:p>
    <w:p>
      <w:pPr>
        <w:pStyle w:val="Heading1"/>
        <w:spacing w:after="240" w:before="360" w:line="480"/>
      </w:pPr>
      <w:r>
        <w:rPr>
          <w:rFonts w:ascii="Times New Roman" w:cs="Times New Roman" w:eastAsia="Times New Roman" w:hAnsi="Times New Roman"/>
          <w:b/>
          <w:bCs/>
          <w:sz w:val="28"/>
          <w:szCs w:val="28"/>
        </w:rPr>
        <w:t>9. Data and Code Availability</w:t>
      </w:r>
    </w:p>
    <w:p>
      <w:pPr>
        <w:spacing w:after="120" w:before="0" w:line="480"/>
        <w:jc w:val="both"/>
      </w:pPr>
      <w:r>
        <w:rPr>
          <w:rFonts w:ascii="Times New Roman" w:cs="Times New Roman" w:eastAsia="Times New Roman" w:hAnsi="Times New Roman"/>
          <w:sz w:val="24"/>
          <w:szCs w:val="24"/>
        </w:rPr>
        <w:t>Data and analysis code are available at https://github.com/haomeng797-ship-it/n-of-1-melatonin-study. The repository contains the pre-specified randomization schedule with a script that verifies it against the protocol constraints, the Python validation layer, the archived 195-record EMA log, the documented analysis-inclusion rule and the 193-record analytic dataset it produces,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pPr>
        <w:pStyle w:val="Heading1"/>
      </w:pPr>
      <w:r>
        <w:t>10. Declaration of Interests</w:t>
      </w:r>
    </w:p>
    <w:p>
      <w:r>
        <w:t>The Author declares that there is no conflict of interest.</w:t>
      </w:r>
    </w:p>
    <w:p>
      <w:pPr>
        <w:pStyle w:val="Heading1"/>
        <w:spacing w:after="240" w:before="360" w:line="480"/>
      </w:pPr>
      <w:r>
        <w:rPr>
          <w:rFonts w:ascii="Times New Roman" w:cs="Times New Roman" w:eastAsia="Times New Roman" w:hAnsi="Times New Roman"/>
          <w:b/>
          <w:bCs/>
          <w:sz w:val="28"/>
          <w:szCs w:val="28"/>
        </w:rPr>
        <w:t>11. References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Epskamp, S., Eronen, M. I., Hamaker, E., Kuppens, P., Lutz, W., McNally, R. J., Molenaar, P., Tio, P., Voelkle, M. C., &amp; Wichers, M. (2022). Psychopathological networks: Theory, methods and practice. </w:t>
      </w:r>
      <w:r>
        <w:rPr>
          <w:i/>
        </w:rPr>
        <w:t>Behaviour Research and Therapy, 149</w:t>
      </w:r>
      <w:r>
        <w:t>, 104011. https://doi.org/10.1016/j.brat.2021.104011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i w:val="0"/>
          <w:sz w:val="24"/>
          <w:szCs w:val="24"/>
        </w:rPr>
        <w:t xml:space="preserve">Meng, M. (2026). </w:t>
      </w:r>
      <w:r>
        <w:rPr>
          <w:rFonts w:ascii="Times New Roman" w:cs="Times New Roman" w:eastAsia="Times New Roman" w:hAnsi="Times New Roman"/>
          <w:i/>
          <w:iCs/>
          <w:sz w:val="24"/>
          <w:szCs w:val="24"/>
        </w:rPr>
      </w:r>
      <w:r>
        <w:rPr>
          <w:rFonts w:ascii="Times New Roman" w:cs="Times New Roman" w:eastAsia="Times New Roman" w:hAnsi="Times New Roman"/>
          <w:sz w:val="24"/>
          <w:szCs w:val="24"/>
        </w:rPr>
      </w:r>
      <w:r>
        <w:rPr>
          <w:rFonts w:ascii="Times New Roman" w:cs="Times New Roman" w:eastAsia="Times New Roman" w:hAnsi="Times New Roman"/>
          <w:i/>
          <w:iCs/>
          <w:sz w:val="24"/>
          <w:szCs w:val="24"/>
        </w:rPr>
      </w:r>
      <w:r>
        <w:rPr>
          <w:rFonts w:ascii="Times New Roman" w:cs="Times New Roman" w:eastAsia="Times New Roman" w:hAnsi="Times New Roman"/>
          <w:sz w:val="24"/>
          <w:szCs w:val="24"/>
        </w:rPr>
      </w:r>
      <w:r>
        <w:rPr>
          <w:rFonts w:ascii="Times New Roman" w:cs="Times New Roman" w:eastAsia="Times New Roman" w:hAnsi="Times New Roman"/>
          <w:color w:val="1A56DB"/>
          <w:sz w:val="24"/>
          <w:szCs w:val="24"/>
          <w:u w:val="single"/>
        </w:rPr>
      </w:r>
      <w:r>
        <w:rPr>
          <w:i/>
        </w:rPr>
        <w:t>nof1kit: Design, monitor, and analyze single-case (N-of-1) intensive longitudinal studies</w:t>
      </w:r>
      <w:r>
        <w:rPr>
          <w:i w:val="0"/>
        </w:rPr>
        <w:t xml:space="preserve"> (Version 0.1.0) [Computer software]. Comprehensive R Archive Network. https://doi.org/10.32614/CRAN.package.nof1kit</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r>
        <w:t xml:space="preserve"> https://doi.org/10.1016/S0079-7421(08)60053-5</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r>
        <w:t xml:space="preserve"> https://doi.org/10.25080/Majora-92bf1922-011</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p>
      <w:pPr>
        <w:pStyle w:val="Heading1"/>
        <w:spacing w:after="240" w:before="360" w:line="480"/>
      </w:pPr>
      <w:r>
        <w:rPr>
          <w:rFonts w:ascii="Times New Roman" w:cs="Times New Roman" w:eastAsia="Times New Roman" w:hAnsi="Times New Roman"/>
          <w:b/>
          <w:bCs/>
          <w:sz w:val="28"/>
          <w:szCs w:val="28"/>
        </w:rPr>
        <w:t xml:space="preserve">Appendix A. Dynamic Structure of the Affective Series</w:t>
      </w:r>
    </w:p>
    <w:p>
      <w:pPr>
        <w:spacing w:after="120" w:before="0" w:line="480"/>
        <w:jc w:val="both"/>
      </w:pPr>
      <w:r>
        <w:rPr>
          <w:rFonts w:ascii="Times New Roman" w:cs="Times New Roman" w:eastAsia="Times New Roman" w:hAnsi="Times New Roman"/>
          <w:sz w:val="24"/>
          <w:szCs w:val="24"/>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they use wider samples than the Day 18–70 primary models: the full 70-day daily series and the timestamp-ordered observation series.</w:t>
      </w:r>
    </w:p>
    <w:p>
      <w:pPr>
        <w:spacing w:after="120" w:before="0" w:line="480"/>
        <w:jc w:val="both"/>
      </w:pPr>
      <w:r>
        <w:rPr>
          <w:rFonts w:ascii="Times New Roman" w:cs="Times New Roman" w:eastAsia="Times New Roman" w:hAnsi="Times New Roman"/>
          <w:sz w:val="24"/>
          <w:szCs w:val="24"/>
        </w:rPr>
        <w:t xml:space="preserve">Three estimates of emotional inertia were computed. At the observation level (n = 192 lag-1 pairs across the full 193-observation analytic sample), AR(1) estimation yielded φ_obs = 0.23, 95% CI [0.09, 0.36],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.002. At the daily level on the full 70-day sample (n = 69 lag-1 pairs), φ_day ≈ 0.42 (OLS point estimate 0.4155). On the Day 18–70 subsample used for the nested-model comparison in Section 3.2 (n = 53), the daily-level coefficient was φ = 0.33 (M0 in Table 1). The two daily-level estimates differ because of the sample window: the first 17 days of mood-only data contribute early variability that the nested-model subsample excludes. The system’s typical daily 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0.49]), consistent with within-day structure that no single first-order process captures, reinforcing the resolution-specific reading in Section 3.4.</w:t>
      </w:r>
    </w:p>
    <w:p>
      <w:pPr>
        <w:spacing w:after="60" w:before="240"/>
        <w:jc w:val="center"/>
      </w:pPr>
      <w:r>
        <w:drawing>
          <wp:inline distT="0" distB="0" distL="0" distR="0">
            <wp:extent cx="5138208" cy="3043016"/>
            <wp:effectExtent t="0" r="0" b="0" l="0"/>
            <wp:docPr id="1"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A.1. Lag-1 autocorrelation of daily mood across the 70-day sample.</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point represents one observation pair (mood at day t plotted against mood at day t − 1). The regression line corresponds to the OLS estimate φ_day ≈ 0.42.</w:t>
      </w:r>
    </w:p>
    <w:p>
      <w:pPr>
        <w:spacing w:after="60" w:before="240"/>
        <w:jc w:val="center"/>
      </w:pPr>
      <w:r>
        <w:drawing>
          <wp:inline distT="0" distB="0" distL="0" distR="0">
            <wp:extent cx="5138208" cy="3043016"/>
            <wp:effectExtent t="0" r="0" b="0" l="0"/>
            <wp:docPr id="1"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A.2. Impulse response and half-life of an affective perturbation.</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0.79 days.</w:t>
      </w:r>
    </w:p>
    <w:p>
      <w:pPr>
        <w:spacing w:after="120" w:before="0" w:line="480"/>
        <w:jc w:val="both"/>
      </w:pPr>
      <w:r>
        <w:rPr>
          <w:rFonts w:ascii="Times New Roman" w:cs="Times New Roman" w:eastAsia="Times New Roman" w:hAnsi="Times New Roman"/>
          <w:sz w:val="24"/>
          <w:szCs w:val="24"/>
        </w:rPr>
        <w:t>The local-level state-space model decomposed the observed daily series into a smoothed latent trajectory and observation noise. Maximum-likelihood estimates were σ²_v = 17.50 (observation noise) and σ²_w = 1.05 (latent state innovation), implying a signal-to-noise ratio of 0.060. The latent series rises from approximately 70 in the first ten days to approximately 80 by Day 40 and remains in the high 70s thereafter, a slow upward trend across the window that is largely independent of condition assignment.</w:t>
      </w:r>
    </w:p>
    <w:p>
      <w:pPr>
        <w:spacing w:after="60" w:before="240"/>
        <w:jc w:val="center"/>
      </w:pPr>
      <w:r>
        <w:drawing>
          <wp:inline distT="0" distB="0" distL="0" distR="0">
            <wp:extent cx="5138208" cy="3043016"/>
            <wp:effectExtent t="0" r="0" b="0" l="0"/>
            <wp:docPr id="1"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A.3. Kalman-smoothed latent affective state across the 70-day window.</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and the gray band the 95% confidence interval. Daily observed means are plotted as light points for reference.</w:t>
      </w:r>
    </w:p>
    <w:p>
      <w:pPr>
        <w:pStyle w:val="Heading1"/>
        <w:spacing w:after="240" w:before="360" w:line="480"/>
      </w:pPr>
      <w:r>
        <w:rPr>
          <w:rFonts w:ascii="Times New Roman" w:cs="Times New Roman" w:eastAsia="Times New Roman" w:hAnsi="Times New Roman"/>
          <w:b/>
          <w:bCs/>
          <w:sz w:val="28"/>
          <w:szCs w:val="28"/>
        </w:rPr>
        <w:t>Appendix B. Multilevel Re-estimation</w:t>
      </w:r>
    </w:p>
    <w:p>
      <w:pPr>
        <w:spacing w:after="120" w:before="0" w:line="480"/>
        <w:jc w:val="both"/>
      </w:pPr>
      <w:r>
        <w:rPr>
          <w:rFonts w:ascii="Times New Roman" w:cs="Times New Roman" w:eastAsia="Times New Roman" w:hAnsi="Times New Roman"/>
          <w:sz w:val="24"/>
          <w:szCs w:val="24"/>
        </w:rPr>
        <w:t>This appendix reports the multilevel model summarized in Section 3.4, fit to the momentary observations without daily aggregation. The method is given in Section 2.5.9.</w:t>
      </w:r>
    </w:p>
    <w:p>
      <w:pPr>
        <w:spacing w:after="120" w:before="0" w:line="480"/>
        <w:jc w:val="both"/>
      </w:pPr>
      <w:r>
        <w:rPr>
          <w:rFonts w:ascii="Times New Roman" w:cs="Times New Roman" w:eastAsia="Times New Roman" w:hAnsi="Times New Roman"/>
          <w:sz w:val="24"/>
          <w:szCs w:val="24"/>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pPr>
        <w:spacing w:after="60" w:before="60" w:line="480"/>
      </w:pPr>
      <w:r>
        <w:rPr>
          <w:rFonts w:ascii="Times New Roman" w:cs="Times New Roman" w:eastAsia="Times New Roman" w:hAnsi="Times New Roman"/>
          <w:b/>
          <w:bCs/>
          <w:sz w:val="22"/>
          <w:szCs w:val="22"/>
        </w:rPr>
        <w:t>Table B.1. Fixed-effect estimates for the multilevel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β</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SE</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CI</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78.45</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0.44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[77.59, 79.31]</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[0.22, 0.46]</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0.48</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0.07</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0.62]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−0.05</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[−1.30, 1.20]</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.937</w:t>
            </w:r>
          </w:p>
        </w:tc>
      </w:tr>
    </w:tbl>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n = 142 momentary observations nested within 53 days (Day 18–70; 27 control, 26 melatonin). Random intercept for day: variance = 0.48; within-day residual variance = 12.93. Marginal R² = .50; conditional R² = .52. Agency and metacognition centered at their sample means (77.94 and 79.57). Fit by REML in lme4; 95% CIs are Wald intervals; </w:t>
      </w:r>
      <w:r>
        <w:rPr>
          <w:rFonts w:ascii="Times New Roman" w:cs="Times New Roman" w:eastAsia="Times New Roman" w:hAnsi="Times New Roman"/>
          <w:i/>
          <w:sz w:val="20"/>
          <w:szCs w:val="20"/>
        </w:rPr>
        <w:t>p</w:t>
      </w:r>
      <w:r>
        <w:rPr>
          <w:rFonts w:ascii="Times New Roman" w:cs="Times New Roman" w:eastAsia="Times New Roman" w:hAnsi="Times New Roman"/>
          <w:sz w:val="20"/>
          <w:szCs w:val="20"/>
        </w:rPr>
        <w:t>-values use the Satterthwaite approximation.</w:t>
      </w:r>
    </w:p>
    <w:p>
      <w:pPr>
        <w:pStyle w:val="Heading1"/>
        <w:spacing w:after="240" w:before="360" w:line="480"/>
      </w:pPr>
      <w:r>
        <w:rPr>
          <w:rFonts w:ascii="Times New Roman" w:cs="Times New Roman" w:eastAsia="Times New Roman" w:hAnsi="Times New Roman"/>
          <w:b/>
          <w:bCs/>
          <w:sz w:val="28"/>
          <w:szCs w:val="28"/>
        </w:rPr>
        <w:t xml:space="preserve">Appendix C. Secondary Analyses</w:t>
      </w:r>
    </w:p>
    <w:p>
      <w:pPr>
        <w:spacing w:after="120" w:before="0" w:line="480"/>
        <w:jc w:val="both"/>
      </w:pPr>
      <w:r>
        <w:rPr>
          <w:rFonts w:ascii="Times New Roman" w:cs="Times New Roman" w:eastAsia="Times New Roman" w:hAnsi="Times New Roman"/>
          <w:sz w:val="24"/>
          <w:szCs w:val="24"/>
        </w:rPr>
        <w:t xml:space="preserve">This appendix reports the analyses referred to in Sections 3.3 and 4.1 as secondary or exploratory: the full variability statistics, the state-dependent decay check, and the metacontrol interaction.</w:t>
      </w:r>
    </w:p>
    <w:p>
      <w:pPr>
        <w:pStyle w:val="Heading2"/>
        <w:spacing w:after="120" w:before="240" w:line="480"/>
      </w:pPr>
      <w:r>
        <w:rPr>
          <w:rFonts w:ascii="Times New Roman" w:cs="Times New Roman" w:eastAsia="Times New Roman" w:hAnsi="Times New Roman"/>
          <w:b/>
          <w:bCs/>
          <w:sz w:val="26"/>
          <w:szCs w:val="26"/>
        </w:rPr>
        <w:t xml:space="preserve">C.1 Full variability statistics</w:t>
      </w:r>
    </w:p>
    <w:p>
      <w:pPr>
        <w:spacing w:after="120" w:before="0" w:line="480"/>
        <w:jc w:val="both"/>
      </w:pPr>
      <w:r>
        <w:rPr>
          <w:rFonts w:ascii="Times New Roman" w:cs="Times New Roman" w:eastAsia="Times New Roman" w:hAnsi="Times New Roman"/>
          <w:sz w:val="24"/>
          <w:szCs w:val="24"/>
        </w:rPr>
        <w:t xml:space="preserve">Four indices of mood variability were computed. Three descriptive indices pointed in the same direction, with melatonin days showing lower variability than control days: daily mood SD was 4.42 against 6.41; MSSD across within-condition runs was 57.36 against 88.26; and observation-level mood SD was 6.55 against 8.26. The two univariate tests did not reach conventional significance: the Brown-Forsythe Levene test of homogeneity of variance gave W = 2.07,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.155, and the MSSD comparison gave Welch t = −0.94,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.355. The heteroskedasticity model regressing log-squared M2 residuals on the melatonin indicator yielded a negative coefficient that also fell short of conventional significance (α₁ = −1.24, 95% CI [−2.93, +0.46],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.149), with the point estimate indicating smaller model residual variance on melatonin days.</w:t>
      </w:r>
    </w:p>
    <w:p>
      <w:pPr>
        <w:spacing w:after="120" w:before="0" w:line="480"/>
        <w:jc w:val="both"/>
      </w:pPr>
      <w:r>
        <w:rPr>
          <w:rFonts w:ascii="Times New Roman" w:cs="Times New Roman" w:eastAsia="Times New Roman" w:hAnsi="Times New Roman"/>
          <w:sz w:val="24"/>
          <w:szCs w:val="24"/>
        </w:rPr>
        <w:t xml:space="preserve">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pPr>
        <w:pStyle w:val="Heading2"/>
        <w:spacing w:after="120" w:before="240" w:line="480"/>
      </w:pPr>
      <w:r>
        <w:rPr>
          <w:rFonts w:ascii="Times New Roman" w:cs="Times New Roman" w:eastAsia="Times New Roman" w:hAnsi="Times New Roman"/>
          <w:b/>
          <w:bCs/>
          <w:sz w:val="26"/>
          <w:szCs w:val="26"/>
        </w:rPr>
        <w:t xml:space="preserve">C.2 State-dependent decay</w:t>
      </w:r>
    </w:p>
    <w:p>
      <w:pPr>
        <w:spacing w:after="120" w:before="0" w:line="480"/>
        <w:jc w:val="both"/>
      </w:pPr>
      <w:r>
        <w:rPr>
          <w:rFonts w:ascii="Times New Roman" w:cs="Times New Roman" w:eastAsia="Times New Roman" w:hAnsi="Times New Roman"/>
          <w:sz w:val="24"/>
          <w:szCs w:val="24"/>
        </w:rPr>
        <w:t>The method for this analysis is given in Section 2.5.7.</w:t>
      </w:r>
    </w:p>
    <w:p>
      <w:pPr>
        <w:spacing w:after="120" w:before="0" w:line="480"/>
        <w:jc w:val="both"/>
      </w:pPr>
      <w:r>
        <w:rPr>
          <w:rFonts w:ascii="Times New Roman" w:cs="Times New Roman" w:eastAsia="Times New Roman" w:hAnsi="Times New Roman"/>
          <w:sz w:val="24"/>
          <w:szCs w:val="24"/>
        </w:rPr>
        <w:t xml:space="preserve">The interaction-augmented AR(1) yielded φ_control = 0.47 and φ_melatonin = 0.22, with a lag-1 by melatonin interaction coefficient of δ = −0.25, 95% CI [−0.79, +0.29],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.350. The coefficient is not statistically distinguishable from zero. Its direction, faster decay on melatonin days, is consistent with the variability pattern in C.1.</w:t>
      </w:r>
    </w:p>
    <w:p>
      <w:pPr>
        <w:pStyle w:val="Heading2"/>
        <w:spacing w:after="120" w:before="240" w:line="480"/>
      </w:pPr>
      <w:r>
        <w:rPr>
          <w:rFonts w:ascii="Times New Roman" w:cs="Times New Roman" w:eastAsia="Times New Roman" w:hAnsi="Times New Roman"/>
          <w:b/>
          <w:bCs/>
          <w:sz w:val="26"/>
          <w:szCs w:val="26"/>
        </w:rPr>
        <w:t xml:space="preserve">C.3 Metacontrol interaction</w:t>
      </w:r>
    </w:p>
    <w:p>
      <w:pPr>
        <w:spacing w:after="120" w:before="0" w:line="480"/>
        <w:jc w:val="both"/>
      </w:pPr>
      <w:r>
        <w:rPr>
          <w:rFonts w:ascii="Times New Roman" w:cs="Times New Roman" w:eastAsia="Times New Roman" w:hAnsi="Times New Roman"/>
          <w:sz w:val="24"/>
          <w:szCs w:val="24"/>
        </w:rPr>
        <w:t>The method for this analysis is given in Section 2.5.5.</w:t>
      </w:r>
    </w:p>
    <w:p>
      <w:pPr>
        <w:spacing w:after="120" w:before="0" w:line="480"/>
        <w:jc w:val="both"/>
      </w:pPr>
      <w:r>
        <w:rPr>
          <w:rFonts w:ascii="Times New Roman" w:cs="Times New Roman" w:eastAsia="Times New Roman" w:hAnsi="Times New Roman"/>
          <w:sz w:val="24"/>
          <w:szCs w:val="24"/>
        </w:rPr>
        <w:t xml:space="preserve">The interaction term was negative as predicted (β₃ = −0.14) but not reliably distinguishable from zero (95% CI [−0.59, +0.31], </w:t>
      </w:r>
      <w:r>
        <w:rPr>
          <w:rFonts w:ascii="Times New Roman" w:cs="Times New Roman" w:eastAsia="Times New Roman" w:hAnsi="Times New Roman"/>
          <w:i/>
          <w:sz w:val="24"/>
          <w:szCs w:val="24"/>
        </w:rPr>
        <w:t>p</w:t>
      </w:r>
      <w:r>
        <w:rPr>
          <w:rFonts w:ascii="Times New Roman" w:cs="Times New Roman" w:eastAsia="Times New Roman" w:hAnsi="Times New Roman"/>
          <w:sz w:val="24"/>
          <w:szCs w:val="24"/>
        </w:rPr>
        <w:t xml:space="preserve"> = .540). Simple-slope decomposition placed the melatonin slope at +0.65 at one standard deviation below mean metacognition, +0.14 at the mean, and −0.36 at one standard deviation above. The qualitative pattern is consistent with the hypothesis, since the apparent direction of the melatonin effect reverses across the metacognition continuum, but the sample is underpowered to support this as an inferential claim.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WHAT ORGANIZES DAILY AFFECT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