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360"/>
        <w:jc w:val="center"/>
      </w:pPr>
      <w:r>
        <w:rPr>
          <w:rFonts w:ascii="Times New Roman" w:cs="Times New Roman" w:eastAsia="Times New Roman" w:hAnsi="Times New Roman"/>
          <w:b/>
          <w:bCs/>
          <w:sz w:val="32"/>
          <w:szCs w:val="32"/>
        </w:rPr>
        <w:t xml:space="preserve">Characterizing daily affective dynamics in a single individual:</w:t>
      </w:r>
    </w:p>
    <w:p>
      <w:pPr>
        <w:spacing w:after="720" w:line="360"/>
        <w:jc w:val="center"/>
      </w:pPr>
      <w:r>
        <w:rPr>
          <w:rFonts w:ascii="Times New Roman" w:cs="Times New Roman" w:eastAsia="Times New Roman" w:hAnsi="Times New Roman"/>
          <w:b/>
          <w:bCs/>
          <w:sz w:val="32"/>
          <w:szCs w:val="32"/>
        </w:rPr>
        <w:t xml:space="preserve">A control-theoretic N-of-1 study with ecological momentary assessment</w:t>
      </w:r>
    </w:p>
    <w:p>
      <w:pPr>
        <w:spacing w:after="120" w:line="360"/>
        <w:jc w:val="center"/>
      </w:pPr>
      <w:r>
        <w:rPr>
          <w:rFonts w:ascii="Times New Roman" w:cs="Times New Roman" w:eastAsia="Times New Roman" w:hAnsi="Times New Roman"/>
          <w:sz w:val="26"/>
          <w:szCs w:val="26"/>
        </w:rPr>
        <w:t xml:space="preserve">Miura Meng</w:t>
      </w:r>
    </w:p>
    <w:p>
      <w:pPr>
        <w:spacing w:after="120" w:line="360"/>
        <w:jc w:val="center"/>
      </w:pPr>
      <w:r>
        <w:rPr>
          <w:rFonts w:ascii="Times New Roman" w:cs="Times New Roman" w:eastAsia="Times New Roman" w:hAnsi="Times New Roman"/>
          <w:sz w:val="24"/>
          <w:szCs w:val="24"/>
        </w:rPr>
        <w:t xml:space="preserve">May 2026</w:t>
      </w:r>
    </w:p>
    <w:p>
      <w:r>
        <w:br w:type="page"/>
      </w:r>
    </w:p>
    <w:p>
      <w:pPr>
        <w:spacing w:after="240" w:before="240" w:line="360"/>
        <w:jc w:val="center"/>
      </w:pPr>
      <w:r>
        <w:rPr>
          <w:rFonts w:ascii="Times New Roman" w:cs="Times New Roman" w:eastAsia="Times New Roman" w:hAnsi="Times New Roman"/>
          <w:b/>
          <w:bCs/>
          <w:sz w:val="28"/>
          <w:szCs w:val="28"/>
        </w:rPr>
        <w:t xml:space="preserve">Abstract</w:t>
      </w:r>
    </w:p>
    <w:p>
      <w:pPr>
        <w:spacing w:after="120" w:before="0" w:line="480"/>
        <w:jc w:val="both"/>
      </w:pPr>
      <w:r>
        <w:rPr>
          <w:rFonts w:ascii="Times New Roman" w:cs="Times New Roman" w:eastAsia="Times New Roman" w:hAnsi="Times New Roman"/>
          <w:sz w:val="24"/>
          <w:szCs w:val="24"/>
        </w:rPr>
        <w:t>This study applies a control-theoretic framework to the intensive longitudinal self-study of affective dynamics in a single individual. The aim was to characterize how internal self-regulatory variables and an external pharmacological probe each shape daily mood. Over a 70-day protocol, momentary emotional valence, perceived agency, and metacognitive awareness were sampled three times daily via ecological momentary assessment (195 observations, 92.9% compliance). Nightly 3 mg melatonin administration was introduced according to a pre-generated randomized schedule. The pre-specified design yielded 35 control and 35 melatonin daily aggregates. The individual was modeled as a dynamical system; melatonin was treated as a probe to characterize the system’s response, not as a candidate treatment. Time-series methods (autoregressive, state-space, impulse response, heteroskedasticity, and metacontrol interaction analyses) were used to estimate the contributions of internal behavioral drivers and the external probe. Internal drivers (agency and metacognitive awareness) accounted for an additional 51.5% of daily-mood variance beyond autoregressive carryover and the melatonin probe (model R² rising from .125 to .641), while melatonin contributed negligibly to mean-level mood (Δ = +0.92 on a 0–100 scale, d = 0.17). A heteroskedasticity analysis suggested smaller residual variance on melatonin days, compatible with melatonin’s chronobiotic function. The metacontrol interaction was direction-consistent but underpowered. This case illustrates how internal self-regulatory variables and an external pharmacological probe contribute differentially to affective dynamics; the probe defined a sensitivity boundary rather than signaling absent effects.</w:t>
      </w:r>
    </w:p>
    <w:p>
      <w:pPr>
        <w:spacing w:after="120" w:before="240" w:line="360"/>
      </w:pPr>
      <w:r>
        <w:rPr>
          <w:rFonts w:ascii="Times New Roman" w:cs="Times New Roman" w:eastAsia="Times New Roman" w:hAnsi="Times New Roman"/>
          <w:b/>
          <w:bCs/>
        </w:rPr>
        <w:t xml:space="preserve">Keywords: </w:t>
      </w:r>
      <w:r>
        <w:rPr>
          <w:rFonts w:ascii="Times New Roman" w:cs="Times New Roman" w:eastAsia="Times New Roman" w:hAnsi="Times New Roman"/>
        </w:rPr>
        <w:t xml:space="preserve">N-of-1; ecological momentary assessment; dynamical systems; autoregressive model; idiographic; personal science; intensive longitudinal data; affect dynamics</w:t>
      </w:r>
    </w:p>
    <w:p>
      <w:r>
        <w:br w:type="page"/>
      </w:r>
    </w:p>
    <w:p>
      <w:pPr>
        <w:pStyle w:val="Heading1"/>
        <w:spacing w:after="240" w:before="360" w:line="360"/>
      </w:pPr>
      <w:r>
        <w:rPr>
          <w:rFonts w:ascii="Times New Roman" w:cs="Times New Roman" w:eastAsia="Times New Roman" w:hAnsi="Times New Roman"/>
          <w:b/>
          <w:bCs/>
          <w:sz w:val="28"/>
          <w:szCs w:val="28"/>
        </w:rPr>
        <w:t xml:space="preserve">1. Introduction</w:t>
      </w:r>
    </w:p>
    <w:p>
      <w:pPr>
        <w:pStyle w:val="Heading2"/>
        <w:spacing w:after="120" w:before="240" w:line="360"/>
      </w:pPr>
      <w:r>
        <w:rPr>
          <w:rFonts w:ascii="Times New Roman" w:cs="Times New Roman" w:eastAsia="Times New Roman" w:hAnsi="Times New Roman"/>
          <w:b/>
          <w:bCs/>
          <w:sz w:val="26"/>
          <w:szCs w:val="26"/>
        </w:rPr>
        <w:t xml:space="preserve">1.1 The Problem with Average-Centered Behavioral Science</w:t>
      </w:r>
    </w:p>
    <w:p>
      <w:pPr>
        <w:spacing w:after="120" w:before="0" w:line="480"/>
        <w:jc w:val="both"/>
      </w:pPr>
      <w:r>
        <w:rPr>
          <w:rFonts w:ascii="Times New Roman" w:cs="Times New Roman" w:eastAsia="Times New Roman" w:hAnsi="Times New Roman"/>
          <w:sz w:val="24"/>
          <w:szCs w:val="24"/>
        </w:rPr>
        <w:t xml:space="preserve">Conventional behavioral intervention research operates by averaging treatment effects across samples. The implicit assumption is that an individual’s response is a noisy realization of a population-level signal, recoverable by aggregating across persons. This logic underwrites randomized controlled trials, between-subject experiments, and effect-size syntheses. As an inferential strategy for population claims, it is sound.</w:t>
      </w:r>
    </w:p>
    <w:p>
      <w:pPr>
        <w:spacing w:after="120" w:before="0" w:line="480"/>
        <w:jc w:val="both"/>
      </w:pPr>
      <w:r>
        <w:rPr>
          <w:rFonts w:ascii="Times New Roman" w:cs="Times New Roman" w:eastAsia="Times New Roman" w:hAnsi="Times New Roman"/>
          <w:sz w:val="24"/>
          <w:szCs w:val="24"/>
        </w:rPr>
        <w:t xml:space="preserve">It fails at the level of the individual. A person is not a sample from a population but a system with its own organizational logic, dynamic parameters, and sensitivity boundaries. Aggregated treatment effects, however statistically robust at the group level, cannot answer the question that matters most to any given individual: how does </w:t>
      </w:r>
      <w:r>
        <w:rPr>
          <w:rFonts w:ascii="Times New Roman" w:cs="Times New Roman" w:eastAsia="Times New Roman" w:hAnsi="Times New Roman"/>
          <w:i/>
          <w:iCs/>
          <w:sz w:val="24"/>
          <w:szCs w:val="24"/>
        </w:rPr>
        <w:t xml:space="preserve">my</w:t>
      </w:r>
      <w:r>
        <w:rPr>
          <w:rFonts w:ascii="Times New Roman" w:cs="Times New Roman" w:eastAsia="Times New Roman" w:hAnsi="Times New Roman"/>
          <w:sz w:val="24"/>
          <w:szCs w:val="24"/>
        </w:rPr>
        <w:t xml:space="preserve"> system respond? Molenaar (2004) and Molenaar and Campbell (2009) have argued that group-level estimates are not generally informative about individual-level processes unless strong ergodicity assumptions hold, assumptions that, in the domain of affect, almost never do.</w:t>
      </w:r>
    </w:p>
    <w:p>
      <w:pPr>
        <w:spacing w:after="120" w:before="0" w:line="480"/>
        <w:jc w:val="both"/>
      </w:pPr>
      <w:r>
        <w:rPr>
          <w:rFonts w:ascii="Times New Roman" w:cs="Times New Roman" w:eastAsia="Times New Roman" w:hAnsi="Times New Roman"/>
          <w:sz w:val="24"/>
          <w:szCs w:val="24"/>
        </w:rPr>
        <w:t xml:space="preserve">The present study departs from the average-centered tradition. It adopts the logic of personal science (Myin-Germeys &amp; Kuppens, 2022) and idiographic behavioral science (Molenaar, 2004), treating a single individual as the unit of analysis, not a proxy for a group, but a system in its own right. The aim is not to generalize across persons; it is to characterize the structure of one person’s affective dynamics with the same formal precision that group-level work brings to population-level inference.</w:t>
      </w:r>
    </w:p>
    <w:p>
      <w:pPr>
        <w:pStyle w:val="Heading2"/>
        <w:spacing w:after="120" w:before="240" w:line="360"/>
      </w:pPr>
      <w:r>
        <w:rPr>
          <w:rFonts w:ascii="Times New Roman" w:cs="Times New Roman" w:eastAsia="Times New Roman" w:hAnsi="Times New Roman"/>
          <w:b/>
          <w:bCs/>
          <w:sz w:val="26"/>
          <w:szCs w:val="26"/>
        </w:rPr>
        <w:t xml:space="preserve">1.2 Intervention as Perturbation</w:t>
      </w:r>
    </w:p>
    <w:p>
      <w:pPr>
        <w:spacing w:after="120" w:before="0" w:line="480"/>
        <w:jc w:val="both"/>
      </w:pPr>
      <w:r>
        <w:rPr>
          <w:rFonts w:ascii="Times New Roman" w:cs="Times New Roman" w:eastAsia="Times New Roman" w:hAnsi="Times New Roman"/>
          <w:sz w:val="24"/>
          <w:szCs w:val="24"/>
        </w:rPr>
        <w:t xml:space="preserve">Standard intervention logic treats external inputs as levers: pull the lever, observe the outcome. The framing assumes the system is passive, that it transmits the input without transformation, and effect sizes are read as estimates of the lever’s causal force.</w:t>
      </w:r>
    </w:p>
    <w:p>
      <w:pPr>
        <w:spacing w:after="120" w:before="0" w:line="480"/>
        <w:jc w:val="both"/>
      </w:pPr>
      <w:r>
        <w:rPr>
          <w:rFonts w:ascii="Times New Roman" w:cs="Times New Roman" w:eastAsia="Times New Roman" w:hAnsi="Times New Roman"/>
          <w:sz w:val="24"/>
          <w:szCs w:val="24"/>
        </w:rPr>
        <w:t xml:space="preserve">Dynamical systems theory offers a different account, articulated in the affect literature over the past two decades. In a complex, self-organizing system, an external input does not simply cause an output; it </w:t>
      </w:r>
      <w:r>
        <w:rPr>
          <w:rFonts w:ascii="Times New Roman" w:cs="Times New Roman" w:eastAsia="Times New Roman" w:hAnsi="Times New Roman"/>
          <w:i/>
          <w:iCs/>
          <w:sz w:val="24"/>
          <w:szCs w:val="24"/>
        </w:rPr>
        <w:t xml:space="preserve">perturbs</w:t>
      </w:r>
      <w:r>
        <w:rPr>
          <w:rFonts w:ascii="Times New Roman" w:cs="Times New Roman" w:eastAsia="Times New Roman" w:hAnsi="Times New Roman"/>
          <w:sz w:val="24"/>
          <w:szCs w:val="24"/>
        </w:rPr>
        <w:t xml:space="preserve"> the system, which then responds according to its own internal structure: inertia, attractor states, sensitivity to inputs of particular magnitude and timing (Bringmann et al., 2013, 2022; Hamaker, 2012; Wichers, 2014). The response is therefore informative not primarily about the perturbation, but about the system itself. The input becomes a probe of system response, a means of estimating an underlying transfer function rather than of demonstrating an effect.</w:t>
      </w:r>
    </w:p>
    <w:p>
      <w:pPr>
        <w:spacing w:after="120" w:before="0" w:line="480"/>
        <w:jc w:val="both"/>
      </w:pPr>
      <w:r>
        <w:rPr>
          <w:rFonts w:ascii="Times New Roman" w:cs="Times New Roman" w:eastAsia="Times New Roman" w:hAnsi="Times New Roman"/>
          <w:sz w:val="24"/>
          <w:szCs w:val="24"/>
        </w:rPr>
        <w:t xml:space="preserve">This conception has empirical specificity. Affective dynamics research has documented that day-to-day variation in mood is partially organized by autoregressive carryover, often termed </w:t>
      </w:r>
      <w:r>
        <w:rPr>
          <w:rFonts w:ascii="Times New Roman" w:cs="Times New Roman" w:eastAsia="Times New Roman" w:hAnsi="Times New Roman"/>
          <w:i/>
          <w:iCs/>
          <w:sz w:val="24"/>
          <w:szCs w:val="24"/>
        </w:rPr>
        <w:t xml:space="preserve">emotional inertia</w:t>
      </w:r>
      <w:r>
        <w:rPr>
          <w:rFonts w:ascii="Times New Roman" w:cs="Times New Roman" w:eastAsia="Times New Roman" w:hAnsi="Times New Roman"/>
          <w:sz w:val="24"/>
          <w:szCs w:val="24"/>
        </w:rPr>
        <w:t xml:space="preserve"> (Houben, Van Den Noortgate, &amp; Kuppens, 2015; Koval &amp; Kuppens, 2012; Kuppens, Allen, &amp; Sheeber, 2010). Higher inertia is associated with reduced responsiveness to environmental input and with markers of psychological maladjustment; the </w:t>
      </w:r>
      <w:r>
        <w:rPr>
          <w:rFonts w:ascii="Times New Roman" w:cs="Times New Roman" w:eastAsia="Times New Roman" w:hAnsi="Times New Roman"/>
          <w:i/>
          <w:iCs/>
          <w:sz w:val="24"/>
          <w:szCs w:val="24"/>
        </w:rPr>
        <w:t xml:space="preserve">capacity</w:t>
      </w:r>
      <w:r>
        <w:rPr>
          <w:rFonts w:ascii="Times New Roman" w:cs="Times New Roman" w:eastAsia="Times New Roman" w:hAnsi="Times New Roman"/>
          <w:sz w:val="24"/>
          <w:szCs w:val="24"/>
        </w:rPr>
        <w:t xml:space="preserve"> of a system to be perturbed is itself a meaningful individual-level variable. Critical-fluctuation studies have further shown that meaningful change in mood is often preceded by detectable shifts in the system’s variability structure rather than its mean level (Olthof et al., 2020; Smit et al., 2023). What an external input does to the system is therefore a more nuanced empirical question than “mean shift,” and intensive longitudinal designs are well-suited to making these distinctions.</w:t>
      </w:r>
    </w:p>
    <w:p>
      <w:pPr>
        <w:spacing w:after="120" w:before="0" w:line="480"/>
        <w:jc w:val="both"/>
      </w:pPr>
      <w:r>
        <w:rPr>
          <w:rFonts w:ascii="Times New Roman" w:cs="Times New Roman" w:eastAsia="Times New Roman" w:hAnsi="Times New Roman"/>
          <w:sz w:val="24"/>
          <w:szCs w:val="24"/>
        </w:rPr>
        <w:t>This reframing carries a methodological consequence: a non-significant intervention effect is not a design failure. The conventional reading, that the design lacks power to reject the null, presupposes a hypothesis-testing framework in which the intervention is a treatment whose efficacy is being assayed. The present study does not adopt that framework. Within the control-theoretic framing, the evidential question is not whether the intervention coefficient differs from zero in absolute terms, but how its contribution to the system’s variance compares to the contributions of endogenous drivers, and whether its effect manifests in features of the trajectory other than the mean. A well-characterized null in this framing identifies the system’s sensitivity boundary; it does not signal an absence of evidence. The control-theoretic vocabulary used throughout (perturbation, probe, sensitivity boundary, system identification) is intended in an analytic and conceptual sense, as a way of organizing dynamical questions about a single person across time; it is not a claim that the present analyses estimate engineering transfer functions or recover a closed-form physical plant model.</w:t>
      </w:r>
    </w:p>
    <w:p>
      <w:pPr>
        <w:pStyle w:val="Heading2"/>
        <w:spacing w:after="120" w:before="240" w:line="360"/>
      </w:pPr>
      <w:r>
        <w:rPr>
          <w:rFonts w:ascii="Times New Roman" w:cs="Times New Roman" w:eastAsia="Times New Roman" w:hAnsi="Times New Roman"/>
          <w:b/>
          <w:bCs/>
          <w:sz w:val="26"/>
          <w:szCs w:val="26"/>
        </w:rPr>
        <w:t xml:space="preserve">1.3 What Governs Affective Dynamics?</w:t>
      </w:r>
    </w:p>
    <w:p>
      <w:pPr>
        <w:spacing w:after="120" w:before="0" w:line="480"/>
        <w:jc w:val="both"/>
      </w:pPr>
      <w:r>
        <w:rPr>
          <w:rFonts w:ascii="Times New Roman" w:cs="Times New Roman" w:eastAsia="Times New Roman" w:hAnsi="Times New Roman"/>
          <w:sz w:val="24"/>
          <w:szCs w:val="24"/>
        </w:rPr>
        <w:t xml:space="preserve">What governs day-to-day affective state has been modeled in many ways: as a dimensional state of valence and arousal (Russell, 1980; Russell &amp; Barrett, 1999), as the output of cognitive appraisal (Frijda, 1986; Lazarus, 1991), as a regulator of homeostasis and somatic state (Craig, 2009; Damasio, 1999), and as a property of self-organizing dynamical systems (Kuppens et al., 2010; Wichers, 2014). The present study takes no comprehensive position. It addresses a narrower empirical question: in this individual, sampled three times daily for 70 days, what proportion of daily mood variation is accounted for by a discrete external input versus internal behavioral state?</w:t>
      </w:r>
    </w:p>
    <w:p>
      <w:pPr>
        <w:spacing w:after="120" w:before="0" w:line="480"/>
        <w:jc w:val="both"/>
      </w:pPr>
      <w:r>
        <w:rPr>
          <w:rFonts w:ascii="Times New Roman" w:cs="Times New Roman" w:eastAsia="Times New Roman" w:hAnsi="Times New Roman"/>
          <w:sz w:val="24"/>
          <w:szCs w:val="24"/>
        </w:rPr>
        <w:t xml:space="preserve">The dominant implicit model in mood-intervention research is that affect is improved by adding beneficial inputs (better sleep, reduced stress, optimized nutrition, pharmacological support). Mood becomes a passive output of external conditions; intervention becomes a question of which conditions to optimize. The present study does not contest this frame at the population level; it contests only the assumption that the same frame should organize an individual person’s account of their own affective dynamics.</w:t>
      </w:r>
    </w:p>
    <w:p>
      <w:pPr>
        <w:spacing w:after="120" w:before="0" w:line="480"/>
        <w:jc w:val="both"/>
      </w:pPr>
      <w:r>
        <w:rPr>
          <w:rFonts w:ascii="Times New Roman" w:cs="Times New Roman" w:eastAsia="Times New Roman" w:hAnsi="Times New Roman"/>
          <w:sz w:val="24"/>
          <w:szCs w:val="24"/>
        </w:rPr>
        <w:t xml:space="preserve">An alternative account holds that affective states are organized primarily by internal behavioral dynamics: by the degree to which the individual is acting intentionally, making progress toward goals, and maintaining awareness of her own state. On this view, mood is less a response to external inputs than a signature of how well the individual’s behavioral system is functioning as a self-regulating agent. The present study compares these accounts at the individual level, grounded in two theoretical commitments.</w:t>
      </w:r>
    </w:p>
    <w:p>
      <w:pPr>
        <w:spacing w:after="120" w:before="0" w:line="480"/>
        <w:jc w:val="both"/>
      </w:pPr>
      <w:r>
        <w:rPr>
          <w:rFonts w:ascii="Times New Roman" w:cs="Times New Roman" w:eastAsia="Times New Roman" w:hAnsi="Times New Roman"/>
          <w:sz w:val="24"/>
          <w:szCs w:val="24"/>
        </w:rPr>
        <w:t xml:space="preserve">The first commitment is that perceived agency, the felt sense of intentional, goal-directed action, is a primary internal driver of affective state. This commitment draws on Bandura’s (1989, 2001, 2006) social cognitive theory of human agency, in which persons exercise causal influence over their own functioning through intentional, self-regulating action. Carver and Scheier’s (1990, 1998) control-process model further specifies that affect is generated by the perceived rate of progress toward active goals: positive affect arises when progress exceeds expectation, negative affect when it falls below. Self-determination theory (Deci &amp; Ryan, 2000; Ryan &amp; Deci, 2017) adds that autonomy, experienced as self-endorsed action, is a basic psychological need predictive of well-being. Agency is operationalized here as the moment-to-moment sense of task progress and forward motion.</w:t>
      </w:r>
    </w:p>
    <w:p>
      <w:pPr>
        <w:spacing w:after="120" w:before="0" w:line="480"/>
        <w:jc w:val="both"/>
      </w:pPr>
      <w:r>
        <w:rPr>
          <w:rFonts w:ascii="Times New Roman" w:cs="Times New Roman" w:eastAsia="Times New Roman" w:hAnsi="Times New Roman"/>
          <w:sz w:val="24"/>
          <w:szCs w:val="24"/>
        </w:rPr>
        <w:t xml:space="preserve">The second commitment is that metacognitive awareness, the system’s read-out of its own internal state, both predicts mood and modulates responsiveness to external perturbation. Flavell (1979) defined metacognition as cognition about cognition; Efklides (2008) drew the construct closer to affective experience by showing how metacognitive experiences are themselves affectively colored. Metacognition is operationalized here using the monitoring-control framework of Nelson and Narens (1990), in which a metalevel system continuously reads and regulates object-level processes; this framework suits high-frequency sampling because metacognition varies in real time. Metcalfe and Greene (2007) extend the framework to agency, showing that judgments of personal control are products of metacognitive monitoring. The joint operation of agency and metacognition motivates the metacontrol hypothesis tested below: a system better able to monitor its own state may be less swayed by exogenous inputs of small magnitude.</w:t>
      </w:r>
    </w:p>
    <w:p>
      <w:pPr>
        <w:spacing w:after="120" w:before="0" w:line="480"/>
        <w:jc w:val="both"/>
      </w:pPr>
      <w:r>
        <w:rPr>
          <w:rFonts w:ascii="Times New Roman" w:cs="Times New Roman" w:eastAsia="Times New Roman" w:hAnsi="Times New Roman"/>
          <w:sz w:val="24"/>
          <w:szCs w:val="24"/>
        </w:rPr>
        <w:t xml:space="preserve">Taken together, these commitments imply a parsimonious empirical prediction: in a single individual sampled densely enough to estimate within-person dynamics, the affective trajectory should be more strongly predicted by moment-to-moment variation in agency and metacognitive awareness than by a discrete external probe. The internal-dynamics account does not predict that external probes do nothing; it predicts that their effect is small relative to the system’s own self-regulatory machinery, and that any effect may appear in features of the trajectory other than its mean level (variability or decay rate). The research questions in Section 1.4 make these predictions empirically separable.</w:t>
      </w:r>
    </w:p>
    <w:p>
      <w:pPr>
        <w:pStyle w:val="Heading3"/>
        <w:spacing w:after="60" w:before="180" w:line="360"/>
      </w:pPr>
      <w:r>
        <w:rPr>
          <w:rFonts w:ascii="Times New Roman" w:cs="Times New Roman" w:eastAsia="Times New Roman" w:hAnsi="Times New Roman"/>
          <w:b/>
          <w:bCs/>
          <w:i/>
          <w:iCs/>
          <w:sz w:val="24"/>
          <w:szCs w:val="24"/>
        </w:rPr>
        <w:t xml:space="preserve">Construct delineation</w:t>
      </w:r>
    </w:p>
    <w:p>
      <w:pPr>
        <w:spacing w:after="120" w:before="0" w:line="480"/>
        <w:jc w:val="both"/>
      </w:pPr>
      <w:r>
        <w:rPr>
          <w:rFonts w:ascii="Times New Roman" w:cs="Times New Roman" w:eastAsia="Times New Roman" w:hAnsi="Times New Roman"/>
          <w:sz w:val="24"/>
          <w:szCs w:val="24"/>
        </w:rPr>
        <w:t>Because agency and metacognition carry divergent meanings across traditions, their scope here is delimited explicitly. Agency is used not in its sociological sense (acting within social structure; Giddens, 1984), nor in the philosophical sense concerning the veridicality of the felt authorship of action (Wegner, 2002; Synofzik et al., 2008), but only as the participant’s moment-to-moment phenomenological sense of intentional progress toward immediate task goals—a signal the system tracks and reports. Metacognition is likewise restricted to in-the-moment self-monitoring in the Nelson and Narens (1990) sense—not the stable metacognitive knowledge of Flavell’s (1979) typology—a measurement choice imposed by the high-frequency sampling design.</w:t>
      </w:r>
    </w:p>
    <w:p>
      <w:pPr>
        <w:pStyle w:val="Heading2"/>
        <w:spacing w:after="120" w:before="240" w:line="360"/>
      </w:pPr>
      <w:r>
        <w:rPr>
          <w:rFonts w:ascii="Times New Roman" w:cs="Times New Roman" w:eastAsia="Times New Roman" w:hAnsi="Times New Roman"/>
          <w:b/>
          <w:bCs/>
          <w:sz w:val="26"/>
          <w:szCs w:val="26"/>
        </w:rPr>
        <w:t xml:space="preserve">1.4 Research Questions</w:t>
      </w:r>
    </w:p>
    <w:p>
      <w:pPr>
        <w:spacing w:after="120" w:before="0" w:line="480"/>
        <w:jc w:val="both"/>
      </w:pPr>
      <w:r>
        <w:rPr>
          <w:rFonts w:ascii="Times New Roman" w:cs="Times New Roman" w:eastAsia="Times New Roman" w:hAnsi="Times New Roman"/>
          <w:b/>
          <w:bCs/>
          <w:sz w:val="24"/>
          <w:szCs w:val="24"/>
        </w:rPr>
        <w:t xml:space="preserve">Primary (empirical). </w:t>
      </w:r>
      <w:r>
        <w:rPr>
          <w:rFonts w:ascii="Times New Roman" w:cs="Times New Roman" w:eastAsia="Times New Roman" w:hAnsi="Times New Roman"/>
          <w:sz w:val="24"/>
          <w:szCs w:val="24"/>
        </w:rPr>
        <w:t xml:space="preserve">Within a continuous hormonal-contraceptive background condition, does melatonin administration meaningfully shift average momentary emotional valence? Melatonin is widely consumed as a chronobiotic and sleep aid and is sometimes assumed to also lift mood; the present design tests this assumption at the individual level in a system where the cyclical hormonal contribution to affect has been pharmacologically stabilized.</w:t>
      </w:r>
    </w:p>
    <w:p>
      <w:pPr>
        <w:spacing w:after="120" w:before="0" w:line="480"/>
        <w:jc w:val="both"/>
      </w:pPr>
      <w:r>
        <w:rPr>
          <w:rFonts w:ascii="Times New Roman" w:cs="Times New Roman" w:eastAsia="Times New Roman" w:hAnsi="Times New Roman"/>
          <w:b/>
          <w:bCs/>
          <w:sz w:val="24"/>
          <w:szCs w:val="24"/>
        </w:rPr>
        <w:t xml:space="preserve">System-level. </w:t>
      </w:r>
      <w:r>
        <w:rPr>
          <w:rFonts w:ascii="Times New Roman" w:cs="Times New Roman" w:eastAsia="Times New Roman" w:hAnsi="Times New Roman"/>
          <w:sz w:val="24"/>
          <w:szCs w:val="24"/>
        </w:rPr>
        <w:t xml:space="preserve">In this individual behavioral system, does a discrete external perturbation (melatonin) produce affective change that exceeds the system’s own predicted trajectory, or do internal drivers (agency and metacognitive awareness) account for substantially more variance than the external intervention? This reframes a null pharmacological result not as a design failure but as a system-identification result: a finding that this system is more sensitive to internal self-regulatory variation than to an external probe of this magnitude.</w:t>
      </w:r>
    </w:p>
    <w:p>
      <w:pPr>
        <w:spacing w:after="120" w:before="0" w:line="480"/>
        <w:jc w:val="both"/>
      </w:pPr>
      <w:r>
        <w:rPr>
          <w:rFonts w:ascii="Times New Roman" w:cs="Times New Roman" w:eastAsia="Times New Roman" w:hAnsi="Times New Roman"/>
          <w:b/>
          <w:bCs/>
          <w:sz w:val="24"/>
          <w:szCs w:val="24"/>
        </w:rPr>
        <w:t xml:space="preserve">Metacontrol. </w:t>
      </w:r>
      <w:r>
        <w:rPr>
          <w:rFonts w:ascii="Times New Roman" w:cs="Times New Roman" w:eastAsia="Times New Roman" w:hAnsi="Times New Roman"/>
          <w:sz w:val="24"/>
          <w:szCs w:val="24"/>
        </w:rPr>
        <w:t xml:space="preserve">Does metacognitive awareness moderate the system’s sensitivity to external perturbation? That is, does higher metacognition buffer the individual against the influence of melatonin? A buffering interaction would indicate that monitoring one’s own state changes the system’s functional coupling to external inputs, a higher-order regulatory property not captured by main effects alone.</w:t>
      </w:r>
    </w:p>
    <w:p>
      <w:pPr>
        <w:pStyle w:val="Heading2"/>
        <w:spacing w:after="120" w:before="240" w:line="360"/>
      </w:pPr>
      <w:r>
        <w:rPr>
          <w:rFonts w:ascii="Times New Roman" w:cs="Times New Roman" w:eastAsia="Times New Roman" w:hAnsi="Times New Roman"/>
          <w:b/>
          <w:bCs/>
          <w:sz w:val="26"/>
          <w:szCs w:val="26"/>
        </w:rPr>
        <w:t xml:space="preserve">1.5 Study Origin and Scope</w:t>
      </w:r>
    </w:p>
    <w:p>
      <w:pPr>
        <w:spacing w:after="120" w:before="0" w:line="480"/>
        <w:jc w:val="both"/>
      </w:pPr>
      <w:r>
        <w:rPr>
          <w:rFonts w:ascii="Times New Roman" w:cs="Times New Roman" w:eastAsia="Times New Roman" w:hAnsi="Times New Roman"/>
          <w:sz w:val="24"/>
          <w:szCs w:val="24"/>
        </w:rPr>
        <w:t xml:space="preserve">This study began as a course project in single-case experimental design, for which the participant designed a randomized N-of-1 alternating-treatment experiment with three-times-daily ecological momentary assessment (EMA) sampling. The full 70-day randomization schedule was generated from a pre-specified algorithm and fixed in a stored protocol file before any data were collected (Section 2.3). At the course deadline only the first 44 days had been collected, so the course-required analysis reported that interim window under a between-condition framework: a mean comparison and Monte Carlo randomization test (10,000 permutations) yielded a small, non-significant intervention effect (p = .40). The descriptive time series, however, displayed structure the between-condition framework did not address: autoregressive momentum, candidate latent dynamics, and apparent moderation by internal behavioral variables.</w:t>
      </w:r>
    </w:p>
    <w:p>
      <w:pPr>
        <w:spacing w:after="120" w:before="0" w:line="480"/>
        <w:jc w:val="both"/>
      </w:pPr>
      <w:r>
        <w:rPr>
          <w:rFonts w:ascii="Times New Roman" w:cs="Times New Roman" w:eastAsia="Times New Roman" w:hAnsi="Times New Roman"/>
          <w:sz w:val="24"/>
          <w:szCs w:val="24"/>
        </w:rPr>
        <w:t xml:space="preserve">The present study analyzes the complete, pre-specified 70-day protocol and shifts the analytic question from “did the intervention produce an average effect?” to “what is the dynamic structure of the system, and how do internal and external drivers contribute to it?” The methods reported here (autoregressive modeling with exogenous inputs, state-space modeling with Kalman filtering, impulse response analysis, and conditional heteroskedasticity) reflect that re-framing. Two protocol features are noted in the Method: agency and metacognitive awareness items were added on Day 18 following an interim review, and analyses involving these variables are correspondingly restricted.</w:t>
      </w:r>
    </w:p>
    <w:p>
      <w:pPr>
        <w:pStyle w:val="Heading1"/>
        <w:spacing w:after="240" w:before="360" w:line="360"/>
      </w:pPr>
      <w:r>
        <w:rPr>
          <w:rFonts w:ascii="Times New Roman" w:cs="Times New Roman" w:eastAsia="Times New Roman" w:hAnsi="Times New Roman"/>
          <w:b/>
          <w:bCs/>
          <w:sz w:val="28"/>
          <w:szCs w:val="28"/>
        </w:rPr>
        <w:t xml:space="preserve">2. Methods</w:t>
      </w:r>
    </w:p>
    <w:p>
      <w:pPr>
        <w:pStyle w:val="Heading2"/>
        <w:spacing w:after="120" w:before="240" w:line="360"/>
      </w:pPr>
      <w:r>
        <w:rPr>
          <w:rFonts w:ascii="Times New Roman" w:cs="Times New Roman" w:eastAsia="Times New Roman" w:hAnsi="Times New Roman"/>
          <w:b/>
          <w:bCs/>
          <w:sz w:val="26"/>
          <w:szCs w:val="26"/>
        </w:rPr>
        <w:t xml:space="preserve">2.1 Participants</w:t>
      </w:r>
    </w:p>
    <w:p>
      <w:pPr>
        <w:spacing w:after="120" w:before="0" w:line="480"/>
        <w:jc w:val="both"/>
      </w:pPr>
      <w:r>
        <w:rPr>
          <w:rFonts w:ascii="Times New Roman" w:cs="Times New Roman" w:eastAsia="Times New Roman" w:hAnsi="Times New Roman"/>
          <w:sz w:val="24"/>
          <w:szCs w:val="24"/>
        </w:rPr>
        <w:t xml:space="preserve">The participant is the author of this paper. The use of a single-subject design follows the personal science tradition of systematic self-experimentation with rigorous measurement and transparent analysis (Myin-Germeys &amp; Kuppens, 2022). Single-subject designs are appropriate when the research question concerns individual-level processes that are obscured by group averaging (Molenaar, 2004; Molenaar &amp; Campbell, 2009). At the time of data collection, the participant was a 23-year-old graduate student, reported no current psychiatric or other medical diagnoses, and was taking no medication beyond the hormonal contraceptive described in Section 2.2. The University of Pennsylvania Institutional Review Board determined that this study constitutes Not Human Subjects Research (NHSR) and does not require formal IRB approval (email determination, May 13, 2026). As the sole investigator and sole participant, the author consented to her own participation.</w:t>
      </w:r>
    </w:p>
    <w:p>
      <w:pPr>
        <w:pStyle w:val="Heading2"/>
        <w:spacing w:after="120" w:before="240" w:line="360"/>
      </w:pPr>
      <w:r>
        <w:rPr>
          <w:rFonts w:ascii="Times New Roman" w:cs="Times New Roman" w:eastAsia="Times New Roman" w:hAnsi="Times New Roman"/>
          <w:b/>
          <w:bCs/>
          <w:sz w:val="26"/>
          <w:szCs w:val="26"/>
        </w:rPr>
        <w:t xml:space="preserve">2.2 Background Condition</w:t>
      </w:r>
    </w:p>
    <w:p>
      <w:pPr>
        <w:spacing w:after="120" w:before="0" w:line="480"/>
        <w:jc w:val="both"/>
      </w:pPr>
      <w:r>
        <w:rPr>
          <w:rFonts w:ascii="Times New Roman" w:cs="Times New Roman" w:eastAsia="Times New Roman" w:hAnsi="Times New Roman"/>
          <w:sz w:val="24"/>
          <w:szCs w:val="24"/>
        </w:rPr>
        <w:t xml:space="preserve">The participant has been taking a continuous hormonal contraceptive (drospirenone/ethinyl estradiol; trade name YAZ) for an extended period prior to and throughout the study, prescribed for the management of premenstrual mood symptoms. This pharmacological background creates a stable hormonal regime, suppressing the cyclical affective fluctuation associated with the natural menstrual cycle. This stabilization is not an intervention in the present study. It is a fixed background parameter that reduces baseline affective noise, increasing the signal-to-noise ratio for detecting effects of the primary manipulation. Stability in this study is not the outcome; it is what makes change observable.</w:t>
      </w:r>
    </w:p>
    <w:p>
      <w:pPr>
        <w:pStyle w:val="Heading2"/>
        <w:spacing w:after="120" w:before="240" w:line="360"/>
      </w:pPr>
      <w:r>
        <w:rPr>
          <w:rFonts w:ascii="Times New Roman" w:cs="Times New Roman" w:eastAsia="Times New Roman" w:hAnsi="Times New Roman"/>
          <w:b/>
          <w:bCs/>
          <w:sz w:val="26"/>
          <w:szCs w:val="26"/>
        </w:rPr>
        <w:t xml:space="preserve">2.3 Intervention</w:t>
      </w:r>
    </w:p>
    <w:p>
      <w:pPr>
        <w:spacing w:after="120" w:before="0" w:line="480"/>
        <w:jc w:val="both"/>
      </w:pPr>
      <w:r>
        <w:rPr>
          <w:rFonts w:ascii="Times New Roman" w:cs="Times New Roman" w:eastAsia="Times New Roman" w:hAnsi="Times New Roman"/>
          <w:sz w:val="24"/>
          <w:szCs w:val="24"/>
        </w:rPr>
        <w:t xml:space="preserve">Melatonin (3 mg, standard over-the-counter formulation) was administered before sleep on a schedule generated by a pre-registered randomization algorithm. The 70-day schedule was constrained to produce 35 active and 35 control days with no runs longer than two consecutive days in either condition, ensuring within-person crossover for time-series analysis and reducing the risk of carry-over effects from extended runs. The schedule was generated and stored in a JSON protocol file before data collection began and was not accessible to the participant during the EMA logging process; the daily condition was confirmed only after the corresponding evening’s EMA prompt had been completed.</w:t>
      </w:r>
    </w:p>
    <w:p>
      <w:pPr>
        <w:spacing w:after="120" w:before="0" w:line="480"/>
        <w:jc w:val="both"/>
      </w:pPr>
      <w:r>
        <w:rPr>
          <w:rFonts w:ascii="Times New Roman" w:cs="Times New Roman" w:eastAsia="Times New Roman" w:hAnsi="Times New Roman"/>
          <w:sz w:val="24"/>
          <w:szCs w:val="24"/>
        </w:rPr>
        <w:t xml:space="preserve">In the present study, melatonin is conceptualized not as a treatment under test but as an analytic probe: a perturbation input of known presence/absence, applied to an otherwise free-running system in order to characterize the system’s response function. The absolute magnitude of the melatonin effect on average mood is not the primary inferential target. The primary targets are (a) the fraction of variance in the system’s affective trajectory accounted for by the probe relative to the system’s endogenous drivers, and (b) whether the probe’s effect appears in features of the trajectory other than the mean, such as variability or decay rate (cf. Section 1.2).</w:t>
      </w:r>
    </w:p>
    <w:p>
      <w:pPr>
        <w:pStyle w:val="Heading2"/>
        <w:spacing w:after="120" w:before="240" w:line="360"/>
      </w:pPr>
      <w:r>
        <w:rPr>
          <w:rFonts w:ascii="Times New Roman" w:cs="Times New Roman" w:eastAsia="Times New Roman" w:hAnsi="Times New Roman"/>
          <w:b/>
          <w:bCs/>
          <w:sz w:val="26"/>
          <w:szCs w:val="26"/>
        </w:rPr>
        <w:t xml:space="preserve">2.4 Procedure and Measurement</w:t>
      </w:r>
    </w:p>
    <w:p>
      <w:pPr>
        <w:pStyle w:val="Heading3"/>
        <w:spacing w:after="60" w:before="180" w:line="360"/>
      </w:pPr>
      <w:r>
        <w:rPr>
          <w:rFonts w:ascii="Times New Roman" w:cs="Times New Roman" w:eastAsia="Times New Roman" w:hAnsi="Times New Roman"/>
          <w:b/>
          <w:bCs/>
          <w:i/>
          <w:iCs/>
          <w:sz w:val="24"/>
          <w:szCs w:val="24"/>
        </w:rPr>
        <w:t xml:space="preserve">Design and sampling</w:t>
      </w:r>
    </w:p>
    <w:p>
      <w:pPr>
        <w:spacing w:after="120" w:before="0" w:line="480"/>
        <w:jc w:val="both"/>
      </w:pPr>
      <w:r>
        <w:rPr>
          <w:rFonts w:ascii="Times New Roman" w:cs="Times New Roman" w:eastAsia="Times New Roman" w:hAnsi="Times New Roman"/>
          <w:sz w:val="24"/>
          <w:szCs w:val="24"/>
        </w:rPr>
        <w:t>The study employed a 70-day intensive longitudinal N-of-1 alternating-treatment design. Each day was randomly assigned to either an active (melatonin) or control (no melatonin) condition according to the pre-registered schedule described in Section 2.3. Ecological momentary assessment (EMA) prompts were delivered three times per day, at approximately 10:00, 16:00, and 22:00 local time, via automated iOS Shortcuts. The protocol began with the 22:00 evening prompt on the first study day; EMA observations were aggregated to the study day, yielding the planned 35 control and 35 melatonin daily aggregates over the 70-day window (2026-02-18 to 2026-04-29). One study day (Day 44) had EMA pings recorded on two adjacent calendar dates under this evening-start convention; these were aggregated into a single day-level observation (cf. Section 3.1). Of 210 planned EMA observations across the 70-day window, 195 were recorded (compliance rate = 92.9%; 54 days with three observations, 13 with two, 2 with one, and 1 with five).</w:t>
      </w:r>
    </w:p>
    <w:p>
      <w:pPr>
        <w:pStyle w:val="Heading3"/>
        <w:spacing w:after="60" w:before="180" w:line="360"/>
      </w:pPr>
      <w:r>
        <w:rPr>
          <w:rFonts w:ascii="Times New Roman" w:cs="Times New Roman" w:eastAsia="Times New Roman" w:hAnsi="Times New Roman"/>
          <w:b/>
          <w:bCs/>
          <w:i/>
          <w:iCs/>
          <w:sz w:val="24"/>
          <w:szCs w:val="24"/>
        </w:rPr>
        <w:t xml:space="preserve">Measures</w:t>
      </w:r>
    </w:p>
    <w:p>
      <w:pPr>
        <w:spacing w:after="120" w:before="0" w:line="480"/>
        <w:jc w:val="both"/>
      </w:pPr>
      <w:r>
        <w:rPr>
          <w:rFonts w:ascii="Times New Roman" w:cs="Times New Roman" w:eastAsia="Times New Roman" w:hAnsi="Times New Roman"/>
          <w:sz w:val="24"/>
          <w:szCs w:val="24"/>
        </w:rPr>
        <w:t xml:space="preserve">At each EMA prompt, four substantive items and one free-text deviation note were collected. </w:t>
      </w:r>
      <w:r>
        <w:rPr>
          <w:rFonts w:ascii="Times New Roman" w:cs="Times New Roman" w:eastAsia="Times New Roman" w:hAnsi="Times New Roman"/>
          <w:b/>
          <w:bCs/>
          <w:sz w:val="24"/>
          <w:szCs w:val="24"/>
        </w:rPr>
        <w:t xml:space="preserve">Mood </w:t>
      </w:r>
      <w:r>
        <w:rPr>
          <w:rFonts w:ascii="Times New Roman" w:cs="Times New Roman" w:eastAsia="Times New Roman" w:hAnsi="Times New Roman"/>
          <w:sz w:val="24"/>
          <w:szCs w:val="24"/>
        </w:rPr>
        <w:t xml:space="preserve">(current emotional state) was rated on a 0–100 visual slider as a single-item measure of momentary affect (Eisele et al., 2022); see the measurement-error note below. </w:t>
      </w:r>
      <w:r>
        <w:rPr>
          <w:rFonts w:ascii="Times New Roman" w:cs="Times New Roman" w:eastAsia="Times New Roman" w:hAnsi="Times New Roman"/>
          <w:b/>
          <w:bCs/>
          <w:sz w:val="24"/>
          <w:szCs w:val="24"/>
        </w:rPr>
        <w:t xml:space="preserve">Agency </w:t>
      </w:r>
      <w:r>
        <w:rPr>
          <w:rFonts w:ascii="Times New Roman" w:cs="Times New Roman" w:eastAsia="Times New Roman" w:hAnsi="Times New Roman"/>
          <w:sz w:val="24"/>
          <w:szCs w:val="24"/>
        </w:rPr>
        <w:t xml:space="preserve">(task progress / sense of forward motion) was rated on a 0–100 slider, operationalizing the experiential component of intentional, goal-directed action specified by Bandura (2001) and the proximal cause of affect identified by Carver and Scheier’s (1990) control-process model. </w:t>
      </w:r>
      <w:r>
        <w:rPr>
          <w:rFonts w:ascii="Times New Roman" w:cs="Times New Roman" w:eastAsia="Times New Roman" w:hAnsi="Times New Roman"/>
          <w:b/>
          <w:bCs/>
          <w:sz w:val="24"/>
          <w:szCs w:val="24"/>
        </w:rPr>
        <w:t xml:space="preserve">Metacognition </w:t>
      </w:r>
      <w:r>
        <w:rPr>
          <w:rFonts w:ascii="Times New Roman" w:cs="Times New Roman" w:eastAsia="Times New Roman" w:hAnsi="Times New Roman"/>
          <w:sz w:val="24"/>
          <w:szCs w:val="24"/>
        </w:rPr>
        <w:t xml:space="preserve">(awareness of current internal state) was rated on a 0–100 slider, operationalizing in-the-moment self-monitoring in the Nelson and Narens (1990) sense (cf. Section 1.3a). </w:t>
      </w:r>
      <w:r>
        <w:rPr>
          <w:rFonts w:ascii="Times New Roman" w:cs="Times New Roman" w:eastAsia="Times New Roman" w:hAnsi="Times New Roman"/>
          <w:b/>
          <w:bCs/>
          <w:sz w:val="24"/>
          <w:szCs w:val="24"/>
        </w:rPr>
        <w:t xml:space="preserve">Melatonin intake </w:t>
      </w:r>
      <w:r>
        <w:rPr>
          <w:rFonts w:ascii="Times New Roman" w:cs="Times New Roman" w:eastAsia="Times New Roman" w:hAnsi="Times New Roman"/>
          <w:sz w:val="24"/>
          <w:szCs w:val="24"/>
        </w:rPr>
        <w:t xml:space="preserve">was recorded as a binary indicator (“Did you take melatonin tonight?”) and served as a manipulation check. A free-text </w:t>
      </w:r>
      <w:r>
        <w:rPr>
          <w:rFonts w:ascii="Times New Roman" w:cs="Times New Roman" w:eastAsia="Times New Roman" w:hAnsi="Times New Roman"/>
          <w:b/>
          <w:bCs/>
          <w:sz w:val="24"/>
          <w:szCs w:val="24"/>
        </w:rPr>
        <w:t xml:space="preserve">override field </w:t>
      </w:r>
      <w:r>
        <w:rPr>
          <w:rFonts w:ascii="Times New Roman" w:cs="Times New Roman" w:eastAsia="Times New Roman" w:hAnsi="Times New Roman"/>
          <w:sz w:val="24"/>
          <w:szCs w:val="24"/>
        </w:rPr>
        <w:t xml:space="preserve">captured deviation notes for any prompt completed late, manually, or with anomalies.</w:t>
      </w:r>
    </w:p>
    <w:p>
      <w:pPr>
        <w:spacing w:after="120" w:before="0" w:line="480"/>
        <w:jc w:val="both"/>
      </w:pPr>
      <w:r>
        <w:rPr>
          <w:rFonts w:ascii="Times New Roman" w:cs="Times New Roman" w:eastAsia="Times New Roman" w:hAnsi="Times New Roman"/>
          <w:sz w:val="24"/>
          <w:szCs w:val="24"/>
        </w:rPr>
        <w:t xml:space="preserve">Prior psychometric work suggests that single-item momentary affect ratings can contain substantial measurement-error variance, with Dejonckheere et al. (2022) estimating error variance at approximately 27%. This motivates cautious interpretation of small effects in the present study.</w:t>
      </w:r>
    </w:p>
    <w:p>
      <w:pPr>
        <w:pStyle w:val="Heading3"/>
        <w:spacing w:after="60" w:before="180" w:line="360"/>
      </w:pPr>
      <w:r>
        <w:rPr>
          <w:rFonts w:ascii="Times New Roman" w:cs="Times New Roman" w:eastAsia="Times New Roman" w:hAnsi="Times New Roman"/>
          <w:b/>
          <w:bCs/>
          <w:i/>
          <w:iCs/>
          <w:sz w:val="24"/>
          <w:szCs w:val="24"/>
        </w:rPr>
        <w:t xml:space="preserve">Day-18 protocol amendment</w:t>
      </w:r>
    </w:p>
    <w:p>
      <w:pPr>
        <w:spacing w:after="120" w:before="0" w:line="480"/>
        <w:jc w:val="both"/>
      </w:pPr>
      <w:r>
        <w:rPr>
          <w:rFonts w:ascii="Times New Roman" w:cs="Times New Roman" w:eastAsia="Times New Roman" w:hAnsi="Times New Roman"/>
          <w:sz w:val="24"/>
          <w:szCs w:val="24"/>
        </w:rPr>
        <w:t>Of the four substantive measures, mood and the melatonin manipulation check were collected from Day 1 of data collection (2026-02-18). Agency and metacognition items were added on Day 18 (2026-03-07) following an interim review of the protocol, in which the participant determined that the original mood-only design was insufficient to test the internal-versus-external research questions formulated in Section 1.4. All analyses involving agency or metacognition are restricted to Days 18–70. Within this window, the randomized schedule yielded 53 daily aggregates (27 control and 26 melatonin days) and 144 momentary observations; the AR(1) model with lag-1 alignment uses 53 days, with the first day in the window (Day 18) using Day 17's mood as its lag-1 predecessor. Mood-only analyses (descriptive statistics, between-condition mean comparison, and the observation-level AR(1) inertia estimate) use the full 195-observation sample.</w:t>
      </w:r>
    </w:p>
    <w:p>
      <w:pPr>
        <w:pStyle w:val="Heading3"/>
        <w:spacing w:after="60" w:before="180" w:line="360"/>
      </w:pPr>
      <w:r>
        <w:rPr>
          <w:rFonts w:ascii="Times New Roman" w:cs="Times New Roman" w:eastAsia="Times New Roman" w:hAnsi="Times New Roman"/>
          <w:b/>
          <w:bCs/>
          <w:i/>
          <w:iCs/>
          <w:sz w:val="24"/>
          <w:szCs w:val="24"/>
        </w:rPr>
        <w:t xml:space="preserve">Data acquisition pipeline</w:t>
      </w:r>
    </w:p>
    <w:p>
      <w:pPr>
        <w:spacing w:after="120" w:before="0" w:line="480"/>
        <w:jc w:val="both"/>
      </w:pPr>
      <w:r>
        <w:rPr>
          <w:rFonts w:ascii="Times New Roman" w:cs="Times New Roman" w:eastAsia="Times New Roman" w:hAnsi="Times New Roman"/>
          <w:sz w:val="24"/>
          <w:szCs w:val="24"/>
        </w:rPr>
        <w:t xml:space="preserve">The data collection pipeline was implemented in iOS Shortcuts as a conditional programming environment, with control flow (variables, conditionals, dictionaries, file I/O) treated as equivalent to any lightweight scripting language. This implementation was developed because standard EMA platforms (Qualtrics, REDCap) introduced too much per-entry friction for a high-frequency, three-times-daily protocol over a 70-day window. Each prompt took approximately 8–12 seconds to complete and appended one row to a CSV file with an ISO-8601 timestamp. A Python validation layer ran after each new entry, performing range checks (mood, agency, and metacognition within 0–100), completeness checks (no required field missing), and duplicate-timestamp checks. Responses were typically completed within minutes of the scheduled prompt and, when delayed, within one hour. Because all entries were timestamped and the primary analyses were conducted either on daily means or on timestamp-ordered observations, these minor response latencies were retained as part of the natural EMA sampling process rather than treated as a separate manual-entry condition. Full pipeline source and validation code are available in the project repository (Section 6).</w:t>
      </w:r>
    </w:p>
    <w:p>
      <w:pPr>
        <w:pStyle w:val="Heading2"/>
        <w:spacing w:after="120" w:before="240" w:line="360"/>
      </w:pPr>
      <w:r>
        <w:rPr>
          <w:rFonts w:ascii="Times New Roman" w:cs="Times New Roman" w:eastAsia="Times New Roman" w:hAnsi="Times New Roman"/>
          <w:b/>
          <w:bCs/>
          <w:sz w:val="26"/>
          <w:szCs w:val="26"/>
        </w:rPr>
        <w:t xml:space="preserve">2.5 Analytic Strategy</w:t>
      </w:r>
    </w:p>
    <w:p>
      <w:pPr>
        <w:pStyle w:val="Heading3"/>
        <w:spacing w:after="60" w:before="180" w:line="360"/>
      </w:pPr>
      <w:r>
        <w:rPr>
          <w:rFonts w:ascii="Times New Roman" w:cs="Times New Roman" w:eastAsia="Times New Roman" w:hAnsi="Times New Roman"/>
          <w:b/>
          <w:bCs/>
          <w:i/>
          <w:iCs/>
          <w:sz w:val="24"/>
          <w:szCs w:val="24"/>
        </w:rPr>
        <w:t xml:space="preserve">2.5.1 Autoregressive model with exogenous inputs</w:t>
      </w:r>
    </w:p>
    <w:p>
      <w:pPr>
        <w:spacing w:after="120" w:before="0" w:line="480"/>
        <w:jc w:val="both"/>
      </w:pPr>
      <w:r>
        <w:rPr>
          <w:rFonts w:ascii="Times New Roman" w:cs="Times New Roman" w:eastAsia="Times New Roman" w:hAnsi="Times New Roman"/>
          <w:sz w:val="24"/>
          <w:szCs w:val="24"/>
        </w:rPr>
        <w:t xml:space="preserve">Three nested autoregressive models were fit to daily mean mood. The baseline model (M0) is a first-order autoregression:</w:t>
      </w:r>
    </w:p>
    <w:p>
      <w:pPr>
        <w:spacing w:after="120" w:before="120" w:line="360"/>
        <w:ind w:left="720" w:right="720"/>
        <w:jc w:val="center"/>
      </w:pPr>
      <w:r>
        <w:rPr>
          <w:rFonts w:ascii="Times New Roman" w:cs="Times New Roman" w:eastAsia="Times New Roman" w:hAnsi="Times New Roman"/>
          <w:i/>
          <w:iCs/>
          <w:sz w:val="24"/>
          <w:szCs w:val="24"/>
        </w:rPr>
        <w:t xml:space="preserve">moodₜ = α + φ · moodₜ₋₁ + εₜ</w:t>
      </w:r>
    </w:p>
    <w:p>
      <w:pPr>
        <w:spacing w:after="120" w:before="0" w:line="480"/>
        <w:jc w:val="both"/>
      </w:pPr>
      <w:r>
        <w:rPr>
          <w:rFonts w:ascii="Times New Roman" w:cs="Times New Roman" w:eastAsia="Times New Roman" w:hAnsi="Times New Roman"/>
          <w:sz w:val="24"/>
          <w:szCs w:val="24"/>
        </w:rPr>
        <w:t xml:space="preserve">Model M1 adds the external probe:</w:t>
      </w:r>
    </w:p>
    <w:p>
      <w:pPr>
        <w:spacing w:after="120" w:before="120" w:line="360"/>
        <w:ind w:left="720" w:right="720"/>
        <w:jc w:val="center"/>
      </w:pPr>
      <w:r>
        <w:rPr>
          <w:rFonts w:ascii="Times New Roman" w:cs="Times New Roman" w:eastAsia="Times New Roman" w:hAnsi="Times New Roman"/>
          <w:i/>
          <w:iCs/>
          <w:sz w:val="24"/>
          <w:szCs w:val="24"/>
        </w:rPr>
        <w:t xml:space="preserve">moodₜ = α + φ · moodₜ₋₁ + β₁ · melatoninₜ + εₜ</w:t>
      </w:r>
    </w:p>
    <w:p>
      <w:pPr>
        <w:spacing w:after="120" w:before="0" w:line="480"/>
        <w:jc w:val="both"/>
      </w:pPr>
      <w:r>
        <w:rPr>
          <w:rFonts w:ascii="Times New Roman" w:cs="Times New Roman" w:eastAsia="Times New Roman" w:hAnsi="Times New Roman"/>
          <w:sz w:val="24"/>
          <w:szCs w:val="24"/>
        </w:rPr>
        <w:t xml:space="preserve">Model M2 adds the internal drivers:</w:t>
      </w:r>
    </w:p>
    <w:p>
      <w:pPr>
        <w:spacing w:after="120" w:before="120" w:line="360"/>
        <w:ind w:left="720" w:right="720"/>
        <w:jc w:val="center"/>
      </w:pPr>
      <w:r>
        <w:rPr>
          <w:rFonts w:ascii="Times New Roman" w:cs="Times New Roman" w:eastAsia="Times New Roman" w:hAnsi="Times New Roman"/>
          <w:i/>
          <w:iCs/>
          <w:sz w:val="24"/>
          <w:szCs w:val="24"/>
        </w:rPr>
        <w:t xml:space="preserve">moodₜ = α + φ · moodₜ₋₁ + β₁ · melatoninₜ + β₂ · agencyₜ + β₃ · metacognitionₜ + εₜ</w:t>
      </w:r>
    </w:p>
    <w:p>
      <w:pPr>
        <w:spacing w:after="120" w:before="0" w:line="480"/>
        <w:jc w:val="both"/>
      </w:pPr>
      <w:r>
        <w:rPr>
          <w:rFonts w:ascii="Times New Roman" w:cs="Times New Roman" w:eastAsia="Times New Roman" w:hAnsi="Times New Roman"/>
          <w:sz w:val="24"/>
          <w:szCs w:val="24"/>
        </w:rPr>
        <w:t>The autoregressive coefficient φ estimates day-to-day emotional inertia: the degree to which mood persists across consecutive days. Each β estimates the marginal contribution of its predictor over and above the system’s own carryover. Models M1 and M2 were fit on the Day 18–70 subsample (n = 53 days) to ensure that all three models were estimated on identical data, permitting incremental-R² comparison.</w:t>
      </w:r>
    </w:p>
    <w:p>
      <w:pPr>
        <w:pStyle w:val="Heading3"/>
        <w:spacing w:after="60" w:before="180" w:line="360"/>
      </w:pPr>
      <w:r>
        <w:rPr>
          <w:rFonts w:ascii="Times New Roman" w:cs="Times New Roman" w:eastAsia="Times New Roman" w:hAnsi="Times New Roman"/>
          <w:b/>
          <w:bCs/>
          <w:i/>
          <w:iCs/>
          <w:sz w:val="24"/>
          <w:szCs w:val="24"/>
        </w:rPr>
        <w:t xml:space="preserve">2.5.2 State-space model (Kalman filter)</w:t>
      </w:r>
    </w:p>
    <w:p>
      <w:pPr>
        <w:spacing w:after="120" w:before="0" w:line="480"/>
        <w:jc w:val="both"/>
      </w:pPr>
      <w:r>
        <w:rPr>
          <w:rFonts w:ascii="Times New Roman" w:cs="Times New Roman" w:eastAsia="Times New Roman" w:hAnsi="Times New Roman"/>
          <w:sz w:val="24"/>
          <w:szCs w:val="24"/>
        </w:rPr>
        <w:t xml:space="preserve">A local-level (random-walk-plus-noise) state-space model was fit to the daily mood series via maximum-likelihood Kalman filtering, with the following structure:</w:t>
      </w:r>
    </w:p>
    <w:p>
      <w:pPr>
        <w:spacing w:after="120" w:before="120" w:line="360"/>
        <w:ind w:left="720" w:right="720"/>
        <w:jc w:val="center"/>
      </w:pPr>
      <w:r>
        <w:rPr>
          <w:rFonts w:ascii="Times New Roman" w:cs="Times New Roman" w:eastAsia="Times New Roman" w:hAnsi="Times New Roman"/>
          <w:i/>
          <w:iCs/>
          <w:sz w:val="24"/>
          <w:szCs w:val="24"/>
        </w:rPr>
        <w:t xml:space="preserve">Observation:   yₜ = xₜ + vₜ,   vₜ ~ N(0, σ²_v)</w:t>
      </w:r>
    </w:p>
    <w:p>
      <w:pPr>
        <w:spacing w:after="120" w:before="120" w:line="360"/>
        <w:ind w:left="720" w:right="720"/>
        <w:jc w:val="center"/>
      </w:pPr>
      <w:r>
        <w:rPr>
          <w:rFonts w:ascii="Times New Roman" w:cs="Times New Roman" w:eastAsia="Times New Roman" w:hAnsi="Times New Roman"/>
          <w:i/>
          <w:iCs/>
          <w:sz w:val="24"/>
          <w:szCs w:val="24"/>
        </w:rPr>
        <w:t xml:space="preserve">State:        xₜ = xₜ₋₁ + wₜ,   wₜ ~ N(0, σ²_w)</w:t>
      </w:r>
    </w:p>
    <w:p>
      <w:pPr>
        <w:spacing w:after="120" w:before="0" w:line="480"/>
        <w:jc w:val="both"/>
      </w:pPr>
      <w:r>
        <w:rPr>
          <w:rFonts w:ascii="Times New Roman" w:cs="Times New Roman" w:eastAsia="Times New Roman" w:hAnsi="Times New Roman"/>
          <w:sz w:val="24"/>
          <w:szCs w:val="24"/>
        </w:rPr>
        <w:t xml:space="preserve">The model decomposes observed daily mood into an unobserved latent trajectory (xₜ) and observation noise (vₜ), yielding a smoothed estimate of the underlying affective state and its 95% confidence band. The signal-to-noise ratio σ²_w / σ²_v summarizes how much of the observed daily variation is attributable to genuine latent change versus measurement and sampling noise.</w:t>
      </w:r>
    </w:p>
    <w:p>
      <w:pPr>
        <w:pStyle w:val="Heading3"/>
        <w:spacing w:after="60" w:before="180" w:line="360"/>
      </w:pPr>
      <w:r>
        <w:rPr>
          <w:rFonts w:ascii="Times New Roman" w:cs="Times New Roman" w:eastAsia="Times New Roman" w:hAnsi="Times New Roman"/>
          <w:b/>
          <w:bCs/>
          <w:i/>
          <w:iCs/>
          <w:sz w:val="24"/>
          <w:szCs w:val="24"/>
        </w:rPr>
        <w:t xml:space="preserve">2.5.3 Impulse response and half-life</w:t>
      </w:r>
    </w:p>
    <w:p>
      <w:pPr>
        <w:spacing w:after="120" w:before="0" w:line="480"/>
        <w:jc w:val="both"/>
      </w:pPr>
      <w:r>
        <w:rPr>
          <w:rFonts w:ascii="Times New Roman" w:cs="Times New Roman" w:eastAsia="Times New Roman" w:hAnsi="Times New Roman"/>
          <w:sz w:val="24"/>
          <w:szCs w:val="24"/>
        </w:rPr>
        <w:t xml:space="preserve">The impulse response function (IRF) for an AR(1) process is given by IRF(h) = φʰ, and the half-life of an affective perturbation, the number of time steps required for an external impulse to decay to half its initial magnitude, follows directly:</w:t>
      </w:r>
    </w:p>
    <w:p>
      <w:pPr>
        <w:spacing w:after="120" w:before="120" w:line="360"/>
        <w:ind w:left="720" w:right="720"/>
        <w:jc w:val="center"/>
      </w:pPr>
      <w:r>
        <w:rPr>
          <w:rFonts w:ascii="Times New Roman" w:cs="Times New Roman" w:eastAsia="Times New Roman" w:hAnsi="Times New Roman"/>
          <w:i/>
          <w:iCs/>
          <w:sz w:val="24"/>
          <w:szCs w:val="24"/>
        </w:rPr>
        <w:t xml:space="preserve">half-life = log(0.5) / log(φ)</w:t>
      </w:r>
    </w:p>
    <w:p>
      <w:pPr>
        <w:spacing w:after="120" w:before="0" w:line="480"/>
        <w:jc w:val="both"/>
      </w:pPr>
      <w:r>
        <w:rPr>
          <w:rFonts w:ascii="Times New Roman" w:cs="Times New Roman" w:eastAsia="Times New Roman" w:hAnsi="Times New Roman"/>
          <w:sz w:val="24"/>
          <w:szCs w:val="24"/>
        </w:rPr>
        <w:t xml:space="preserve">The IRF was computed at both the daily level and the observation level. The daily-level estimate used the AR(1) coefficient fit on the full 70-day sample (φ_day, full sample), which provides a more stable estimate of the system’s typical daily inertia than the Day 18–70 nested-model coefficient (φ_day, nested) reported in M0. The observation-level estimate (φ_obs) was fit on the full set of 195 EMA pings, ordered by timestamp; its half-life was converted to physical time using the median between-prompt interval. The choice of sample window for IRF estimation is reported transparently in Section 3.3.</w:t>
      </w:r>
    </w:p>
    <w:p>
      <w:pPr>
        <w:pStyle w:val="Heading3"/>
        <w:spacing w:after="60" w:before="180" w:line="360"/>
      </w:pPr>
      <w:r>
        <w:rPr>
          <w:rFonts w:ascii="Times New Roman" w:cs="Times New Roman" w:eastAsia="Times New Roman" w:hAnsi="Times New Roman"/>
          <w:b/>
          <w:bCs/>
          <w:i/>
          <w:iCs/>
          <w:sz w:val="24"/>
          <w:szCs w:val="24"/>
        </w:rPr>
        <w:t xml:space="preserve">2.5.4 Incremental R² comparison</w:t>
      </w:r>
    </w:p>
    <w:p>
      <w:pPr>
        <w:spacing w:after="120" w:before="0" w:line="480"/>
        <w:jc w:val="both"/>
      </w:pPr>
      <w:r>
        <w:rPr>
          <w:rFonts w:ascii="Times New Roman" w:cs="Times New Roman" w:eastAsia="Times New Roman" w:hAnsi="Times New Roman"/>
          <w:sz w:val="24"/>
          <w:szCs w:val="24"/>
        </w:rPr>
        <w:t xml:space="preserve">To quantify the internal-versus-external prediction, drop-one incremental R² was computed for each of the three predictors in M2:</w:t>
      </w:r>
    </w:p>
    <w:p>
      <w:pPr>
        <w:spacing w:after="120" w:before="120" w:line="360"/>
        <w:ind w:left="720" w:right="720"/>
        <w:jc w:val="center"/>
      </w:pPr>
      <w:r>
        <w:rPr>
          <w:rFonts w:ascii="Times New Roman" w:cs="Times New Roman" w:eastAsia="Times New Roman" w:hAnsi="Times New Roman"/>
          <w:i/>
          <w:iCs/>
          <w:sz w:val="24"/>
          <w:szCs w:val="24"/>
        </w:rPr>
        <w:t xml:space="preserve">ΔR²(predictor) = R²(M2 with predictor) − R²(M2 without predictor)</w:t>
      </w:r>
    </w:p>
    <w:p>
      <w:pPr>
        <w:spacing w:after="120" w:before="0" w:line="480"/>
        <w:jc w:val="both"/>
      </w:pPr>
      <w:r>
        <w:rPr>
          <w:rFonts w:ascii="Times New Roman" w:cs="Times New Roman" w:eastAsia="Times New Roman" w:hAnsi="Times New Roman"/>
          <w:sz w:val="24"/>
          <w:szCs w:val="24"/>
        </w:rPr>
        <w:t xml:space="preserve">This decomposition isolates the unique variance each predictor accounts for over and above the others, permitting direct comparison of the magnitudes of the agency and metacognition contributions to the magnitude of the melatonin contribution.</w:t>
      </w:r>
    </w:p>
    <w:p>
      <w:pPr>
        <w:pStyle w:val="Heading3"/>
        <w:spacing w:after="60" w:before="180" w:line="360"/>
      </w:pPr>
      <w:r>
        <w:rPr>
          <w:rFonts w:ascii="Times New Roman" w:cs="Times New Roman" w:eastAsia="Times New Roman" w:hAnsi="Times New Roman"/>
          <w:b/>
          <w:bCs/>
          <w:i/>
          <w:iCs/>
          <w:sz w:val="24"/>
          <w:szCs w:val="24"/>
        </w:rPr>
        <w:t xml:space="preserve">2.5.5 Metacontrol interaction</w:t>
      </w:r>
    </w:p>
    <w:p>
      <w:pPr>
        <w:spacing w:after="120" w:before="0" w:line="480"/>
        <w:jc w:val="both"/>
      </w:pPr>
      <w:r>
        <w:rPr>
          <w:rFonts w:ascii="Times New Roman" w:cs="Times New Roman" w:eastAsia="Times New Roman" w:hAnsi="Times New Roman"/>
          <w:sz w:val="24"/>
          <w:szCs w:val="24"/>
        </w:rPr>
        <w:t xml:space="preserve">The metacontrol hypothesis, that metacognitive awareness moderates the system’s responsiveness to external perturbation, was tested by adding a melatonin × metacognition interaction term, with metacognition mean-centered:</w:t>
      </w:r>
    </w:p>
    <w:p>
      <w:pPr>
        <w:spacing w:after="120" w:before="120" w:line="360"/>
        <w:ind w:left="720" w:right="720"/>
        <w:jc w:val="center"/>
      </w:pPr>
      <w:r>
        <w:rPr>
          <w:rFonts w:ascii="Times New Roman" w:cs="Times New Roman" w:eastAsia="Times New Roman" w:hAnsi="Times New Roman"/>
          <w:i/>
          <w:iCs/>
          <w:sz w:val="24"/>
          <w:szCs w:val="24"/>
        </w:rPr>
        <w:t xml:space="preserve">moodₜ = α + φ · moodₜ₋₁ + β₁ · melatoninₜ + β₂ · meta_cₜ + β₃ · (melatoninₜ × meta_cₜ) + εₜ</w:t>
      </w:r>
    </w:p>
    <w:p>
      <w:pPr>
        <w:spacing w:after="120" w:before="0" w:line="480"/>
        <w:jc w:val="both"/>
      </w:pPr>
      <w:r>
        <w:rPr>
          <w:rFonts w:ascii="Times New Roman" w:cs="Times New Roman" w:eastAsia="Times New Roman" w:hAnsi="Times New Roman"/>
          <w:sz w:val="24"/>
          <w:szCs w:val="24"/>
        </w:rPr>
        <w:t xml:space="preserve">A negative β₃ is predicted by the metacontrol hypothesis: higher metacognition would attenuate the system’s sensitivity to the external probe. Simple slopes for melatonin were computed at −1 SD, the mean, and +1 SD of metacognition.</w:t>
      </w:r>
    </w:p>
    <w:p>
      <w:pPr>
        <w:pStyle w:val="Heading3"/>
        <w:spacing w:after="60" w:before="180" w:line="360"/>
      </w:pPr>
      <w:r>
        <w:rPr>
          <w:rFonts w:ascii="Times New Roman" w:cs="Times New Roman" w:eastAsia="Times New Roman" w:hAnsi="Times New Roman"/>
          <w:b/>
          <w:bCs/>
          <w:i/>
          <w:iCs/>
          <w:sz w:val="24"/>
          <w:szCs w:val="24"/>
        </w:rPr>
        <w:t xml:space="preserve">2.5.6 Affective variability</w:t>
      </w:r>
    </w:p>
    <w:p>
      <w:pPr>
        <w:spacing w:after="120" w:before="0" w:line="480"/>
        <w:jc w:val="both"/>
      </w:pPr>
      <w:r>
        <w:rPr>
          <w:rFonts w:ascii="Times New Roman" w:cs="Times New Roman" w:eastAsia="Times New Roman" w:hAnsi="Times New Roman"/>
          <w:sz w:val="24"/>
          <w:szCs w:val="24"/>
        </w:rPr>
        <w:t xml:space="preserve">In addition to the mean-shift analyses above, three indices of mood variability were computed by condition: (a) the standard deviation of daily mood within each condition; (b) the mean squared successive difference (MSSD; Jahng, Wood, &amp; Trull, 2008), computed within contiguous within-condition runs of EMA observations and averaged across runs; and (c) the Brown–Forsythe Levene test of homogeneity of variance across conditions. A complementary heteroskedasticity model was fit by regressing the log-squared residuals from M2 on the melatonin indicator: log(ε²ₜ) = α₀ + α₁ · melatoninₜ + uₜ. A negative α₁ coefficient indicates that the model’s residual variance is smaller on melatonin days than on control days, consistent with a stability-enhancing rather than level-shifting effect of the probe.</w:t>
      </w:r>
    </w:p>
    <w:p>
      <w:pPr>
        <w:pStyle w:val="Heading3"/>
        <w:spacing w:after="60" w:before="180" w:line="360"/>
      </w:pPr>
      <w:r>
        <w:rPr>
          <w:rFonts w:ascii="Times New Roman" w:cs="Times New Roman" w:eastAsia="Times New Roman" w:hAnsi="Times New Roman"/>
          <w:b/>
          <w:bCs/>
          <w:i/>
          <w:iCs/>
          <w:sz w:val="24"/>
          <w:szCs w:val="24"/>
        </w:rPr>
        <w:t xml:space="preserve">2.5.7 State-dependent decay (sensitivity)</w:t>
      </w:r>
    </w:p>
    <w:p>
      <w:pPr>
        <w:spacing w:after="120" w:before="0" w:line="480"/>
        <w:jc w:val="both"/>
      </w:pPr>
      <w:r>
        <w:rPr>
          <w:rFonts w:ascii="Times New Roman" w:cs="Times New Roman" w:eastAsia="Times New Roman" w:hAnsi="Times New Roman"/>
          <w:sz w:val="24"/>
          <w:szCs w:val="24"/>
        </w:rPr>
        <w:t xml:space="preserve">To examine whether the AR(1) decay rate itself differs by condition, the M0 specification was augmented with a melatonin × moodₜ₋₁ interaction:</w:t>
      </w:r>
    </w:p>
    <w:p>
      <w:pPr>
        <w:spacing w:after="120" w:before="120" w:line="360"/>
        <w:ind w:left="720" w:right="720"/>
        <w:jc w:val="center"/>
      </w:pPr>
      <w:r>
        <w:rPr>
          <w:rFonts w:ascii="Times New Roman" w:cs="Times New Roman" w:eastAsia="Times New Roman" w:hAnsi="Times New Roman"/>
          <w:i/>
          <w:iCs/>
          <w:sz w:val="24"/>
          <w:szCs w:val="24"/>
        </w:rPr>
        <w:t xml:space="preserve">moodₜ = α + φ₀ · moodₜ₋₁ + β · melatoninₜ + δ · (melatoninₜ × moodₜ₋₁) + εₜ</w:t>
      </w:r>
    </w:p>
    <w:p>
      <w:pPr>
        <w:spacing w:after="120" w:before="0" w:line="480"/>
        <w:jc w:val="both"/>
      </w:pPr>
      <w:r>
        <w:rPr>
          <w:rFonts w:ascii="Times New Roman" w:cs="Times New Roman" w:eastAsia="Times New Roman" w:hAnsi="Times New Roman"/>
          <w:sz w:val="24"/>
          <w:szCs w:val="24"/>
        </w:rPr>
        <w:t xml:space="preserve">The implied φ in each condition is then φ₀ (control) and φ₀ + δ (melatonin). A negative δ would indicate that perturbations decay faster on melatonin days, that is, that the system recovers more quickly. Given the limited sample size for an interaction of this kind, this analysis is reported as a sensitivity check rather than a primary test.</w:t>
      </w:r>
    </w:p>
    <w:p>
      <w:pPr>
        <w:pStyle w:val="Heading3"/>
        <w:spacing w:after="60" w:before="180" w:line="360"/>
      </w:pPr>
      <w:r>
        <w:rPr>
          <w:rFonts w:ascii="Times New Roman" w:cs="Times New Roman" w:eastAsia="Times New Roman" w:hAnsi="Times New Roman"/>
          <w:b/>
          <w:bCs/>
          <w:i/>
          <w:iCs/>
          <w:sz w:val="24"/>
          <w:szCs w:val="24"/>
        </w:rPr>
        <w:t xml:space="preserve">2.5.8 Robustness check</w:t>
      </w:r>
    </w:p>
    <w:p>
      <w:pPr>
        <w:spacing w:after="120" w:before="0" w:line="480"/>
        <w:jc w:val="both"/>
      </w:pPr>
      <w:r>
        <w:rPr>
          <w:rFonts w:ascii="Times New Roman" w:cs="Times New Roman" w:eastAsia="Times New Roman" w:hAnsi="Times New Roman"/>
          <w:sz w:val="24"/>
          <w:szCs w:val="24"/>
        </w:rPr>
        <w:t xml:space="preserve">One robustness check was performed: an agency × melatonin interaction term was added to the M2 framework to test whether the agency–mood relation was robust across conditions. Results are reported in Section 3.5.</w:t>
      </w:r>
    </w:p>
    <w:p>
      <w:pPr>
        <w:pStyle w:val="Heading3"/>
        <w:spacing w:after="60" w:before="180" w:line="360"/>
      </w:pPr>
      <w:r>
        <w:rPr>
          <w:rFonts w:ascii="Times New Roman" w:cs="Times New Roman" w:eastAsia="Times New Roman" w:hAnsi="Times New Roman"/>
          <w:b/>
          <w:bCs/>
          <w:i/>
          <w:iCs/>
          <w:sz w:val="24"/>
          <w:szCs w:val="24"/>
        </w:rPr>
        <w:t xml:space="preserve">2.5.9 Supplementary Bayesian robustness analysis</w:t>
      </w:r>
    </w:p>
    <w:p>
      <w:pPr>
        <w:spacing w:after="120" w:before="0" w:line="480"/>
        <w:jc w:val="both"/>
      </w:pPr>
      <w:r>
        <w:rPr>
          <w:rFonts w:ascii="Times New Roman" w:cs="Times New Roman" w:eastAsia="Times New Roman" w:hAnsi="Times New Roman"/>
          <w:sz w:val="24"/>
          <w:szCs w:val="24"/>
        </w:rPr>
        <w:t xml:space="preserve">As a supplementary robustness check, the primary M2 regression (Section 2.5.1) was re-estimated in a Bayesian framework using brms (Bürkner, 2017) in R, with Stan used for MCMC posterior sampling. Continuous variables (mood, lagged mood, agency, metacognitive awareness) were standardized prior to fitting; the melatonin indicator was retained on its original 0/1 scale. Weakly informative priors were placed on the regression coefficients (Normal(0, 1)), the intercept (Student-t(3, 0, 2.5)), and the residual standard deviation (Exponential(1)). Four chains were run for 4,000 iterations each with 1,000 warmup iterations and adapt_delta = 0.95, yielding 12,000 post-warmup posterior draws per parameter. A secondary Bayesian model additionally included a melatonin × metacognition interaction to provide a Bayesian counterpart of the metacontrol test (Section 2.5.5). This analysis is not a replacement for the primary frequentist results; it is a robustness check evaluating whether the posterior pattern reproduces the main conclusion that internal behavioral drivers account for substantially more daily mood variation than the external melatonin probe.</w:t>
      </w:r>
    </w:p>
    <w:p>
      <w:pPr>
        <w:pStyle w:val="Heading3"/>
        <w:spacing w:after="60" w:before="180" w:line="360"/>
      </w:pPr>
      <w:r>
        <w:rPr>
          <w:rFonts w:ascii="Times New Roman" w:cs="Times New Roman" w:eastAsia="Times New Roman" w:hAnsi="Times New Roman"/>
          <w:b/>
          <w:bCs/>
          <w:i/>
          <w:iCs/>
          <w:sz w:val="24"/>
          <w:szCs w:val="24"/>
        </w:rPr>
        <w:t xml:space="preserve">2.5.10 Multilevel (mixed-effects) robustness analysis</w:t>
      </w:r>
    </w:p>
    <w:p>
      <w:pPr>
        <w:spacing w:after="120" w:before="0" w:line="480"/>
        <w:jc w:val="both"/>
      </w:pPr>
      <w:r>
        <w:rPr>
          <w:rFonts w:ascii="Times New Roman" w:cs="Times New Roman" w:eastAsia="Times New Roman" w:hAnsi="Times New Roman"/>
          <w:sz w:val="24"/>
          <w:szCs w:val="24"/>
        </w:rPr>
        <w:t xml:space="preserve">The primary models in Section 2.5.1 were fit to daily mean mood, collapsing the up-to-three momentary observations recorded each day into a single value. Although this aggregation stabilizes daily estimates, it discards within-day variation and treats each day as a single observation. As a robustness check on the internal-versus-external comparison, the relation among the internal drivers, the external probe, and mood was therefore re-estimated at the momentary level using a linear mixed-effects model that retained every EMA observation and accounted for its nesting within days. Momentary mood was regressed on momentary agency and momentary metacognitive awareness (both grand-mean-centered) and the day’s melatonin indicator, with a random intercept for day:</w:t>
      </w:r>
    </w:p>
    <w:p>
      <w:pPr>
        <w:spacing w:after="120" w:before="0" w:line="480"/>
        <w:jc w:val="center"/>
      </w:pPr>
      <w:r>
        <w:rPr>
          <w:rFonts w:ascii="Times New Roman" w:cs="Times New Roman" w:eastAsia="Times New Roman" w:hAnsi="Times New Roman"/>
          <w:sz w:val="24"/>
          <w:szCs w:val="24"/>
        </w:rPr>
        <w:t xml:space="preserve">moodᵢⱼ = γ₀₀ + γ₁₀ · agencyᵢⱼ + γ₂₀ · metacognitionᵢⱼ + γ₃₀ · melatoninⱼ + u₀ⱼ + eᵢⱼ ,</w:t>
      </w:r>
    </w:p>
    <w:p>
      <w:pPr>
        <w:spacing w:after="120" w:before="0" w:line="480"/>
        <w:jc w:val="both"/>
      </w:pPr>
      <w:r>
        <w:rPr>
          <w:rFonts w:ascii="Times New Roman" w:cs="Times New Roman" w:eastAsia="Times New Roman" w:hAnsi="Times New Roman"/>
          <w:sz w:val="24"/>
          <w:szCs w:val="24"/>
        </w:rPr>
        <w:t xml:space="preserve">where i indexes the momentary observation within day j, u₀ⱼ ~ N(0, τ₀₀) is the day-level random intercept, and eᵢⱼ ~ N(0, σ²) is the within-day residual. The random intercept absorbs the between-day dependence that daily aggregation had otherwise handled by collapsing each day to its mean. Models were fit by restricted maximum likelihood in R 4.5 using lme4 (Bates, Mächler, Bolker, &amp; Walker, 2015), with Satterthwaite-approximated p-values from lmerTest (Kuznetsova, Brockhoff, &amp; Christensen, 2017). Between-day clustering was summarized by the intraclass correlation (ICC) from an unconditional model; variance explained was summarized by marginal R² (fixed effects only) and conditional R² (fixed effects plus random intercept). This analysis is restricted to the Day 18–70 window in which agency and metacognition were collected.</w:t>
      </w:r>
    </w:p>
    <w:p>
      <w:pPr>
        <w:pStyle w:val="Heading3"/>
        <w:spacing w:after="60" w:before="180" w:line="360"/>
      </w:pPr>
      <w:r>
        <w:rPr>
          <w:rFonts w:ascii="Times New Roman" w:cs="Times New Roman" w:eastAsia="Times New Roman" w:hAnsi="Times New Roman"/>
          <w:b/>
          <w:bCs/>
          <w:i/>
          <w:iCs/>
          <w:sz w:val="24"/>
          <w:szCs w:val="24"/>
        </w:rPr>
        <w:t xml:space="preserve">Software</w:t>
      </w:r>
    </w:p>
    <w:p>
      <w:pPr>
        <w:spacing w:after="120" w:before="0" w:line="480"/>
        <w:jc w:val="both"/>
      </w:pPr>
      <w:r>
        <w:rPr>
          <w:rFonts w:ascii="Times New Roman" w:cs="Times New Roman" w:eastAsia="Times New Roman" w:hAnsi="Times New Roman"/>
          <w:sz w:val="24"/>
          <w:szCs w:val="24"/>
        </w:rPr>
        <w:t xml:space="preserve">Primary analyses were performed in Python 3.11 using </w:t>
      </w:r>
      <w:r>
        <w:rPr>
          <w:rFonts w:ascii="Times New Roman" w:cs="Times New Roman" w:eastAsia="Times New Roman" w:hAnsi="Times New Roman"/>
          <w:i/>
          <w:iCs/>
          <w:sz w:val="24"/>
          <w:szCs w:val="24"/>
        </w:rPr>
        <w:t xml:space="preserve">statsmodels</w:t>
      </w:r>
      <w:r>
        <w:rPr>
          <w:rFonts w:ascii="Times New Roman" w:cs="Times New Roman" w:eastAsia="Times New Roman" w:hAnsi="Times New Roman"/>
          <w:sz w:val="24"/>
          <w:szCs w:val="24"/>
        </w:rPr>
        <w:t xml:space="preserve"> (Seabold &amp; Perktold, 2010) for OLS and state-space modeling, </w:t>
      </w:r>
      <w:r>
        <w:rPr>
          <w:rFonts w:ascii="Times New Roman" w:cs="Times New Roman" w:eastAsia="Times New Roman" w:hAnsi="Times New Roman"/>
          <w:i/>
          <w:iCs/>
          <w:sz w:val="24"/>
          <w:szCs w:val="24"/>
        </w:rPr>
        <w:t xml:space="preserve">scipy.stats</w:t>
      </w:r>
      <w:r>
        <w:rPr>
          <w:rFonts w:ascii="Times New Roman" w:cs="Times New Roman" w:eastAsia="Times New Roman" w:hAnsi="Times New Roman"/>
          <w:sz w:val="24"/>
          <w:szCs w:val="24"/>
        </w:rPr>
        <w:t xml:space="preserve"> for nonparametric tests, and </w:t>
      </w:r>
      <w:r>
        <w:rPr>
          <w:rFonts w:ascii="Times New Roman" w:cs="Times New Roman" w:eastAsia="Times New Roman" w:hAnsi="Times New Roman"/>
          <w:i/>
          <w:iCs/>
          <w:sz w:val="24"/>
          <w:szCs w:val="24"/>
        </w:rPr>
        <w:t xml:space="preserve">pandas</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NumPy</w:t>
      </w:r>
      <w:r>
        <w:rPr>
          <w:rFonts w:ascii="Times New Roman" w:cs="Times New Roman" w:eastAsia="Times New Roman" w:hAnsi="Times New Roman"/>
          <w:sz w:val="24"/>
          <w:szCs w:val="24"/>
        </w:rPr>
        <w:t xml:space="preserve"> for data handling. Figures were produced with </w:t>
      </w:r>
      <w:r>
        <w:rPr>
          <w:rFonts w:ascii="Times New Roman" w:cs="Times New Roman" w:eastAsia="Times New Roman" w:hAnsi="Times New Roman"/>
          <w:i/>
          <w:iCs/>
          <w:sz w:val="24"/>
          <w:szCs w:val="24"/>
        </w:rPr>
        <w:t xml:space="preserve">matplotlib</w:t>
      </w:r>
      <w:r>
        <w:rPr>
          <w:rFonts w:ascii="Times New Roman" w:cs="Times New Roman" w:eastAsia="Times New Roman" w:hAnsi="Times New Roman"/>
          <w:sz w:val="24"/>
          <w:szCs w:val="24"/>
        </w:rPr>
        <w:t xml:space="preserve">. Supplementary Bayesian robustness models were fit in R 4.5 using </w:t>
      </w:r>
      <w:r>
        <w:rPr>
          <w:rFonts w:ascii="Times New Roman" w:cs="Times New Roman" w:eastAsia="Times New Roman" w:hAnsi="Times New Roman"/>
          <w:i/>
          <w:iCs/>
          <w:sz w:val="24"/>
          <w:szCs w:val="24"/>
        </w:rPr>
        <w:t xml:space="preserve">brms</w:t>
      </w:r>
      <w:r>
        <w:rPr>
          <w:rFonts w:ascii="Times New Roman" w:cs="Times New Roman" w:eastAsia="Times New Roman" w:hAnsi="Times New Roman"/>
          <w:sz w:val="24"/>
          <w:szCs w:val="24"/>
        </w:rPr>
        <w:t xml:space="preserve"> (Bürkner, 2017) with Stan used for MCMC posterior sampling. Analysis code is available in the project repository described in Section 6. The multilevel robustness models (Section 3.7) were fit in R 4.5 using lme4 (Bates et al., 2015) and lmerTest (Kuznetsova et al., 2017).</w:t>
      </w:r>
    </w:p>
    <w:p>
      <w:pPr>
        <w:pStyle w:val="Heading1"/>
        <w:spacing w:after="240" w:before="360" w:line="360"/>
      </w:pPr>
      <w:r>
        <w:rPr>
          <w:rFonts w:ascii="Times New Roman" w:cs="Times New Roman" w:eastAsia="Times New Roman" w:hAnsi="Times New Roman"/>
          <w:b/>
          <w:bCs/>
          <w:sz w:val="28"/>
          <w:szCs w:val="28"/>
        </w:rPr>
        <w:t xml:space="preserve">3. Results</w:t>
      </w:r>
    </w:p>
    <w:p>
      <w:pPr>
        <w:pStyle w:val="Heading2"/>
        <w:spacing w:after="120" w:before="240" w:line="360"/>
      </w:pPr>
      <w:r>
        <w:rPr>
          <w:rFonts w:ascii="Times New Roman" w:cs="Times New Roman" w:eastAsia="Times New Roman" w:hAnsi="Times New Roman"/>
          <w:b/>
          <w:bCs/>
          <w:sz w:val="26"/>
          <w:szCs w:val="26"/>
        </w:rPr>
        <w:t xml:space="preserve">3.1 Sample and Descriptive Statistics</w:t>
      </w:r>
    </w:p>
    <w:p>
      <w:pPr>
        <w:spacing w:after="120" w:before="0" w:line="480"/>
        <w:jc w:val="both"/>
      </w:pPr>
      <w:r>
        <w:rPr>
          <w:rFonts w:ascii="Times New Roman" w:cs="Times New Roman" w:eastAsia="Times New Roman" w:hAnsi="Times New Roman"/>
          <w:sz w:val="24"/>
          <w:szCs w:val="24"/>
        </w:rPr>
        <w:t>Of 210 planned EMA observations across the 70-day study window (2026-02-18 to 2026-04-29), 195 were recorded, yielding a compliance rate of 92.9% (54 study days with three observations, 13 with two, 2 with one, and 1 with five). As described in Section 2.3, the protocol’s 70-day randomized schedule yielded 35 control and 35 melatonin study days (Day 44, whose EMA pings spanned two adjacent calendar dates, was aggregated into a single study-day observation). Within the Day 18–70 window in which agency and metacognition were also collected, 27 control and 26 melatonin days yielded 144 complete observations.</w:t>
      </w:r>
    </w:p>
    <w:p>
      <w:pPr>
        <w:spacing w:after="120" w:before="0" w:line="480"/>
        <w:jc w:val="both"/>
      </w:pPr>
      <w:r>
        <w:rPr>
          <w:rFonts w:ascii="Times New Roman" w:cs="Times New Roman" w:eastAsia="Times New Roman" w:hAnsi="Times New Roman"/>
          <w:sz w:val="24"/>
          <w:szCs w:val="24"/>
        </w:rPr>
        <w:t>Daily mean mood was high overall (M = 77.13, SD = 5.50), with a range from 60.00 to 86.50 across the 70-day window. By condition, daily mood averaged 76.67 (SD = 6.41) on control days and 77.59 (SD = 4.45) on melatonin days. Daily agency averaged 77.71 (SD = 4.50) on control days and 78.50 (SD = 3.19) on melatonin days. Daily metacognition averaged 79.39 (SD = 3.98) on control days and 80.17 (SD = 3.25) on melatonin days. The descriptive time series of daily mean mood and of all 195 momentary mood observations are shown in Figures 1 and 2, respectively, with melatonin and control days color-coded.</w:t>
      </w:r>
    </w:p>
    <w:p>
      <w:pPr>
        <w:spacing w:after="60" w:before="240"/>
        <w:jc w:val="center"/>
      </w:pPr>
      <w:r>
        <w:drawing>
          <wp:inline distT="0" distB="0" distL="0" distR="0">
            <wp:extent cx="5138208" cy="2245587"/>
            <wp:effectExtent t="0" r="0" b="0" l="0"/>
            <wp:docPr id="1" name="fig1_daily_mood_timeseries.png" descr="Daily mean mood across the 70-day window. Each dot represents the average of up to three EMA observations on that day, colored by daily condition. The light gray line connects daily means; the dotted vertical line at Day 18 marks the point at which agency and metacognition items were added to the protocol."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38208" cy="2245587"/>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1. </w:t>
      </w:r>
      <w:r>
        <w:rPr>
          <w:rFonts w:ascii="Times New Roman" w:cs="Times New Roman" w:eastAsia="Times New Roman" w:hAnsi="Times New Roman"/>
          <w:sz w:val="22"/>
          <w:szCs w:val="22"/>
        </w:rPr>
        <w:t xml:space="preserve">Daily mean mood across the 70-day window.</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Each dot represents the average of up to three EMA observations on that day, colored by daily condition (control or melatonin). The light gray line connects daily means; the dotted vertical line at Day 18 marks the point at which agency and metacognition items were added to the protocol.</w:t>
      </w:r>
    </w:p>
    <w:p>
      <w:pPr>
        <w:spacing w:after="60" w:before="240"/>
        <w:jc w:val="center"/>
      </w:pPr>
      <w:r>
        <w:drawing>
          <wp:inline distT="0" distB="0" distL="0" distR="0">
            <wp:extent cx="5138208" cy="2245587"/>
            <wp:effectExtent t="0" r="0" b="0" l="0"/>
            <wp:docPr id="1" name="fig2_ema_timeseries.png" descr="All 195 momentary mood observations across the 70-day window, colored by daily condition. The dark line shows the 7-day rolling mean of daily mood, indicating a gradual upward trend that stabilizes from approximately Day 40 onwar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38208" cy="2245587"/>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2. </w:t>
      </w:r>
      <w:r>
        <w:rPr>
          <w:rFonts w:ascii="Times New Roman" w:cs="Times New Roman" w:eastAsia="Times New Roman" w:hAnsi="Times New Roman"/>
          <w:sz w:val="22"/>
          <w:szCs w:val="22"/>
        </w:rPr>
        <w:t xml:space="preserve">All momentary mood observations with 7-day rolling mean.</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All 195 momentary mood observations are colored by daily condition. The dark line shows the 7-day rolling mean, indicating a gradual upward trend that stabilizes from approximately Day 40 onward.</w:t>
      </w:r>
    </w:p>
    <w:p>
      <w:pPr>
        <w:pStyle w:val="Heading2"/>
        <w:spacing w:after="120" w:before="240" w:line="360"/>
      </w:pPr>
      <w:r>
        <w:rPr>
          <w:rFonts w:ascii="Times New Roman" w:cs="Times New Roman" w:eastAsia="Times New Roman" w:hAnsi="Times New Roman"/>
          <w:b/>
          <w:bCs/>
          <w:sz w:val="26"/>
          <w:szCs w:val="26"/>
        </w:rPr>
        <w:t xml:space="preserve">3.2 Internal Drivers as Primary Predictors of Daily Mood</w:t>
      </w:r>
    </w:p>
    <w:p>
      <w:pPr>
        <w:spacing w:after="120" w:before="0" w:line="480"/>
        <w:jc w:val="both"/>
      </w:pPr>
      <w:r>
        <w:rPr>
          <w:rFonts w:ascii="Times New Roman" w:cs="Times New Roman" w:eastAsia="Times New Roman" w:hAnsi="Times New Roman"/>
          <w:sz w:val="24"/>
          <w:szCs w:val="24"/>
        </w:rPr>
        <w:t>Three nested autoregressive models were fit to daily mean mood on the Day 18–70 subsample (n = 53 days; Table 1). The baseline AR(1) model (M0) yielded φ = 0.34, 95% CI [0.08, 0.61], p = .013, accounting for 11.6% of the variance in daily mood and confirming the presence of day-to-day emotional inertia. Adding the melatonin probe (M1) increased explained variance only marginally (R² = 0.125, ΔR² = 0.009; β = 0.72, 95% CI [−1.25, 2.69], p = .466). Adding the two internal drivers (M2) increased explained variance dramatically (R² = 0.641, adjusted R² = 0.611).</w:t>
      </w:r>
    </w:p>
    <w:p>
      <w:pPr>
        <w:spacing w:after="120" w:before="0" w:line="480"/>
        <w:jc w:val="both"/>
      </w:pPr>
      <w:r>
        <w:rPr>
          <w:rFonts w:ascii="Times New Roman" w:cs="Times New Roman" w:eastAsia="Times New Roman" w:hAnsi="Times New Roman"/>
          <w:sz w:val="24"/>
          <w:szCs w:val="24"/>
        </w:rPr>
        <w:t>In the full M2 model, agency emerged as a strong positive predictor of daily mood (β = 0.53, 95% CI [0.32, 0.73], p &lt; .001), as did metacognition (β = 0.45, 95% CI [0.22, 0.69], p &lt; .001). The melatonin coefficient was estimated near zero (β = −0.07, 95% CI [−1.37, 1.24], p = .919). The autoregressive coefficient flipped sign in the full model and was no longer reliably distinguishable from zero (β = −0.14, 95% CI [−0.36, 0.07], p = .181), suggesting that the apparent emotional inertia detected by M0 was substantially absorbed by the two internal drivers once they were included as predictors.</w:t>
      </w:r>
    </w:p>
    <w:p>
      <w:pPr>
        <w:spacing w:after="60" w:before="240" w:line="320"/>
      </w:pPr>
      <w:r>
        <w:rPr>
          <w:rFonts w:ascii="Times New Roman" w:cs="Times New Roman" w:eastAsia="Times New Roman" w:hAnsi="Times New Roman"/>
          <w:b/>
          <w:bCs/>
          <w:i/>
          <w:iCs/>
          <w:sz w:val="22"/>
          <w:szCs w:val="22"/>
        </w:rPr>
        <w:t xml:space="preserve">Table 1. </w:t>
      </w:r>
      <w:r>
        <w:rPr>
          <w:rFonts w:ascii="Times New Roman" w:cs="Times New Roman" w:eastAsia="Times New Roman" w:hAnsi="Times New Roman"/>
          <w:i/>
          <w:iCs/>
          <w:sz w:val="22"/>
          <w:szCs w:val="22"/>
        </w:rPr>
        <w:t xml:space="preserve">Coefficient estimates for nested autoregressive models of daily mood.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100"/>
        <w:gridCol w:w="3000"/>
        <w:gridCol w:w="1760"/>
      </w:tblGrid>
      <w:tr>
        <w:tc>
          <w:tcPr>
            <w:tcW w:type="dxa" w:w="24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i w:val="false"/>
                <w:iCs w:val="false"/>
                <w:sz w:val="20"/>
                <w:szCs w:val="20"/>
              </w:rPr>
              <w:t xml:space="preserve">Term</w:t>
            </w:r>
          </w:p>
        </w:tc>
        <w:tc>
          <w:tcPr>
            <w:tcW w:type="dxa" w:w="1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β</w:t>
            </w:r>
          </w:p>
        </w:tc>
        <w:tc>
          <w:tcPr>
            <w:tcW w:type="dxa" w:w="1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SE</w:t>
            </w:r>
          </w:p>
        </w:tc>
        <w:tc>
          <w:tcPr>
            <w:tcW w:type="dxa" w:w="30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95% CI</w:t>
            </w:r>
          </w:p>
        </w:tc>
        <w:tc>
          <w:tcPr>
            <w:tcW w:type="dxa" w:w="17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p</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M0: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51.73</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10.38</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[30.88, 72.58]</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M0: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[0.08, 0.61]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51.34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10.45</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[30.36, 72.32]</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[0.08, 0.61]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melatonin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0.72</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0.98</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[−1.25, 2.69]</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.466</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12.75</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8.29</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[−3.92, 29.41]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.131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0.11</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[−0.36, 0.07]</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.181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melatonin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−0.07</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0.65</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[−1.37, 1.24]</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.919</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M2: agency</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0.53</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0.10</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[0.32, 0.73]</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M2: metacognition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0.45</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0.12</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[0.22, 0.69]</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&lt; .001</w:t>
            </w:r>
          </w:p>
        </w:tc>
      </w:tr>
    </w:tbl>
    <w:p>
      <w:pPr>
        <w:spacing w:after="240" w:before="60" w:line="32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All models fit on the Day 18–70 subsample (n = 53 days). M0: R² = .116, adjusted R² = .099. M1: R² = .125, adjusted R² = .090. M2: R² = .641, adjusted R² = .611. Predictors are on their original 0–100 scales. M2 residuals showed no remaining serial dependence (Ljung–Box p &gt; .16 at lags 1, 5, 10) and were approximately normal (Shapiro–Wilk W = 0.98, p = .483).</w:t>
      </w:r>
    </w:p>
    <w:p>
      <w:pPr>
        <w:spacing w:after="120" w:before="0" w:line="480"/>
        <w:jc w:val="both"/>
      </w:pPr>
      <w:r>
        <w:rPr>
          <w:rFonts w:ascii="Times New Roman" w:cs="Times New Roman" w:eastAsia="Times New Roman" w:hAnsi="Times New Roman"/>
          <w:sz w:val="24"/>
          <w:szCs w:val="24"/>
        </w:rPr>
        <w:t>The drop-one incremental R² comparison made the magnitudes of these contributions directly comparable (Figure 3). Agency uniquely accounted for 19.7% of the variance in daily mood beyond what the other predictors in M2 captured; metacognition uniquely accounted for 11.0%; melatonin uniquely accounted for 0.01%. The internal-driver block (agency and metacognition jointly) accounted for 51.5% of the variance beyond the autoregressive-plus-melatonin model (M1), raising R² from .125 (M1) to .641 (M2). Because agency and metacognition are themselves correlated, this joint contribution exceeds the sum of their unique drop-one contributions (19.7% and 11.0%); the difference reflects variance the two share.</w:t>
      </w:r>
    </w:p>
    <w:p>
      <w:pPr>
        <w:spacing w:after="60" w:before="240"/>
        <w:jc w:val="center"/>
      </w:pPr>
      <w:r>
        <w:drawing>
          <wp:inline distT="0" distB="0" distL="0" distR="0">
            <wp:extent cx="5138208" cy="3043016"/>
            <wp:effectExtent t="0" r="0" b="0" l="0"/>
            <wp:docPr id="1" name="fig7_delta_r2_DRAFT.png" descr="Incremental R² for each predictor in the full AR(1)-with-exogenous-inputs model, computed as the drop in R² when that predictor is removed. Agency and metacognition together account for over half of the day-to-day variance in mood; the melatonin probe accounts for essentially non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38208" cy="3043016"/>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3. </w:t>
      </w:r>
      <w:r>
        <w:rPr>
          <w:rFonts w:ascii="Times New Roman" w:cs="Times New Roman" w:eastAsia="Times New Roman" w:hAnsi="Times New Roman"/>
          <w:sz w:val="22"/>
          <w:szCs w:val="22"/>
        </w:rPr>
        <w:t xml:space="preserve">Incremental R² for each predictor in the AR(1) model.</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Incremental R² is computed as the drop in R² when that predictor is removed from the full AR(1)-with-exogenous-inputs model. Agency and metacognition together account for over half of the day-to-day variance in mood; the melatonin probe accounts for essentially none.</w:t>
      </w:r>
    </w:p>
    <w:p>
      <w:pPr>
        <w:spacing w:after="120" w:before="0" w:line="480"/>
        <w:jc w:val="both"/>
      </w:pPr>
      <w:r>
        <w:rPr>
          <w:rFonts w:ascii="Times New Roman" w:cs="Times New Roman" w:eastAsia="Times New Roman" w:hAnsi="Times New Roman"/>
          <w:sz w:val="24"/>
          <w:szCs w:val="24"/>
        </w:rPr>
        <w:t>The same qualitative pattern was recovered in a supplementary Bayesian analysis with weakly informative priors on all model parameters, with high posterior probability for the agency and metacognition coefficients (see Section 3.6). A multilevel re-analysis of all 144 momentary observations, without daily aggregation, reproduced the same pattern (Section 3.7).</w:t>
      </w:r>
    </w:p>
    <w:p>
      <w:pPr>
        <w:pStyle w:val="Heading2"/>
        <w:spacing w:after="120" w:before="240" w:line="360"/>
      </w:pPr>
      <w:r>
        <w:rPr>
          <w:rFonts w:ascii="Times New Roman" w:cs="Times New Roman" w:eastAsia="Times New Roman" w:hAnsi="Times New Roman"/>
          <w:b/>
          <w:bCs/>
          <w:sz w:val="26"/>
          <w:szCs w:val="26"/>
        </w:rPr>
        <w:t xml:space="preserve">3.3 Emotional Inertia and Latent State</w:t>
      </w:r>
    </w:p>
    <w:p>
      <w:pPr>
        <w:spacing w:after="120" w:before="0" w:line="480"/>
        <w:jc w:val="both"/>
      </w:pPr>
      <w:r>
        <w:rPr>
          <w:rFonts w:ascii="Times New Roman" w:cs="Times New Roman" w:eastAsia="Times New Roman" w:hAnsi="Times New Roman"/>
          <w:sz w:val="24"/>
          <w:szCs w:val="24"/>
        </w:rPr>
        <w:t>Three estimates of emotional inertia were computed at different sampling resolutions and windows. At the observation level (n = 194 lag-1 pairs across the full 195-observation sample), AR(1) estimation yielded φ_obs = 0.23, 95% CI [0.09, 0.37], p = .001. At the daily level computed on the full 70-day sample (n = 69 lag-1 pairs), φ_day ≈ 0.42 (Figure 4; OLS point estimate φ̂ = 0.4204, rounded for reporting consistency with the figure). On the Day 18–70 subsample used in the nested-model comparison reported in Section 3.2 (n = 53), the corresponding daily-level coefficient was φ = 0.34 (M0 in Table 1). The two daily-level estimates differ because of the sample window: the first 17 days of mood-only data contribute substantial early variability (cf. Figure 1) that is excluded from the nested-model subsample. The system's typical daily emotional inertia is best characterized by the full-sample estimate φ ≈ 0.42; the smaller nested-model coefficient should be interpreted as a within-window estimate constrained by data availability.</w:t>
      </w:r>
    </w:p>
    <w:p>
      <w:pPr>
        <w:spacing w:after="60" w:before="240"/>
        <w:jc w:val="center"/>
      </w:pPr>
      <w:r>
        <w:drawing>
          <wp:inline distT="0" distB="0" distL="0" distR="0">
            <wp:extent cx="5138208" cy="4734683"/>
            <wp:effectExtent t="0" r="0" b="0" l="0"/>
            <wp:docPr id="1" name="fig4_lag1_autocorrelation.png" descr="Lag-1 autocorrelation of daily mood, computed on the full 70-day sample. Each point represents one observation pair (mood at day t plotted against mood at day t − 1). The red regression line corresponds to the daily-level AR(1) coefficient (φ ≈ 0.43); the dashed line shows the y = x referenc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38208" cy="4734683"/>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4. </w:t>
      </w:r>
      <w:r>
        <w:rPr>
          <w:rFonts w:ascii="Times New Roman" w:cs="Times New Roman" w:eastAsia="Times New Roman" w:hAnsi="Times New Roman"/>
          <w:sz w:val="22"/>
          <w:szCs w:val="22"/>
        </w:rPr>
        <w:t xml:space="preserve">Lag-1 autocorrelation of daily mood across the 70-day sample.</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Each point represents one observation pair (mood at day t plotted against mood at day t − 1). The red regression line corresponds to the OLS estimate φ_day ≈ 0.42.</w:t>
      </w:r>
    </w:p>
    <w:p>
      <w:pPr>
        <w:spacing w:after="60" w:before="240"/>
        <w:jc w:val="center"/>
      </w:pPr>
      <w:r>
        <w:drawing>
          <wp:inline distT="0" distB="0" distL="0" distR="0">
            <wp:extent cx="5138208" cy="2139473"/>
            <wp:effectExtent t="0" r="0" b="0" l="0"/>
            <wp:docPr id="1" name="fig6_irf_decay_DRAFT.png" descr="Impulse response and half-life of an affective perturbation, computed from the estimated AR(1) coefficients. Panel (a) shows the observation-level IRF using φ_obs = 0.23, with a within-day half-life of approximately 2.9 hours. Panel (b) shows the day-level IRF using the full-sample coefficient φ_day ≈ 0.43, with a half-life of 0.82 day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38208" cy="2139473"/>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5. </w:t>
      </w:r>
      <w:r>
        <w:rPr>
          <w:rFonts w:ascii="Times New Roman" w:cs="Times New Roman" w:eastAsia="Times New Roman" w:hAnsi="Times New Roman"/>
          <w:sz w:val="22"/>
          <w:szCs w:val="22"/>
        </w:rPr>
        <w:t xml:space="preserve">Impulse response and half-life of an affective perturbation.</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Computed from the estimated AR(1) coefficients. Panel (a) shows the observation-level IRF using φ_obs = 0.23, with a within-day half-life of approximately 2.9 hours given a 6.17-hour median between-prompt interval. Panel (b) shows the daily-level IRF using the full-sample coefficient φ_day ≈ 0.42, with a half-life of 0.80 days.</w:t>
      </w:r>
    </w:p>
    <w:p>
      <w:pPr>
        <w:spacing w:after="120" w:before="0" w:line="480"/>
        <w:jc w:val="both"/>
      </w:pPr>
      <w:r>
        <w:rPr>
          <w:rFonts w:ascii="Times New Roman" w:cs="Times New Roman" w:eastAsia="Times New Roman" w:hAnsi="Times New Roman"/>
          <w:sz w:val="24"/>
          <w:szCs w:val="24"/>
        </w:rPr>
        <w:t>The local-level state-space model (Section 2.5.2) decomposed the observed daily mood series into a smoothed latent trajectory and observation noise. Maximum-likelihood estimates were σ²_v = 17.40 (observation noise) and σ²_w = 1.09 (latent state innovation), implying a signal-to-noise ratio of 0.063. The smoothed latent state and its 95% confidence band are shown in Figure 6. The latent series rises from approximately 70 in the first ten days to approximately 80 by Day 40 and remains in the high 70s thereafter, suggesting a slow upward trend across the 70-day window that is largely independent of condition assignment.</w:t>
      </w:r>
    </w:p>
    <w:p>
      <w:pPr>
        <w:spacing w:after="60" w:before="240"/>
        <w:jc w:val="center"/>
      </w:pPr>
      <w:r>
        <w:drawing>
          <wp:inline distT="0" distB="0" distL="0" distR="0">
            <wp:extent cx="5138208" cy="2356621"/>
            <wp:effectExtent t="0" r="0" b="0" l="0"/>
            <wp:docPr id="1" name="fig5_kalman_latent_state_DRAFT.png" descr="Kalman-smoothed latent affective state across the 70-day window. The dark line shows the smoothed latent state estimate; the gray band shows the 95% confidence interval. Daily observed means are plotted as dots, colored by condition. The latent trajectory's low signal-to-noise ratio (σ²_w / σ²_v = 0.063) indicates that most short-timescale day-to-day variation is sampling and measurement noise around a slowly drifting underlying stat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38208" cy="2356621"/>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6. </w:t>
      </w:r>
      <w:r>
        <w:rPr>
          <w:rFonts w:ascii="Times New Roman" w:cs="Times New Roman" w:eastAsia="Times New Roman" w:hAnsi="Times New Roman"/>
          <w:sz w:val="22"/>
          <w:szCs w:val="22"/>
        </w:rPr>
        <w:t xml:space="preserve">Kalman-smoothed latent affective state across the 70-day window.</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The dark line shows the Kalman-smoothed latent state estimate; the gray band shows the 95% confidence interval. Daily observed means are plotted as light points for reference. The latent series rises from approximately 70 in the first ten days to approximately 80 by Day 40 and remains in the high range thereafter.</w:t>
      </w:r>
    </w:p>
    <w:p>
      <w:pPr>
        <w:pStyle w:val="Heading2"/>
        <w:spacing w:after="120" w:before="240" w:line="360"/>
      </w:pPr>
      <w:r>
        <w:rPr>
          <w:rFonts w:ascii="Times New Roman" w:cs="Times New Roman" w:eastAsia="Times New Roman" w:hAnsi="Times New Roman"/>
          <w:b/>
          <w:bCs/>
          <w:sz w:val="26"/>
          <w:szCs w:val="26"/>
        </w:rPr>
        <w:t xml:space="preserve">3.4 Melatonin Probe: Null on Mean, Suggestive on Variability</w:t>
      </w:r>
    </w:p>
    <w:p>
      <w:pPr>
        <w:spacing w:after="120" w:before="0" w:line="480"/>
        <w:jc w:val="both"/>
      </w:pPr>
      <w:r>
        <w:rPr>
          <w:rFonts w:ascii="Times New Roman" w:cs="Times New Roman" w:eastAsia="Times New Roman" w:hAnsi="Times New Roman"/>
          <w:sz w:val="24"/>
          <w:szCs w:val="24"/>
        </w:rPr>
        <w:t>Consistent with the M1 result above, the between-condition comparison of daily mean mood yielded a small and non-significant difference: melatonin minus control = +0.92 mood points, Welch t(60.6) = 0.70, p = .489, Cohen's d = 0.17 (Figure 7). Within the framing developed in Section 1.2, this null on the mean is interpreted as identifying the system's sensitivity boundary on the level dimension of mood: a probe of this magnitude does not detectably shift the mean.</w:t>
      </w:r>
    </w:p>
    <w:p>
      <w:pPr>
        <w:spacing w:after="60" w:before="240"/>
        <w:jc w:val="center"/>
      </w:pPr>
      <w:r>
        <w:drawing>
          <wp:inline distT="0" distB="0" distL="0" distR="0">
            <wp:extent cx="5138208" cy="2135666"/>
            <wp:effectExtent t="0" r="0" b="0" l="0"/>
            <wp:docPr id="1" name="fig3_condition_comparison.png" descr="Between-condition comparison of daily mood, agency, and metacognition. Boxes show interquartile range; horizontal lines show medians; jittered points show individual days. Mean differences (melatonin minus control) are annotated above each panel and are small for all three variabl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38208" cy="2135666"/>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7. </w:t>
      </w:r>
      <w:r>
        <w:rPr>
          <w:rFonts w:ascii="Times New Roman" w:cs="Times New Roman" w:eastAsia="Times New Roman" w:hAnsi="Times New Roman"/>
          <w:sz w:val="22"/>
          <w:szCs w:val="22"/>
        </w:rPr>
        <w:t xml:space="preserve">Between-condition comparison of daily mood, agency, and metacognition.</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Boxes show interquartile range; horizontal lines show medians; jittered points show individual days. Mean differences (melatonin minus control) are annotated within each panel and are small for all three variables.</w:t>
      </w:r>
    </w:p>
    <w:p>
      <w:pPr>
        <w:spacing w:after="120" w:before="0" w:line="480"/>
        <w:jc w:val="both"/>
      </w:pPr>
      <w:r>
        <w:rPr>
          <w:rFonts w:ascii="Times New Roman" w:cs="Times New Roman" w:eastAsia="Times New Roman" w:hAnsi="Times New Roman"/>
          <w:sz w:val="24"/>
          <w:szCs w:val="24"/>
        </w:rPr>
        <w:t>The variability analyses (Section 2.5.6) yielded a more nuanced picture. Three of four indices pointed in the same direction, with melatonin days showing lower mood variability than control days: daily mood SD was 4.45 (melatonin) versus 6.41 (control); MSSD across within-condition runs was 57.35 versus 88.26; observation-level mood SD was 6.54 versus 8.26. The univariate Levene and MSSD tests did not reach significance (Levene W = 1.94, p = .168; MSSD Welch t = −0.94, p = .355). The heteroskedasticity model regressing log-squared M2 residuals on the melatonin indicator, however, yielded a negative but non-significant coefficient (α₁ = −1.11, 95% CI [−2.31, +0.10], p = .071), with a point estimate indicating that the model's residual variance was smaller on melatonin days than on control days. The collective pattern, three direction-consistent variability indices, none of which reached conventional significance, is suggestive of a stability-enhancing rather than level-shifting effect of the probe, but the inferential support for any single test is modest and the present analysis cannot rule out that the heteroskedasticity finding is a chance result of multiple testing.</w:t>
      </w:r>
    </w:p>
    <w:p>
      <w:pPr>
        <w:spacing w:after="120" w:before="0" w:line="480"/>
        <w:jc w:val="both"/>
      </w:pPr>
      <w:r>
        <w:rPr>
          <w:rFonts w:ascii="Times New Roman" w:cs="Times New Roman" w:eastAsia="Times New Roman" w:hAnsi="Times New Roman"/>
          <w:sz w:val="24"/>
          <w:szCs w:val="24"/>
        </w:rPr>
        <w:t>The state-dependent decay analysis (Section 2.5.7) cohered with this pattern in direction. The interaction-augmented AR(1) yielded estimated φ_control = 0.48 and φ_melatonin = 0.22, with the lag-1 × melatonin interaction coefficient δ = −0.26, 95% CI [−0.79, +0.28], p = .343. Although this coefficient was not statistically distinguishable from zero, its direction, faster decay on melatonin days, is consistent with the variability findings above.</w:t>
      </w:r>
    </w:p>
    <w:p>
      <w:pPr>
        <w:pStyle w:val="Heading2"/>
        <w:spacing w:after="120" w:before="240" w:line="360"/>
      </w:pPr>
      <w:r>
        <w:rPr>
          <w:rFonts w:ascii="Times New Roman" w:cs="Times New Roman" w:eastAsia="Times New Roman" w:hAnsi="Times New Roman"/>
          <w:b/>
          <w:bCs/>
          <w:sz w:val="26"/>
          <w:szCs w:val="26"/>
        </w:rPr>
        <w:t xml:space="preserve">3.5 Metacontrol and Robustness</w:t>
      </w:r>
    </w:p>
    <w:p>
      <w:pPr>
        <w:spacing w:after="120" w:before="0" w:line="480"/>
        <w:jc w:val="both"/>
      </w:pPr>
      <w:r>
        <w:rPr>
          <w:rFonts w:ascii="Times New Roman" w:cs="Times New Roman" w:eastAsia="Times New Roman" w:hAnsi="Times New Roman"/>
          <w:sz w:val="24"/>
          <w:szCs w:val="24"/>
        </w:rPr>
        <w:t>The metacontrol interaction term β₃ was negative, as predicted by the metacontrol hypothesis (β₃ = −0.13), but not reliably distinguishable from zero (95% CI [−0.59, +0.33], p = .564). Simple-slope decomposition placed the melatonin slope at +0.66 at one standard deviation below mean metacognition, +0.17 at the mean, and −0.31 at one standard deviation above mean metacognition. The qualitative pattern is consistent with the metacontrol hypothesis (the apparent direction of the melatonin effect reverses across the metacognition continuum), but the present sample is underpowered to support this as a strong inferential claim.</w:t>
      </w:r>
    </w:p>
    <w:p>
      <w:pPr>
        <w:spacing w:after="120" w:before="0" w:line="480"/>
        <w:jc w:val="both"/>
      </w:pPr>
      <w:r>
        <w:rPr>
          <w:rFonts w:ascii="Times New Roman" w:cs="Times New Roman" w:eastAsia="Times New Roman" w:hAnsi="Times New Roman"/>
          <w:sz w:val="24"/>
          <w:szCs w:val="24"/>
        </w:rPr>
        <w:t>The agency × melatonin robustness check (Section 2.5.8) yielded an interaction coefficient indistinguishable from zero (β = −0.05, 95% CI [−0.41, +0.31], p = .791), indicating that the agency–mood relation was statistically identical in the two conditions. This supports the interpretation of agency as a robust internal organizer of affect within this individual: its predictive contribution does not depend on whether the external probe is present.</w:t>
      </w:r>
    </w:p>
    <w:p>
      <w:pPr>
        <w:pStyle w:val="Heading2"/>
        <w:spacing w:after="120" w:before="240" w:line="360"/>
      </w:pPr>
      <w:r>
        <w:rPr>
          <w:rFonts w:ascii="Times New Roman" w:cs="Times New Roman" w:eastAsia="Times New Roman" w:hAnsi="Times New Roman"/>
          <w:b/>
          <w:bCs/>
          <w:sz w:val="26"/>
          <w:szCs w:val="26"/>
        </w:rPr>
        <w:t xml:space="preserve">3.6 Supplementary Bayesian Robustness</w:t>
      </w:r>
    </w:p>
    <w:p>
      <w:pPr>
        <w:spacing w:after="120" w:before="0" w:line="480"/>
        <w:jc w:val="both"/>
      </w:pPr>
      <w:r>
        <w:rPr>
          <w:rFonts w:ascii="Times New Roman" w:cs="Times New Roman" w:eastAsia="Times New Roman" w:hAnsi="Times New Roman"/>
          <w:sz w:val="24"/>
          <w:szCs w:val="24"/>
        </w:rPr>
        <w:t xml:space="preserve">The supplementary Bayesian M2 regression (Section 2.5.9) reproduced the qualitative pattern of the primary frequentist analysis under different inferential assumptions (Table 2). The purpose of this analysis was not to replace the OLS model but to test whether the primary conclusion depended on the choice of estimation framework. If, under a Bayesian posterior, agency and metacognition remained reliably positive while melatonin remained centered near zero, the primary finding would be less likely to be an artifact of a single inferential approach.</w:t>
      </w:r>
    </w:p>
    <w:p>
      <w:pPr>
        <w:spacing w:after="120" w:before="0" w:line="480"/>
        <w:jc w:val="both"/>
      </w:pPr>
      <w:r>
        <w:rPr>
          <w:rFonts w:ascii="Times New Roman" w:cs="Times New Roman" w:eastAsia="Times New Roman" w:hAnsi="Times New Roman"/>
          <w:sz w:val="24"/>
          <w:szCs w:val="24"/>
        </w:rPr>
        <w:t>The posterior pattern was consistent with this expectation. The posterior effects for agency and metacognition were clearly positive in standardized units, with both 95% credible intervals well above zero and posterior probabilities of being greater than zero of essentially 1. The melatonin coefficient was centered near zero with a credible interval that spanned zero. The lagged-mood coefficient was attenuated and its credible interval included zero, consistent with the frequentist M2 in which apparent emotional inertia was absorbed by the internal drivers once they were included as predictors. All R-hat values were ≤ 1.001 and effective sample sizes exceeded 8,000 for every parameter, indicating excellent MCMC convergence.</w:t>
      </w:r>
    </w:p>
    <w:p>
      <w:pPr>
        <w:spacing w:after="60" w:before="240" w:line="320"/>
      </w:pPr>
      <w:r>
        <w:rPr>
          <w:rFonts w:ascii="Times New Roman" w:cs="Times New Roman" w:eastAsia="Times New Roman" w:hAnsi="Times New Roman"/>
          <w:b/>
          <w:bCs/>
          <w:i/>
          <w:iCs/>
          <w:sz w:val="22"/>
          <w:szCs w:val="22"/>
        </w:rPr>
        <w:t xml:space="preserve">Table 2. </w:t>
      </w:r>
      <w:r>
        <w:rPr>
          <w:rFonts w:ascii="Times New Roman" w:cs="Times New Roman" w:eastAsia="Times New Roman" w:hAnsi="Times New Roman"/>
          <w:i/>
          <w:iCs/>
          <w:sz w:val="22"/>
          <w:szCs w:val="22"/>
        </w:rPr>
        <w:t xml:space="preserve">Posterior summaries for the supplementary Bayesian M2 robustness regression.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200"/>
        <w:gridCol w:w="1200"/>
        <w:gridCol w:w="1660"/>
      </w:tblGrid>
      <w:tr>
        <w:tc>
          <w:tcPr>
            <w:tcW w:type="dxa" w:w="30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i w:val="false"/>
                <w:iCs w:val="false"/>
                <w:sz w:val="20"/>
                <w:szCs w:val="20"/>
              </w:rPr>
              <w:t xml:space="preserve">Parameter</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Posterior M</w:t>
            </w:r>
          </w:p>
        </w:tc>
        <w:tc>
          <w:tcPr>
            <w:tcW w:type="dxa" w:w="22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95% CrI</w:t>
            </w:r>
          </w:p>
        </w:tc>
        <w:tc>
          <w:tcPr>
            <w:tcW w:type="dxa" w:w="12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Pr(β &gt; 0)</w:t>
            </w:r>
          </w:p>
        </w:tc>
        <w:tc>
          <w:tcPr>
            <w:tcW w:type="dxa" w:w="16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R̂ / ESS_bulk</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Intercept</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+0.01</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[−0.24, +0.25]</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.53</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1.00 / 11699</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mood_t−1 (z)</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−0.14</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[−0.35, +0.07]</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1.00 / 8902</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melatonin</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−0.02</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[−0.36, +0.34]</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.46</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1.00 / 11315</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agency (z)</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+0.54</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[+0.33, +0.75]</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1.00</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1.00 / 8654</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metacognition (z)</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+0.44</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[+0.21, +0.67]</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1.00</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1.00 / 8035</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σ</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+0.64</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[+0.52, +0.78]</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n/a</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1.00 / 11519</w:t>
            </w:r>
          </w:p>
        </w:tc>
      </w:tr>
    </w:tbl>
    <w:p>
      <w:pPr>
        <w:spacing w:after="240" w:before="60" w:line="32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Day 18–70 subsample (n = 53). Continuous variables standardized; melatonin retained as 0/1. Priors: coefficients ~ Normal(0, 1); intercept ~ Student-t(3, 0, 2.5); σ ~ Exponential(1). Four MCMC chains yielded 12,000 post-warmup posterior draws. Posterior M = posterior mean. CrI = 95% equal-tailed credible interval. Pr(β &gt; 0) = proportion of posterior draws greater than zero. All R̂ values ≤ 1.001; ESS_bulk reported. All ESS_tail also exceeded 7,000 (not shown), indicating adequate sampling convergence.</w:t>
      </w:r>
    </w:p>
    <w:p>
      <w:pPr>
        <w:spacing w:after="120" w:before="0" w:line="480"/>
        <w:jc w:val="both"/>
      </w:pPr>
      <w:r>
        <w:rPr>
          <w:rFonts w:ascii="Times New Roman" w:cs="Times New Roman" w:eastAsia="Times New Roman" w:hAnsi="Times New Roman"/>
          <w:sz w:val="24"/>
          <w:szCs w:val="24"/>
        </w:rPr>
        <w:t>The Bayesian metacontrol model (Section 2.5.9, secondary) yielded a negative posterior mean for the melatonin × metacognition interaction (β = −0.04, 95% CrI [−0.39, +0.32], Pr(β &lt; 0) = .59), consistent with the hypothesized direction of metacognitive buffering but with a credible interval clearly spanning zero. The metacontrol interaction therefore remains direction-consistent but underpowered under both frequentist and Bayesian inferential frameworks, and is interpreted as suggestive rather than confirmatory.</w:t>
      </w:r>
    </w:p>
    <w:p>
      <w:pPr>
        <w:pStyle w:val="Heading2"/>
        <w:spacing w:after="120" w:before="240" w:line="360"/>
      </w:pPr>
      <w:r>
        <w:rPr>
          <w:rFonts w:ascii="Times New Roman" w:cs="Times New Roman" w:eastAsia="Times New Roman" w:hAnsi="Times New Roman"/>
          <w:b/>
          <w:bCs/>
          <w:sz w:val="26"/>
          <w:szCs w:val="26"/>
        </w:rPr>
        <w:t xml:space="preserve">3.7 Multilevel Robustness: Internal-Driver Dominance Without Aggregation</w:t>
      </w:r>
    </w:p>
    <w:p>
      <w:pPr>
        <w:spacing w:after="120" w:before="0" w:line="480"/>
        <w:jc w:val="both"/>
      </w:pPr>
      <w:r>
        <w:rPr>
          <w:rFonts w:ascii="Times New Roman" w:cs="Times New Roman" w:eastAsia="Times New Roman" w:hAnsi="Times New Roman"/>
          <w:sz w:val="24"/>
          <w:szCs w:val="24"/>
        </w:rPr>
        <w:t xml:space="preserve">An unconditional multilevel model confirmed that the momentary mood ratings were substantially clustered within days: approximately 32% of the variance in momentary mood lay between days (ICC = .32 in the full 195-observation sample; .26 within the Day 18–70 analysis window), confirming that the three daily pings are not independent and that a model accounting for this nesting, or aggregation to daily means, is required.</w:t>
      </w:r>
    </w:p>
    <w:p>
      <w:pPr>
        <w:spacing w:after="120" w:before="0" w:line="480"/>
        <w:jc w:val="both"/>
      </w:pPr>
      <w:r>
        <w:rPr>
          <w:rFonts w:ascii="Times New Roman" w:cs="Times New Roman" w:eastAsia="Times New Roman" w:hAnsi="Times New Roman"/>
          <w:sz w:val="24"/>
          <w:szCs w:val="24"/>
        </w:rPr>
        <w:t>Re-estimating the internal-versus-external comparison at the momentary level, on all 144 EMA observations rather than 53 daily means, reproduced the primary pattern (Table 3). Both internal drivers remained strong, reliably positive predictors of momentary mood: agency β = 0.34, 95% CI [0.22, 0.47], p &lt; .001; metacognition β = 0.48, 95% CI [0.34, 0.62], p &lt; .001. The melatonin probe, by contrast, remained indistinguishable from zero (β = 0.04, 95% CI [−1.22, 1.31], p = .946). The fixed effects jointly accounted for half of the variance in momentary mood (marginal R² = .50), comparable in magnitude to the internal-driver contribution estimated in the daily-aggregated model (Section 3.2); adding the day-level random intercept changed this little (conditional R² = .52), indicating that the internal drivers, rather than stable day-level offsets, carry most of the explained variance.</w:t>
      </w:r>
    </w:p>
    <w:p>
      <w:pPr>
        <w:spacing w:after="120" w:before="0" w:line="480"/>
        <w:jc w:val="both"/>
      </w:pPr>
      <w:r>
        <w:rPr>
          <w:rFonts w:ascii="Times New Roman" w:cs="Times New Roman" w:eastAsia="Times New Roman" w:hAnsi="Times New Roman"/>
          <w:sz w:val="24"/>
          <w:szCs w:val="24"/>
        </w:rPr>
        <w:t>The momentary-level coefficients differ slightly in magnitude from the daily-aggregated M2 estimates (agency 0.53, metacognition 0.45; Section 3.2). This is expected: the mixed-effects coefficients blend within-day and between-day association, whereas the daily-mean analysis estimated a purely between-day relation. A full within/between decomposition (person-mean centering of the momentary predictors) is left to future work. The present analysis establishes only that the study’s central conclusion, that internal behavioral drivers dominate the external probe, does not depend on daily aggregation: the daily-aggregated (Section 3.2), Bayesian (Section 3.6), and momentary multilevel analyses converge on the same ordering, agency ≈ metacognition ≫ melatonin ≈ 0.</w:t>
      </w:r>
    </w:p>
    <w:p>
      <w:pPr>
        <w:spacing w:after="60" w:before="240" w:line="320"/>
      </w:pPr>
      <w:r>
        <w:rPr>
          <w:rFonts w:ascii="Times New Roman" w:cs="Times New Roman" w:eastAsia="Times New Roman" w:hAnsi="Times New Roman"/>
          <w:b/>
          <w:bCs/>
          <w:i/>
          <w:iCs/>
          <w:sz w:val="22"/>
          <w:szCs w:val="22"/>
        </w:rPr>
        <w:t xml:space="preserve">Table 3. </w:t>
      </w:r>
      <w:r>
        <w:rPr>
          <w:rFonts w:ascii="Times New Roman" w:cs="Times New Roman" w:eastAsia="Times New Roman" w:hAnsi="Times New Roman"/>
          <w:i/>
          <w:iCs/>
          <w:sz w:val="22"/>
          <w:szCs w:val="22"/>
        </w:rPr>
        <w:t xml:space="preserve">Fixed-effect estimates for the multilevel (mixed-effects) robustness model of momentary mood.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200"/>
        <w:gridCol w:w="2200"/>
        <w:gridCol w:w="1660"/>
      </w:tblGrid>
      <w:tr>
        <w:tc>
          <w:tcPr>
            <w:tcW w:type="dxa" w:w="30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i w:val="false"/>
                <w:iCs w:val="false"/>
                <w:sz w:val="20"/>
                <w:szCs w:val="20"/>
              </w:rPr>
              <w:t xml:space="preserve">Term</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β</w:t>
            </w:r>
          </w:p>
        </w:tc>
        <w:tc>
          <w:tcPr>
            <w:tcW w:type="dxa" w:w="12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SE</w:t>
            </w:r>
          </w:p>
        </w:tc>
        <w:tc>
          <w:tcPr>
            <w:tcW w:type="dxa" w:w="22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95% CI</w:t>
            </w:r>
          </w:p>
        </w:tc>
        <w:tc>
          <w:tcPr>
            <w:tcW w:type="dxa" w:w="16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p</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i w:val="false"/>
                <w:iCs w:val="false"/>
                <w:sz w:val="20"/>
                <w:szCs w:val="20"/>
              </w:rPr>
              <w:t xml:space="preserve">Intercept</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78.47</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0.45</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[77.59, 79.34]</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&lt; .001</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i w:val="false"/>
                <w:iCs w:val="false"/>
                <w:sz w:val="20"/>
                <w:szCs w:val="20"/>
              </w:rPr>
              <w:t xml:space="preserve">Agency (centered)</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0.34</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0.06</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[0.22, 0.47]</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&lt; .001</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i w:val="false"/>
                <w:iCs w:val="false"/>
                <w:sz w:val="20"/>
                <w:szCs w:val="20"/>
              </w:rPr>
              <w:t xml:space="preserve">Metacognition (centered)</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0.48</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0.07</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[0.34, 0.62]</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&lt; .001</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i w:val="false"/>
                <w:iCs w:val="false"/>
                <w:sz w:val="20"/>
                <w:szCs w:val="20"/>
              </w:rPr>
              <w:t xml:space="preserve">Melatonin</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0.04</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0.64</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[−1.22, 1.31]</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.946</w:t>
            </w:r>
          </w:p>
        </w:tc>
      </w:tr>
    </w:tbl>
    <w:p>
      <w:pPr>
        <w:spacing w:after="240" w:before="60" w:line="32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n = 144 momentary observations nested within 53 days (Day 18–70; 27 control, 26 melatonin). Random intercept for day: variance = 0.74; within-day residual variance = 12.71. Marginal R² = .50 (fixed effects); conditional R² = .52 (fixed effects plus random intercept). Agency and metacognition were centered at their sample means (77.98 and 79.57); melatonin retained as a 0/1 indicator. Models fit by REML in lme4; 95% CIs are Wald intervals; p-values use the Satterthwaite approximation (lmerTest).</w:t>
      </w:r>
    </w:p>
    <w:p>
      <w:pPr>
        <w:pStyle w:val="Heading1"/>
        <w:spacing w:after="240" w:before="360" w:line="360"/>
      </w:pPr>
      <w:r>
        <w:rPr>
          <w:rFonts w:ascii="Times New Roman" w:cs="Times New Roman" w:eastAsia="Times New Roman" w:hAnsi="Times New Roman"/>
          <w:b/>
          <w:bCs/>
          <w:sz w:val="28"/>
          <w:szCs w:val="28"/>
        </w:rPr>
        <w:t xml:space="preserve">4. Discussion</w:t>
      </w:r>
    </w:p>
    <w:p>
      <w:pPr>
        <w:pStyle w:val="Heading2"/>
        <w:spacing w:after="120" w:before="240" w:line="360"/>
      </w:pPr>
      <w:r>
        <w:rPr>
          <w:rFonts w:ascii="Times New Roman" w:cs="Times New Roman" w:eastAsia="Times New Roman" w:hAnsi="Times New Roman"/>
          <w:b/>
          <w:bCs/>
          <w:sz w:val="26"/>
          <w:szCs w:val="26"/>
        </w:rPr>
        <w:t xml:space="preserve">4.1 The Melatonin Probe: Null on Level, by Design</w:t>
      </w:r>
    </w:p>
    <w:p>
      <w:pPr>
        <w:spacing w:after="120" w:before="0" w:line="480"/>
        <w:jc w:val="both"/>
      </w:pPr>
      <w:r>
        <w:rPr>
          <w:rFonts w:ascii="Times New Roman" w:cs="Times New Roman" w:eastAsia="Times New Roman" w:hAnsi="Times New Roman"/>
          <w:sz w:val="24"/>
          <w:szCs w:val="24"/>
        </w:rPr>
        <w:t>The most direct empirical question, whether melatonin shifts average daily mood, yielded a small and statistically non-significant mean difference. The point estimate was Δ = +0.92 on a 0–100 scale (d = 0.17), the M1 model added negligible variance over the AR(1) baseline (ΔR² = 0.009), and within the full model containing internal drivers the melatonin coefficient was essentially zero (β = −0.07, 95% CI [−1.37, +1.24]). Within a hypothesis-testing framework, this would constitute an inconclusive null: a non-significant result with insufficient evidence to support inference in either direction.</w:t>
      </w:r>
    </w:p>
    <w:p>
      <w:pPr>
        <w:spacing w:after="120" w:before="0" w:line="480"/>
        <w:jc w:val="both"/>
      </w:pPr>
      <w:r>
        <w:rPr>
          <w:rFonts w:ascii="Times New Roman" w:cs="Times New Roman" w:eastAsia="Times New Roman" w:hAnsi="Times New Roman"/>
          <w:sz w:val="24"/>
          <w:szCs w:val="24"/>
        </w:rPr>
        <w:t>Within a control-theoretic account of the system, melatonin is treated not as a candidate treatment but as a perturbation of known presence and absence, applied to characterize the system’s response function. From this vantage point, the relevant evidential question is not whether the probe’s contribution to the mean differs from zero but how it compares in magnitude to the contributions of the system’s endogenous drivers. The drop-one decomposition reported in Section 3.2 makes that comparison directly: on this individual’s data, agency and metacognition predict the affective trajectory while the external probe contributes effectively none. In the language of Section 1.2, this identifies a sensitivity boundary: at this individual’s measurement scale and over 70 days of observation, the system is functionally insensitive to a daily melatonin perturbation on the dimension of mean mood.</w:t>
      </w:r>
    </w:p>
    <w:p>
      <w:pPr>
        <w:spacing w:after="120" w:before="0" w:line="480"/>
        <w:jc w:val="both"/>
      </w:pPr>
      <w:r>
        <w:rPr>
          <w:rFonts w:ascii="Times New Roman" w:cs="Times New Roman" w:eastAsia="Times New Roman" w:hAnsi="Times New Roman"/>
          <w:sz w:val="24"/>
          <w:szCs w:val="24"/>
        </w:rPr>
        <w:t>The conclusion is constrained in two ways that should be made explicit. The 95% confidence interval on the M2 melatonin coefficient does not exclude small effects in either direction, and the present sample contains 53 days of full-model data and cannot rule out a small mean shift that would be detectable at higher power. The interpretation offered here is therefore not “melatonin has no effect on this person’s mood” but “melatonin’s contribution to this person’s daily mood, in the presence of measured internal drivers, is functionally negligible relative to those drivers.”</w:t>
      </w:r>
    </w:p>
    <w:p>
      <w:pPr>
        <w:pStyle w:val="Heading2"/>
        <w:spacing w:after="120" w:before="240" w:line="360"/>
      </w:pPr>
      <w:r>
        <w:rPr>
          <w:rFonts w:ascii="Times New Roman" w:cs="Times New Roman" w:eastAsia="Times New Roman" w:hAnsi="Times New Roman"/>
          <w:b/>
          <w:bCs/>
          <w:sz w:val="26"/>
          <w:szCs w:val="26"/>
        </w:rPr>
        <w:t xml:space="preserve">4.2 Internal Behavioral State as the Dominant Predictor of Daily Affect</w:t>
      </w:r>
    </w:p>
    <w:p>
      <w:pPr>
        <w:spacing w:after="120" w:before="0" w:line="480"/>
        <w:jc w:val="both"/>
      </w:pPr>
      <w:r>
        <w:rPr>
          <w:rFonts w:ascii="Times New Roman" w:cs="Times New Roman" w:eastAsia="Times New Roman" w:hAnsi="Times New Roman"/>
          <w:sz w:val="24"/>
          <w:szCs w:val="24"/>
        </w:rPr>
        <w:t>The most informative finding in this study is the magnitude of the internal-driver contribution. Daily perceived agency contributed an incremental 19.7% of variance to the daily-mood model after accounting for emotional inertia, the external probe, and metacognitive awareness. Daily metacognition contributed an incremental 11.0% under the same controls. Both effects were estimated with narrow confidence intervals and reliably distinguishable from zero (β_agency = 0.53, 95% CI [0.32, 0.73], p &lt; .001; β_metacog = 0.45, 95% CI [0.22, 0.69], p &lt; .001). The two internal drivers jointly raised the model R² from .125 (M1) to .641 (M2), an increase of more than half a unit of variance.</w:t>
      </w:r>
    </w:p>
    <w:p>
      <w:pPr>
        <w:spacing w:after="120" w:before="0" w:line="480"/>
        <w:jc w:val="both"/>
      </w:pPr>
      <w:r>
        <w:rPr>
          <w:rFonts w:ascii="Times New Roman" w:cs="Times New Roman" w:eastAsia="Times New Roman" w:hAnsi="Times New Roman"/>
          <w:sz w:val="24"/>
          <w:szCs w:val="24"/>
        </w:rPr>
        <w:t xml:space="preserve">This pattern fits the theoretical commitments developed in Section 1.3. Bandura’s (2001) claim that humans are best characterized as proactive, self-organizing, and self-regulating agents rather than as reactive organisms shepherded by environmental contingencies receives empirical support here at the individual level: the same person whose mood was largely insensitive to a daily pharmacological probe showed strong day-to-day mood responsiveness to her own sense of intentional progress. The construct’s quantitative behavior also fits Carver and Scheier’s (1990) control-process model: agency, operationalized as the perceived rate of progress toward valued goals, was the strongest predictor of mood among the variables tested, consistent with their proposal that mood is a real-time feedback signal about that rate.</w:t>
      </w:r>
    </w:p>
    <w:p>
      <w:pPr>
        <w:spacing w:after="120" w:before="0" w:line="480"/>
        <w:jc w:val="both"/>
      </w:pPr>
      <w:r>
        <w:rPr>
          <w:rFonts w:ascii="Times New Roman" w:cs="Times New Roman" w:eastAsia="Times New Roman" w:hAnsi="Times New Roman"/>
          <w:sz w:val="24"/>
          <w:szCs w:val="24"/>
        </w:rPr>
        <w:t>The agency × melatonin robustness check provided further evidence for agency as a stable internal organizer. The interaction coefficient was indistinguishable from zero (β = −0.05, 95% CI [−0.41, +0.31], p = .791), indicating that the agency–mood relation is statistically identical across the two conditions. The contribution of agency to daily mood does not depend on whether the participant has taken melatonin; the relation is invariant to the presence or absence of the external probe.</w:t>
      </w:r>
    </w:p>
    <w:p>
      <w:pPr>
        <w:spacing w:after="120" w:before="0" w:line="480"/>
        <w:jc w:val="both"/>
      </w:pPr>
      <w:r>
        <w:rPr>
          <w:rFonts w:ascii="Times New Roman" w:cs="Times New Roman" w:eastAsia="Times New Roman" w:hAnsi="Times New Roman"/>
          <w:sz w:val="24"/>
          <w:szCs w:val="24"/>
        </w:rPr>
        <w:t>The role of metacognition was somewhat more complex. As a main-effect predictor, metacognition contributed reliably to daily mood (β = 0.45, p &lt; .001), suggesting that the system’s awareness of its own state is itself bound up with its affective state. The metacontrol interaction, the prediction that higher metacognition would buffer the system against external perturbation, was direction-consistent but not statistically distinguishable from zero (β₃ = −0.13, 95% CI [−0.59, +0.33], p = .564). The simple-slope pattern, in which the apparent melatonin slope reversed sign across the metacognition continuum (from +0.66 at one SD below mean metacognition to −0.31 at one SD above), is consistent with the metacontrol hypothesis advanced by Metcalfe and Greene (2007) but underpowered to support it inferentially. Larger samples, or interventions that more strongly perturb the system, would be needed to evaluate this hypothesis more rigorously. The pattern is reported as a direction-consistent suggestion rather than as a confirmed effect.</w:t>
      </w:r>
    </w:p>
    <w:p>
      <w:pPr>
        <w:pStyle w:val="Heading2"/>
        <w:spacing w:after="120" w:before="240" w:line="360"/>
      </w:pPr>
      <w:r>
        <w:rPr>
          <w:rFonts w:ascii="Times New Roman" w:cs="Times New Roman" w:eastAsia="Times New Roman" w:hAnsi="Times New Roman"/>
          <w:b/>
          <w:bCs/>
          <w:sz w:val="26"/>
          <w:szCs w:val="26"/>
        </w:rPr>
        <w:t xml:space="preserve">4.3 A Suggestive Variability Signal: Probe Affects Stability, Not Level</w:t>
      </w:r>
    </w:p>
    <w:p>
      <w:pPr>
        <w:spacing w:after="120" w:before="0" w:line="480"/>
        <w:jc w:val="both"/>
      </w:pPr>
      <w:r>
        <w:rPr>
          <w:rFonts w:ascii="Times New Roman" w:cs="Times New Roman" w:eastAsia="Times New Roman" w:hAnsi="Times New Roman"/>
          <w:sz w:val="24"/>
          <w:szCs w:val="24"/>
        </w:rPr>
        <w:t>A more nuanced reading of the melatonin probe is supported by the variability analyses reported in Section 3.4. Three of four indices of mood variability pointed in the same direction, with melatonin days showing lower variability than control days. The univariate Levene and MSSD tests were direction-consistent but did not reach conventional significance. The most powerful test in this set, the heteroskedasticity model regressing log-squared M2 residuals on the melatonin indicator, pointed in the same direction but did not reach conventional significance (α₁ = −1.11, p = .071). The state-dependent decay analysis, although individually underpowered, was direction-consistent with this variability pattern: the daily AR(1) coefficient was lower on melatonin days (φ = 0.22) than on control days (φ = 0.48), implying faster recovery from perturbation on melatonin days.</w:t>
      </w:r>
    </w:p>
    <w:p>
      <w:pPr>
        <w:spacing w:after="120" w:before="0" w:line="480"/>
        <w:jc w:val="both"/>
      </w:pPr>
      <w:r>
        <w:rPr>
          <w:rFonts w:ascii="Times New Roman" w:cs="Times New Roman" w:eastAsia="Times New Roman" w:hAnsi="Times New Roman"/>
          <w:sz w:val="24"/>
          <w:szCs w:val="24"/>
        </w:rPr>
        <w:t xml:space="preserve">This pattern is consistent with the pharmacology of melatonin. Melatonin is a chronobiotic, not an antidepressant: its primary physiological function is the entrainment and stabilization of circadian rhythm, not the elevation of mood. A pharmacological agent that stabilizes the timing of the sleep–wake cycle is plausibly an agent that stabilizes the daily affective state without lifting it. Within the control-theoretic framing of the study, this would manifest as an effect on variance and decay-rate parameters of the system’s affective trajectory rather than as a shift in its mean. The pattern observed here is consistent with this interpretation but, given the modest inferential support for any single test and the multiple-testing context, should not be over-interpreted. A larger replication with a priori specification of variability as the primary outcome would be needed to evaluate this finding more rigorously.</w:t>
      </w:r>
    </w:p>
    <w:p>
      <w:pPr>
        <w:pStyle w:val="Heading2"/>
        <w:spacing w:after="120" w:before="240" w:line="360"/>
      </w:pPr>
      <w:r>
        <w:rPr>
          <w:rFonts w:ascii="Times New Roman" w:cs="Times New Roman" w:eastAsia="Times New Roman" w:hAnsi="Times New Roman"/>
          <w:b/>
          <w:bCs/>
          <w:sz w:val="26"/>
          <w:szCs w:val="26"/>
        </w:rPr>
        <w:t xml:space="preserve">4.4 Limitations</w:t>
      </w:r>
    </w:p>
    <w:p>
      <w:pPr>
        <w:spacing w:after="120" w:before="0" w:line="480"/>
        <w:jc w:val="both"/>
      </w:pPr>
      <w:r>
        <w:rPr>
          <w:rFonts w:ascii="Times New Roman" w:cs="Times New Roman" w:eastAsia="Times New Roman" w:hAnsi="Times New Roman"/>
          <w:sz w:val="24"/>
          <w:szCs w:val="24"/>
        </w:rPr>
        <w:t xml:space="preserve">The single-subject design limits external generalizability by construction; the findings cannot be generalized to other persons or to the same person at other points in time. Whether this individual exhibits unusually strong internal-driver organization, or whether a comparable contrast between internal-driver variance and external-probe variance is a general feature of human affect under stable environmental conditions, cannot be distinguished from a single-subject design. The variance contrast is informative about this system but not about whether the system is typical. The contribution claimed here is therefore methodological and theoretical (a template for control-theoretic single-system characterization, and an individual-level instance consistent with the agency framework) rather than evidence of inter-individual differences. Multi-subject extensions of the same idiographic pipeline are needed to evaluate whether the pattern reflects this person specifically or a broader regularity.</w:t>
      </w:r>
    </w:p>
    <w:p>
      <w:pPr>
        <w:spacing w:after="120" w:before="0" w:line="480"/>
        <w:jc w:val="both"/>
      </w:pPr>
      <w:r>
        <w:rPr>
          <w:rFonts w:ascii="Times New Roman" w:cs="Times New Roman" w:eastAsia="Times New Roman" w:hAnsi="Times New Roman"/>
          <w:sz w:val="24"/>
          <w:szCs w:val="24"/>
        </w:rPr>
        <w:t xml:space="preserve">Several measurement-level concerns constrain interpretation. Single-item momentary affect measures carry non-trivial measurement error (Dejonckheere et al., 2022), and the Day-18 protocol amendment restricts the data window for analyses involving agency and metacognition to 53 days, limiting statistical power for interaction tests. Mood, agency, and metacognitive awareness were all measured by single-item self-report at the same EMA prompt, while the melatonin indicator was recorded objectively. The three internal variables share an instrument, a reporter, and a response scale that the external probe does not; their covariance therefore carries a common-method component that may inflate the apparent predictive contribution of agency and metacognition. The variance contrast should be read as a comparison that favors the internal drivers on measurement grounds, not as a calibrated estimate across measurement modalities. Thrice-daily monitoring may also have increased the salience of these internal states and thereby their observed predictive contribution (Barta et al., 2012; Conner &amp; Reid, 2012).</w:t>
      </w:r>
    </w:p>
    <w:p>
      <w:pPr>
        <w:spacing w:after="120" w:before="0" w:line="480"/>
        <w:jc w:val="both"/>
      </w:pPr>
      <w:r>
        <w:rPr>
          <w:rFonts w:ascii="Times New Roman" w:cs="Times New Roman" w:eastAsia="Times New Roman" w:hAnsi="Times New Roman"/>
          <w:sz w:val="24"/>
          <w:szCs w:val="24"/>
        </w:rPr>
        <w:t xml:space="preserve">Several design choices warrant note. Blinding was partial; the participant was aware of having taken melatonin within minutes of bedtime, and complete blinding is not achievable in self-administered, self-reported N-of-1 designs. The melatonin dose (3 mg) was not titrated, and dose-response characterization is beyond the present scope. EMA timing was approximate: delayed responses were retained within one hour of the scheduled prompt, adding minor noise to observation-level analyses but unlikely to affect daily-mean analyses. The participant’s continuous use of a combined oral contraceptive (Section 2.2) suppressed cyclical affective variation associated with the menstrual cycle; while this served the design goal of reducing baseline noise, it also restricts generalizability, as the relative contribution of stable internal drivers might be diminished in the presence of stronger cyclically varying internal perturbations.</w:t>
      </w:r>
    </w:p>
    <w:p>
      <w:pPr>
        <w:spacing w:after="120" w:before="0" w:line="480"/>
        <w:jc w:val="both"/>
      </w:pPr>
      <w:r>
        <w:rPr>
          <w:rFonts w:ascii="Times New Roman" w:cs="Times New Roman" w:eastAsia="Times New Roman" w:hAnsi="Times New Roman"/>
          <w:sz w:val="24"/>
          <w:szCs w:val="24"/>
        </w:rPr>
        <w:t xml:space="preserve">Three inferential limitations should also be noted. The autoregressive lag in M2 does not resolve contemporaneous endogeneity between mood and the internal-driver variables; because the EMA protocol measures mood, agency, and metacognitive awareness simultaneously, the design cannot construct a cross-lagged identification, and the causal direction between affect and the felt sense of intentional progress cannot be tested. The analysis estimates predictive, not causal, contributions. The within-day temporal dependence between lagged mood and the internal drivers may also produce multicollinearity that partly inflates the internal-driver coefficients in M2: the sign reversal of the autoregressive coefficient when agency and metacognition are added (Section 3.2) is consistent with such absorption, and the present analysis does not formally distinguish substantive absorption from shared variance. Future replications should report variance inflation factors and fit cross-lagged structures. Finally, the variability findings (Section 3.4) derive significance support from a single test in a multi-test family; the direction-consistent pattern across four indices is informative, but the signal should be treated as suggestive pending pre-registered replication.</w:t>
      </w:r>
    </w:p>
    <w:p>
      <w:pPr>
        <w:spacing w:after="120" w:before="0" w:line="480"/>
        <w:jc w:val="both"/>
      </w:pPr>
      <w:r>
        <w:rPr>
          <w:rFonts w:ascii="Times New Roman" w:cs="Times New Roman" w:eastAsia="Times New Roman" w:hAnsi="Times New Roman"/>
          <w:sz w:val="24"/>
          <w:szCs w:val="24"/>
        </w:rPr>
        <w:t xml:space="preserve">A further interpretive consideration concerns the directness of the predictors compared. Agency and metacognitive awareness are subjective psychological variables measured at the same EMA prompt as mood, placing them in a contemporaneous and potentially mutually constitutive relation with affective state. Melatonin, by contrast, acts on mood only indirectly: a 3 mg evening dose is expected to shift sleep onset and circadian phase rather than mood per se, with downstream effects on next-day mood mediated through sleep variables not measured here. The variance contrast therefore also reflects this asymmetry between directly observed psychological correlates and a pharmacological probe whose effect must propagate through unmeasured physiological channels.</w:t>
      </w:r>
    </w:p>
    <w:p>
      <w:pPr>
        <w:pStyle w:val="Heading2"/>
        <w:spacing w:after="120" w:before="240" w:line="360"/>
      </w:pPr>
      <w:r>
        <w:rPr>
          <w:rFonts w:ascii="Times New Roman" w:cs="Times New Roman" w:eastAsia="Times New Roman" w:hAnsi="Times New Roman"/>
          <w:b/>
          <w:bCs/>
          <w:sz w:val="26"/>
          <w:szCs w:val="26"/>
        </w:rPr>
        <w:t xml:space="preserve">4.5 Contribution</w:t>
      </w:r>
    </w:p>
    <w:p>
      <w:pPr>
        <w:spacing w:after="120" w:before="0" w:line="480"/>
        <w:jc w:val="both"/>
      </w:pPr>
      <w:r>
        <w:rPr>
          <w:rFonts w:ascii="Times New Roman" w:cs="Times New Roman" w:eastAsia="Times New Roman" w:hAnsi="Times New Roman"/>
          <w:sz w:val="24"/>
          <w:szCs w:val="24"/>
        </w:rPr>
        <w:t xml:space="preserve">The present study offers three modest contributions to the affective-dynamics literature.</w:t>
      </w:r>
    </w:p>
    <w:p>
      <w:pPr>
        <w:spacing w:after="120" w:before="0" w:line="480"/>
        <w:jc w:val="both"/>
      </w:pPr>
      <w:r>
        <w:rPr>
          <w:rFonts w:ascii="Times New Roman" w:cs="Times New Roman" w:eastAsia="Times New Roman" w:hAnsi="Times New Roman"/>
          <w:sz w:val="24"/>
          <w:szCs w:val="24"/>
        </w:rPr>
        <w:t xml:space="preserve">First, methodologically, it demonstrates the application of control-theoretic methods (system identification, impulse response analysis, state-space modeling, and conditional heteroskedasticity modeling) to the intensive longitudinal self-study of affect in a single individual. The pipeline (iOS Shortcuts automation, Python validation, pre-registered randomization schedule, open analysis code) is offered as a template for personal-science research that aims to go beyond descriptive single-case reporting toward formal system characterization.</w:t>
      </w:r>
    </w:p>
    <w:p>
      <w:pPr>
        <w:spacing w:after="120" w:before="0" w:line="480"/>
        <w:jc w:val="both"/>
      </w:pPr>
      <w:r>
        <w:rPr>
          <w:rFonts w:ascii="Times New Roman" w:cs="Times New Roman" w:eastAsia="Times New Roman" w:hAnsi="Times New Roman"/>
          <w:sz w:val="24"/>
          <w:szCs w:val="24"/>
        </w:rPr>
        <w:t xml:space="preserve">Second, theoretically, the study provides individual-level empirical support for an agentic account of affective dynamics in the tradition of Bandura (2001) and Carver and Scheier (1990). The same person whose mood was largely insensitive to a daily pharmacological probe showed mood that covaried strongly with her own moment-to-moment sense of intentional action and self-monitoring. The variance ratios reported here suggest, at least for this individual, that the system’s affective trajectory appears organized primarily by its own self-regulatory machinery and only secondarily by external inputs of small magnitude.</w:t>
      </w:r>
    </w:p>
    <w:p>
      <w:pPr>
        <w:spacing w:after="120" w:before="0" w:line="480"/>
        <w:jc w:val="both"/>
      </w:pPr>
      <w:r>
        <w:rPr>
          <w:rFonts w:ascii="Times New Roman" w:cs="Times New Roman" w:eastAsia="Times New Roman" w:hAnsi="Times New Roman"/>
          <w:sz w:val="24"/>
          <w:szCs w:val="24"/>
        </w:rPr>
        <w:t xml:space="preserve">Third, empirically, the study offers a refined reading of melatonin’s signature in this individual’s affect. The probe was null on mean mood and suggestive on mood variability, a pattern compatible with melatonin’s known chronobiotic rather than antidepressant function, and one that points to the importance of testing pharmacological effects on the dynamics of affective trajectories rather than only on their levels. This finding warrants larger and pre-registered replication.</w:t>
      </w:r>
    </w:p>
    <w:p>
      <w:pPr>
        <w:spacing w:after="120" w:before="0" w:line="480"/>
        <w:jc w:val="both"/>
      </w:pPr>
      <w:r>
        <w:rPr>
          <w:rFonts w:ascii="Times New Roman" w:cs="Times New Roman" w:eastAsia="Times New Roman" w:hAnsi="Times New Roman"/>
          <w:sz w:val="24"/>
          <w:szCs w:val="24"/>
        </w:rPr>
        <w:t xml:space="preserve">In conclusion, this study illustrates how a control-theoretic framework can characterize the affective dynamics of a single individual using a small set of complementary time-series tools, and how a discrete pharmacological probe can be used to identify the system’s sensitivity boundary rather than as a test of treatment efficacy.</w:t>
      </w:r>
    </w:p>
    <w:p>
      <w:pPr>
        <w:spacing w:after="120" w:before="0" w:line="480"/>
        <w:jc w:val="both"/>
      </w:pPr>
      <w:r>
        <w:rPr>
          <w:rFonts w:ascii="Times New Roman" w:cs="Times New Roman" w:eastAsia="Times New Roman" w:hAnsi="Times New Roman"/>
          <w:sz w:val="24"/>
          <w:szCs w:val="24"/>
        </w:rPr>
        <w:t xml:space="preserve">A natural extension is to incorporate objective sleep variables (e.g., actigraphy, as in Knapen et al., 2025) to decompose the indirect path from melatonin through sleep to mood directly within the same idiographic framework.</w:t>
      </w:r>
    </w:p>
    <w:p>
      <w:pPr>
        <w:pStyle w:val="Heading1"/>
        <w:spacing w:after="240" w:before="360" w:line="360"/>
      </w:pPr>
      <w:r>
        <w:rPr>
          <w:rFonts w:ascii="Times New Roman" w:cs="Times New Roman" w:eastAsia="Times New Roman" w:hAnsi="Times New Roman"/>
          <w:b/>
          <w:bCs/>
          <w:sz w:val="28"/>
          <w:szCs w:val="28"/>
        </w:rPr>
        <w:t xml:space="preserve">5. Data and Code Availability</w:t>
      </w:r>
    </w:p>
    <w:p>
      <w:pPr>
        <w:spacing w:after="120" w:before="0" w:line="480"/>
        <w:jc w:val="both"/>
      </w:pPr>
      <w:r>
        <w:rPr>
          <w:rFonts w:ascii="Times New Roman" w:cs="Times New Roman" w:eastAsia="Times New Roman" w:hAnsi="Times New Roman"/>
          <w:sz w:val="24"/>
          <w:szCs w:val="24"/>
        </w:rPr>
        <w:t xml:space="preserve">Data and analysis code are available at: </w:t>
      </w:r>
      <w:r>
        <w:rPr>
          <w:rFonts w:ascii="Times New Roman" w:cs="Times New Roman" w:eastAsia="Times New Roman" w:hAnsi="Times New Roman"/>
          <w:color w:val="1A56DB"/>
          <w:sz w:val="24"/>
          <w:szCs w:val="24"/>
          <w:u w:val="single"/>
        </w:rPr>
        <w:t xml:space="preserve">https://github.com/haomeng797-ship-it/N-of-1-Melatonin-Study</w:t>
      </w:r>
      <w:r>
        <w:rPr>
          <w:rFonts w:ascii="Times New Roman" w:cs="Times New Roman" w:eastAsia="Times New Roman" w:hAnsi="Times New Roman"/>
          <w:sz w:val="24"/>
          <w:szCs w:val="24"/>
        </w:rPr>
        <w:t xml:space="preserve">. The repository includes the preregistered randomization schedule, iOS Shortcuts data-collection pipeline, Python validation layer, cleaned EMA dataset, and reproducible scripts for the figures and statistical estimates reported in this manuscript.</w:t>
      </w:r>
    </w:p>
    <w:p>
      <w:pPr>
        <w:pStyle w:val="Heading1"/>
        <w:spacing w:after="240" w:before="360" w:line="360"/>
      </w:pPr>
      <w:r>
        <w:rPr>
          <w:rFonts w:ascii="Times New Roman" w:cs="Times New Roman" w:eastAsia="Times New Roman" w:hAnsi="Times New Roman"/>
          <w:b/>
          <w:bCs/>
          <w:sz w:val="28"/>
          <w:szCs w:val="28"/>
        </w:rPr>
        <w:t xml:space="preserve">6. Author Contributions</w:t>
      </w:r>
    </w:p>
    <w:p>
      <w:pPr>
        <w:spacing w:after="120" w:before="0" w:line="480"/>
        <w:jc w:val="both"/>
      </w:pPr>
      <w:r>
        <w:rPr>
          <w:rFonts w:ascii="Times New Roman" w:cs="Times New Roman" w:eastAsia="Times New Roman" w:hAnsi="Times New Roman"/>
          <w:sz w:val="24"/>
          <w:szCs w:val="24"/>
        </w:rPr>
        <w:t xml:space="preserve">Miura Meng (MM) designed the study, collected the data, performed the statistical analyses, and wrote the manuscript.</w:t>
      </w:r>
    </w:p>
    <w:p>
      <w:pPr>
        <w:pStyle w:val="Heading1"/>
        <w:spacing w:after="240" w:before="360" w:line="360"/>
      </w:pPr>
      <w:r>
        <w:rPr>
          <w:rFonts w:ascii="Times New Roman" w:cs="Times New Roman" w:eastAsia="Times New Roman" w:hAnsi="Times New Roman"/>
          <w:b/>
          <w:bCs/>
          <w:sz w:val="28"/>
          <w:szCs w:val="28"/>
        </w:rPr>
        <w:t xml:space="preserve">7. Declaration of Interests</w:t>
      </w:r>
    </w:p>
    <w:p>
      <w:pPr>
        <w:spacing w:after="120" w:before="0" w:line="480"/>
        <w:jc w:val="both"/>
      </w:pPr>
      <w:r>
        <w:rPr>
          <w:rFonts w:ascii="Times New Roman" w:cs="Times New Roman" w:eastAsia="Times New Roman" w:hAnsi="Times New Roman"/>
          <w:sz w:val="24"/>
          <w:szCs w:val="24"/>
        </w:rPr>
        <w:t xml:space="preserve">The author declares no conflict of interest.</w:t>
      </w:r>
    </w:p>
    <w:p>
      <w:pPr>
        <w:pStyle w:val="Heading1"/>
        <w:spacing w:after="240" w:before="360" w:line="360"/>
      </w:pPr>
      <w:r>
        <w:rPr>
          <w:rFonts w:ascii="Times New Roman" w:cs="Times New Roman" w:eastAsia="Times New Roman" w:hAnsi="Times New Roman"/>
          <w:b/>
          <w:bCs/>
          <w:sz w:val="28"/>
          <w:szCs w:val="28"/>
        </w:rPr>
        <w:t xml:space="preserve">8. Acknowledgments</w:t>
      </w:r>
    </w:p>
    <w:p>
      <w:pPr>
        <w:spacing w:after="120" w:before="0" w:line="480"/>
        <w:jc w:val="both"/>
      </w:pPr>
      <w:r>
        <w:rPr>
          <w:rFonts w:ascii="Times New Roman" w:cs="Times New Roman" w:eastAsia="Times New Roman" w:hAnsi="Times New Roman"/>
          <w:sz w:val="24"/>
          <w:szCs w:val="24"/>
        </w:rPr>
        <w:t xml:space="preserve">I thank David Lydon-Staley for recommending the Journal for Person-Oriented Research as a venue for this work.</w:t>
      </w:r>
    </w:p>
    <w:p>
      <w:pPr>
        <w:pStyle w:val="Heading1"/>
        <w:spacing w:after="240" w:before="360" w:line="360"/>
      </w:pPr>
      <w:r>
        <w:rPr>
          <w:rFonts w:ascii="Times New Roman" w:cs="Times New Roman" w:eastAsia="Times New Roman" w:hAnsi="Times New Roman"/>
          <w:b/>
          <w:bCs/>
          <w:sz w:val="28"/>
          <w:szCs w:val="28"/>
        </w:rPr>
        <w:t xml:space="preserve">9. Funding</w:t>
      </w:r>
    </w:p>
    <w:p>
      <w:pPr>
        <w:spacing w:after="120" w:before="0" w:line="480"/>
        <w:jc w:val="both"/>
      </w:pPr>
      <w:r>
        <w:rPr>
          <w:rFonts w:ascii="Times New Roman" w:cs="Times New Roman" w:eastAsia="Times New Roman" w:hAnsi="Times New Roman"/>
          <w:sz w:val="24"/>
          <w:szCs w:val="24"/>
        </w:rPr>
        <w:t xml:space="preserve">This research received no specific grant from any funding agency in the public, commercial, or not-for-profit sectors.</w:t>
      </w:r>
    </w:p>
    <w:p>
      <w:pPr>
        <w:pStyle w:val="Heading1"/>
        <w:spacing w:after="240" w:before="360" w:line="360"/>
      </w:pPr>
      <w:r>
        <w:rPr>
          <w:rFonts w:ascii="Times New Roman" w:cs="Times New Roman" w:eastAsia="Times New Roman" w:hAnsi="Times New Roman"/>
          <w:b/>
          <w:bCs/>
          <w:sz w:val="28"/>
          <w:szCs w:val="28"/>
        </w:rPr>
        <w:t xml:space="preserve">10. References</w:t>
      </w:r>
    </w:p>
    <w:p>
      <w:pPr>
        <w:spacing w:after="120" w:before="0" w:line="480"/>
        <w:ind w:left="720" w:hanging="720"/>
      </w:pPr>
      <w:r>
        <w:rPr>
          <w:rFonts w:ascii="Times New Roman" w:cs="Times New Roman" w:eastAsia="Times New Roman" w:hAnsi="Times New Roman"/>
          <w:sz w:val="24"/>
          <w:szCs w:val="24"/>
        </w:rPr>
        <w:t xml:space="preserve">Bandura, A. (1989). Human agency in social cognitive theory. </w:t>
      </w:r>
      <w:r>
        <w:rPr>
          <w:rFonts w:ascii="Times New Roman" w:cs="Times New Roman" w:eastAsia="Times New Roman" w:hAnsi="Times New Roman"/>
          <w:i/>
          <w:iCs/>
          <w:sz w:val="24"/>
          <w:szCs w:val="24"/>
        </w:rPr>
        <w:t xml:space="preserve">American Psychologist, 44</w:t>
      </w:r>
      <w:r>
        <w:rPr>
          <w:rFonts w:ascii="Times New Roman" w:cs="Times New Roman" w:eastAsia="Times New Roman" w:hAnsi="Times New Roman"/>
          <w:sz w:val="24"/>
          <w:szCs w:val="24"/>
        </w:rPr>
        <w:t xml:space="preserve">(9), 1175–1184.</w:t>
      </w:r>
      <w:r>
        <w:rPr>
          <w:rFonts w:ascii="Times New Roman" w:cs="Times New Roman" w:eastAsia="Times New Roman" w:hAnsi="Times New Roman"/>
          <w:color w:val="1A56DB"/>
          <w:sz w:val="24"/>
          <w:szCs w:val="24"/>
          <w:u w:val="single"/>
        </w:rPr>
        <w:t xml:space="preserve"> https://doi.org/10.1037/0003-066X.44.9.1175</w:t>
      </w:r>
    </w:p>
    <w:p>
      <w:pPr>
        <w:spacing w:after="120" w:before="0" w:line="480"/>
        <w:ind w:hanging="720" w:left="720"/>
      </w:pPr>
      <w:r>
        <w:rPr>
          <w:rFonts w:ascii="Times New Roman" w:cs="Times New Roman" w:eastAsia="Times New Roman" w:hAnsi="Times New Roman"/>
          <w:sz w:val="24"/>
          <w:szCs w:val="24"/>
        </w:rPr>
        <w:t xml:space="preserve">Bandura, A. (2001). Social cognitive theory: An agentic perspective. </w:t>
      </w:r>
      <w:r>
        <w:rPr>
          <w:rFonts w:ascii="Times New Roman" w:cs="Times New Roman" w:eastAsia="Times New Roman" w:hAnsi="Times New Roman"/>
          <w:i/>
          <w:iCs/>
          <w:sz w:val="24"/>
          <w:szCs w:val="24"/>
        </w:rPr>
        <w:t xml:space="preserve">Annual Review of Psychology, 52</w:t>
      </w:r>
      <w:r>
        <w:rPr>
          <w:rFonts w:ascii="Times New Roman" w:cs="Times New Roman" w:eastAsia="Times New Roman" w:hAnsi="Times New Roman"/>
          <w:sz w:val="24"/>
          <w:szCs w:val="24"/>
        </w:rPr>
        <w:t xml:space="preserve">, 1–26.</w:t>
      </w:r>
      <w:r>
        <w:rPr>
          <w:rFonts w:ascii="Times New Roman" w:cs="Times New Roman" w:eastAsia="Times New Roman" w:hAnsi="Times New Roman"/>
          <w:color w:val="1A56DB"/>
          <w:sz w:val="24"/>
          <w:szCs w:val="24"/>
          <w:u w:val="single"/>
        </w:rPr>
        <w:t xml:space="preserve"> https://doi.org/10.1146/annurev.psych.52.1.1</w:t>
      </w:r>
    </w:p>
    <w:p>
      <w:pPr>
        <w:spacing w:after="120" w:before="0" w:line="480"/>
        <w:ind w:left="720" w:hanging="720"/>
      </w:pPr>
      <w:r>
        <w:rPr>
          <w:rFonts w:ascii="Times New Roman" w:cs="Times New Roman" w:eastAsia="Times New Roman" w:hAnsi="Times New Roman"/>
          <w:sz w:val="24"/>
          <w:szCs w:val="24"/>
        </w:rPr>
        <w:t xml:space="preserve">Bandura, A. (2006). Toward a psychology of human agency. </w:t>
      </w:r>
      <w:r>
        <w:rPr>
          <w:rFonts w:ascii="Times New Roman" w:cs="Times New Roman" w:eastAsia="Times New Roman" w:hAnsi="Times New Roman"/>
          <w:i/>
          <w:iCs/>
          <w:sz w:val="24"/>
          <w:szCs w:val="24"/>
        </w:rPr>
        <w:t xml:space="preserve">Perspectives on Psychological Science, 1</w:t>
      </w:r>
      <w:r>
        <w:rPr>
          <w:rFonts w:ascii="Times New Roman" w:cs="Times New Roman" w:eastAsia="Times New Roman" w:hAnsi="Times New Roman"/>
          <w:sz w:val="24"/>
          <w:szCs w:val="24"/>
        </w:rPr>
        <w:t xml:space="preserve">(2), 164–180.</w:t>
      </w:r>
      <w:r>
        <w:rPr>
          <w:rFonts w:ascii="Times New Roman" w:cs="Times New Roman" w:eastAsia="Times New Roman" w:hAnsi="Times New Roman"/>
          <w:color w:val="1A56DB"/>
          <w:sz w:val="24"/>
          <w:szCs w:val="24"/>
          <w:u w:val="single"/>
        </w:rPr>
        <w:t xml:space="preserve"> https://doi.org/10.1111/j.1745-6916.2006.00011.x</w:t>
      </w:r>
    </w:p>
    <w:p>
      <w:pPr>
        <w:spacing w:after="120" w:before="0" w:line="480"/>
        <w:ind w:left="720" w:hanging="720"/>
      </w:pPr>
      <w:r>
        <w:rPr>
          <w:rFonts w:ascii="Times New Roman" w:cs="Times New Roman" w:eastAsia="Times New Roman" w:hAnsi="Times New Roman"/>
          <w:sz w:val="24"/>
          <w:szCs w:val="24"/>
        </w:rPr>
        <w:t xml:space="preserve">Barta, W. D., Tennen, H., &amp; Litt, M. D. (2012). Measurement reactivity in diary research. In M. R. Mehl &amp; T. S. Conner (Eds.), </w:t>
      </w:r>
      <w:r>
        <w:rPr>
          <w:rFonts w:ascii="Times New Roman" w:cs="Times New Roman" w:eastAsia="Times New Roman" w:hAnsi="Times New Roman"/>
          <w:i/>
          <w:iCs/>
          <w:sz w:val="24"/>
          <w:szCs w:val="24"/>
        </w:rPr>
        <w:t xml:space="preserve">Handbook of research methods for studying daily life</w:t>
      </w:r>
      <w:r>
        <w:rPr>
          <w:rFonts w:ascii="Times New Roman" w:cs="Times New Roman" w:eastAsia="Times New Roman" w:hAnsi="Times New Roman"/>
          <w:sz w:val="24"/>
          <w:szCs w:val="24"/>
        </w:rPr>
        <w:t xml:space="preserve"> (pp. 108–123). Guilford Press.</w:t>
      </w:r>
    </w:p>
    <w:p>
      <w:pPr>
        <w:spacing w:after="120" w:before="0" w:line="480"/>
        <w:jc w:val="both"/>
      </w:pPr>
      <w:r>
        <w:rPr>
          <w:rFonts w:ascii="Times New Roman" w:cs="Times New Roman" w:eastAsia="Times New Roman" w:hAnsi="Times New Roman"/>
          <w:sz w:val="24"/>
          <w:szCs w:val="24"/>
        </w:rPr>
        <w:t xml:space="preserve">Bates, D., Mächler, M., Bolker, B., &amp; Walker, S. (2015). Fitting linear mixed-effects models using lme4. </w:t>
      </w:r>
      <w:r>
        <w:rPr>
          <w:rFonts w:ascii="Times New Roman" w:cs="Times New Roman" w:eastAsia="Times New Roman" w:hAnsi="Times New Roman"/>
          <w:i/>
          <w:iCs/>
          <w:sz w:val="24"/>
          <w:szCs w:val="24"/>
        </w:rPr>
        <w:t xml:space="preserve">Journal of Statistical Software, 67</w:t>
      </w:r>
      <w:r>
        <w:rPr>
          <w:rFonts w:ascii="Times New Roman" w:cs="Times New Roman" w:eastAsia="Times New Roman" w:hAnsi="Times New Roman"/>
          <w:sz w:val="24"/>
          <w:szCs w:val="24"/>
        </w:rPr>
        <w:t xml:space="preserve">(1), 1–48. https://doi.org/10.18637/jss.v067.i01</w:t>
      </w:r>
    </w:p>
    <w:p>
      <w:pPr>
        <w:spacing w:after="120" w:before="0" w:line="480"/>
        <w:ind w:left="720" w:hanging="720"/>
      </w:pPr>
      <w:r>
        <w:rPr>
          <w:rFonts w:ascii="Times New Roman" w:cs="Times New Roman" w:eastAsia="Times New Roman" w:hAnsi="Times New Roman"/>
          <w:sz w:val="24"/>
          <w:szCs w:val="24"/>
        </w:rPr>
        <w:t xml:space="preserve">Bringmann, L. F., Vissers, N., Wichers, M., Geschwind, N., Kuppens, P., Peeters, F., Borsboom, D., &amp; Tuerlinckx, F. (2013). A network approach to psychopathology: New insights into clinical longitudinal data. </w:t>
      </w:r>
      <w:r>
        <w:rPr>
          <w:rFonts w:ascii="Times New Roman" w:cs="Times New Roman" w:eastAsia="Times New Roman" w:hAnsi="Times New Roman"/>
          <w:i/>
          <w:iCs/>
          <w:sz w:val="24"/>
          <w:szCs w:val="24"/>
        </w:rPr>
        <w:t xml:space="preserve">PLoS ONE, 8</w:t>
      </w:r>
      <w:r>
        <w:rPr>
          <w:rFonts w:ascii="Times New Roman" w:cs="Times New Roman" w:eastAsia="Times New Roman" w:hAnsi="Times New Roman"/>
          <w:sz w:val="24"/>
          <w:szCs w:val="24"/>
        </w:rPr>
        <w:t xml:space="preserve">(4), e60188.</w:t>
      </w:r>
      <w:r>
        <w:rPr>
          <w:rFonts w:ascii="Times New Roman" w:cs="Times New Roman" w:eastAsia="Times New Roman" w:hAnsi="Times New Roman"/>
          <w:color w:val="1A56DB"/>
          <w:sz w:val="24"/>
          <w:szCs w:val="24"/>
          <w:u w:val="single"/>
        </w:rPr>
        <w:t xml:space="preserve"> https://doi.org/10.1371/journal.pone.0060188</w:t>
      </w:r>
    </w:p>
    <w:p>
      <w:pPr>
        <w:spacing w:after="120" w:before="0" w:line="480"/>
        <w:ind w:left="720" w:hanging="720"/>
      </w:pPr>
      <w:r>
        <w:rPr>
          <w:rFonts w:ascii="Times New Roman" w:cs="Times New Roman" w:eastAsia="Times New Roman" w:hAnsi="Times New Roman"/>
          <w:sz w:val="24"/>
          <w:szCs w:val="24"/>
        </w:rPr>
        <w:t xml:space="preserve">Bringmann, L. F., Albers, C., Bockting, C., Borsboom, D., Ceulemans, E., Cramer, A. O. J., ... &amp; Wichers, M. (2022). Psychopathological networks: Theory, methods and practice. Behaviour Research and Therapy, 149, 104011. https://doi.org/10.1016/j.brat.2021.104011</w:t>
      </w:r>
    </w:p>
    <w:p>
      <w:pPr>
        <w:spacing w:after="120" w:before="0" w:line="480"/>
        <w:ind w:left="720" w:hanging="720"/>
      </w:pPr>
      <w:r>
        <w:rPr>
          <w:rFonts w:ascii="Times New Roman" w:cs="Times New Roman" w:eastAsia="Times New Roman" w:hAnsi="Times New Roman"/>
          <w:sz w:val="24"/>
          <w:szCs w:val="24"/>
        </w:rPr>
        <w:t xml:space="preserve">Bürkner, P.-C. (2017). brms: An R package for Bayesian multilevel models using Stan. </w:t>
      </w:r>
      <w:r>
        <w:rPr>
          <w:rFonts w:ascii="Times New Roman" w:cs="Times New Roman" w:eastAsia="Times New Roman" w:hAnsi="Times New Roman"/>
          <w:i/>
          <w:iCs/>
          <w:sz w:val="24"/>
          <w:szCs w:val="24"/>
        </w:rPr>
        <w:t xml:space="preserve">Journal of Statistical Software, 80</w:t>
      </w:r>
      <w:r>
        <w:rPr>
          <w:rFonts w:ascii="Times New Roman" w:cs="Times New Roman" w:eastAsia="Times New Roman" w:hAnsi="Times New Roman"/>
          <w:sz w:val="24"/>
          <w:szCs w:val="24"/>
        </w:rPr>
        <w:t xml:space="preserve">(1), 1–28.</w:t>
      </w:r>
      <w:r>
        <w:rPr>
          <w:rFonts w:ascii="Times New Roman" w:cs="Times New Roman" w:eastAsia="Times New Roman" w:hAnsi="Times New Roman"/>
          <w:color w:val="1A56DB"/>
          <w:sz w:val="24"/>
          <w:szCs w:val="24"/>
          <w:u w:val="single"/>
        </w:rPr>
        <w:t xml:space="preserve"> https://doi.org/10.18637/jss.v080.i01</w:t>
      </w:r>
    </w:p>
    <w:p>
      <w:pPr>
        <w:spacing w:after="120" w:before="0" w:line="480"/>
        <w:ind w:left="720" w:hanging="720"/>
      </w:pPr>
      <w:r>
        <w:rPr>
          <w:rFonts w:ascii="Times New Roman" w:cs="Times New Roman" w:eastAsia="Times New Roman" w:hAnsi="Times New Roman"/>
          <w:sz w:val="24"/>
          <w:szCs w:val="24"/>
        </w:rPr>
        <w:t xml:space="preserve">Carver, C. S., &amp; Scheier, M. F. (1990). Origins and functions of positive and negative affect: A control-process view. </w:t>
      </w:r>
      <w:r>
        <w:rPr>
          <w:rFonts w:ascii="Times New Roman" w:cs="Times New Roman" w:eastAsia="Times New Roman" w:hAnsi="Times New Roman"/>
          <w:i/>
          <w:iCs/>
          <w:sz w:val="24"/>
          <w:szCs w:val="24"/>
        </w:rPr>
        <w:t xml:space="preserve">Psychological Review, 97</w:t>
      </w:r>
      <w:r>
        <w:rPr>
          <w:rFonts w:ascii="Times New Roman" w:cs="Times New Roman" w:eastAsia="Times New Roman" w:hAnsi="Times New Roman"/>
          <w:sz w:val="24"/>
          <w:szCs w:val="24"/>
        </w:rPr>
        <w:t xml:space="preserve">(1), 19–35.</w:t>
      </w:r>
      <w:r>
        <w:rPr>
          <w:rFonts w:ascii="Times New Roman" w:cs="Times New Roman" w:eastAsia="Times New Roman" w:hAnsi="Times New Roman"/>
          <w:color w:val="1A56DB"/>
          <w:sz w:val="24"/>
          <w:szCs w:val="24"/>
          <w:u w:val="single"/>
        </w:rPr>
        <w:t xml:space="preserve"> https://doi.org/10.1037/0033-295X.97.1.19</w:t>
      </w:r>
    </w:p>
    <w:p>
      <w:pPr>
        <w:spacing w:after="120" w:before="0" w:line="480"/>
        <w:ind w:left="720" w:hanging="720"/>
      </w:pPr>
      <w:r>
        <w:rPr>
          <w:rFonts w:ascii="Times New Roman" w:cs="Times New Roman" w:eastAsia="Times New Roman" w:hAnsi="Times New Roman"/>
          <w:sz w:val="24"/>
          <w:szCs w:val="24"/>
        </w:rPr>
        <w:t xml:space="preserve">Carver, C. S., &amp; Scheier, M. F. (1998). </w:t>
      </w:r>
      <w:r>
        <w:rPr>
          <w:rFonts w:ascii="Times New Roman" w:cs="Times New Roman" w:eastAsia="Times New Roman" w:hAnsi="Times New Roman"/>
          <w:i/>
          <w:iCs/>
          <w:sz w:val="24"/>
          <w:szCs w:val="24"/>
        </w:rPr>
        <w:t xml:space="preserve">On the self-regulation of behavior</w:t>
      </w:r>
      <w:r>
        <w:rPr>
          <w:rFonts w:ascii="Times New Roman" w:cs="Times New Roman" w:eastAsia="Times New Roman" w:hAnsi="Times New Roman"/>
          <w:sz w:val="24"/>
          <w:szCs w:val="24"/>
        </w:rPr>
        <w:t xml:space="preserve">. Cambridge University Press.</w:t>
      </w:r>
    </w:p>
    <w:p>
      <w:pPr>
        <w:spacing w:after="120" w:before="0" w:line="480"/>
        <w:ind w:left="720" w:hanging="720"/>
      </w:pPr>
      <w:r>
        <w:rPr>
          <w:rFonts w:ascii="Times New Roman" w:cs="Times New Roman" w:eastAsia="Times New Roman" w:hAnsi="Times New Roman"/>
          <w:sz w:val="24"/>
          <w:szCs w:val="24"/>
        </w:rPr>
        <w:t xml:space="preserve">Conner, T. S., &amp; Reid, K. A. (2012). Effects of intensive mobile happiness reporting in daily life. </w:t>
      </w:r>
      <w:r>
        <w:rPr>
          <w:rFonts w:ascii="Times New Roman" w:cs="Times New Roman" w:eastAsia="Times New Roman" w:hAnsi="Times New Roman"/>
          <w:i/>
          <w:iCs/>
          <w:sz w:val="24"/>
          <w:szCs w:val="24"/>
        </w:rPr>
        <w:t xml:space="preserve">Social Psychological and Personality Science, 3</w:t>
      </w:r>
      <w:r>
        <w:rPr>
          <w:rFonts w:ascii="Times New Roman" w:cs="Times New Roman" w:eastAsia="Times New Roman" w:hAnsi="Times New Roman"/>
          <w:sz w:val="24"/>
          <w:szCs w:val="24"/>
        </w:rPr>
        <w:t xml:space="preserve">(3), 315–323.</w:t>
      </w:r>
      <w:r>
        <w:rPr>
          <w:rFonts w:ascii="Times New Roman" w:cs="Times New Roman" w:eastAsia="Times New Roman" w:hAnsi="Times New Roman"/>
          <w:color w:val="1A56DB"/>
          <w:sz w:val="24"/>
          <w:szCs w:val="24"/>
          <w:u w:val="single"/>
        </w:rPr>
        <w:t xml:space="preserve"> https://doi.org/10.1177/1948550611419677</w:t>
      </w:r>
    </w:p>
    <w:p>
      <w:pPr>
        <w:spacing w:after="120" w:before="0" w:line="480"/>
        <w:ind w:hanging="720" w:left="720"/>
      </w:pPr>
      <w:r>
        <w:rPr>
          <w:rFonts w:ascii="Times New Roman" w:cs="Times New Roman" w:eastAsia="Times New Roman" w:hAnsi="Times New Roman"/>
          <w:sz w:val="24"/>
          <w:szCs w:val="24"/>
        </w:rPr>
        <w:t xml:space="preserve">Craig, A. D. (2009). How do you feel — now? The anterior insula and human awareness. </w:t>
      </w:r>
      <w:r>
        <w:rPr>
          <w:rFonts w:ascii="Times New Roman" w:cs="Times New Roman" w:eastAsia="Times New Roman" w:hAnsi="Times New Roman"/>
          <w:i/>
          <w:iCs/>
          <w:sz w:val="24"/>
          <w:szCs w:val="24"/>
        </w:rPr>
        <w:t xml:space="preserve">Nature Reviews Neuroscience, 10</w:t>
      </w:r>
      <w:r>
        <w:rPr>
          <w:rFonts w:ascii="Times New Roman" w:cs="Times New Roman" w:eastAsia="Times New Roman" w:hAnsi="Times New Roman"/>
          <w:sz w:val="24"/>
          <w:szCs w:val="24"/>
        </w:rPr>
        <w:t xml:space="preserve">(1), 59–70.</w:t>
      </w:r>
      <w:r>
        <w:rPr>
          <w:rFonts w:ascii="Times New Roman" w:cs="Times New Roman" w:eastAsia="Times New Roman" w:hAnsi="Times New Roman"/>
          <w:color w:val="1A56DB"/>
          <w:sz w:val="24"/>
          <w:szCs w:val="24"/>
          <w:u w:val="single"/>
        </w:rPr>
        <w:t xml:space="preserve"> https://doi.org/10.1038/nrn2555</w:t>
      </w:r>
    </w:p>
    <w:p>
      <w:pPr>
        <w:spacing w:after="120" w:before="0" w:line="480"/>
        <w:ind w:left="720" w:hanging="720"/>
      </w:pPr>
      <w:r>
        <w:rPr>
          <w:rFonts w:ascii="Times New Roman" w:cs="Times New Roman" w:eastAsia="Times New Roman" w:hAnsi="Times New Roman"/>
          <w:sz w:val="24"/>
          <w:szCs w:val="24"/>
        </w:rPr>
        <w:t xml:space="preserve">Damasio, A. R. (1999). </w:t>
      </w:r>
      <w:r>
        <w:rPr>
          <w:rFonts w:ascii="Times New Roman" w:cs="Times New Roman" w:eastAsia="Times New Roman" w:hAnsi="Times New Roman"/>
          <w:i/>
          <w:iCs/>
          <w:sz w:val="24"/>
          <w:szCs w:val="24"/>
        </w:rPr>
        <w:t xml:space="preserve">The feeling of what happens: Body and emotion in the making of consciousness</w:t>
      </w:r>
      <w:r>
        <w:rPr>
          <w:rFonts w:ascii="Times New Roman" w:cs="Times New Roman" w:eastAsia="Times New Roman" w:hAnsi="Times New Roman"/>
          <w:sz w:val="24"/>
          <w:szCs w:val="24"/>
        </w:rPr>
        <w:t xml:space="preserve">. Harcourt.</w:t>
      </w:r>
    </w:p>
    <w:p>
      <w:pPr>
        <w:spacing w:after="120" w:before="0" w:line="480"/>
        <w:ind w:left="720" w:hanging="720"/>
      </w:pPr>
      <w:r>
        <w:rPr>
          <w:rFonts w:ascii="Times New Roman" w:cs="Times New Roman" w:eastAsia="Times New Roman" w:hAnsi="Times New Roman"/>
          <w:sz w:val="24"/>
          <w:szCs w:val="24"/>
        </w:rPr>
        <w:t xml:space="preserve">Deci, E. L., &amp; Ryan, R. M. (2000). The “what” and “why” of goal pursuits: Human needs and the self-determination of behavior. </w:t>
      </w:r>
      <w:r>
        <w:rPr>
          <w:rFonts w:ascii="Times New Roman" w:cs="Times New Roman" w:eastAsia="Times New Roman" w:hAnsi="Times New Roman"/>
          <w:i/>
          <w:iCs/>
          <w:sz w:val="24"/>
          <w:szCs w:val="24"/>
        </w:rPr>
        <w:t xml:space="preserve">Psychological Inquiry, 11</w:t>
      </w:r>
      <w:r>
        <w:rPr>
          <w:rFonts w:ascii="Times New Roman" w:cs="Times New Roman" w:eastAsia="Times New Roman" w:hAnsi="Times New Roman"/>
          <w:sz w:val="24"/>
          <w:szCs w:val="24"/>
        </w:rPr>
        <w:t xml:space="preserve">(4), 227–268.</w:t>
      </w:r>
      <w:r>
        <w:rPr>
          <w:rFonts w:ascii="Times New Roman" w:cs="Times New Roman" w:eastAsia="Times New Roman" w:hAnsi="Times New Roman"/>
          <w:color w:val="1A56DB"/>
          <w:sz w:val="24"/>
          <w:szCs w:val="24"/>
          <w:u w:val="single"/>
        </w:rPr>
        <w:t xml:space="preserve"> https://doi.org/10.1207/S15327965PLI1104_01</w:t>
      </w:r>
    </w:p>
    <w:p>
      <w:pPr>
        <w:spacing w:after="120" w:before="0" w:line="480"/>
        <w:ind w:left="720" w:hanging="720"/>
      </w:pPr>
      <w:r>
        <w:rPr>
          <w:rFonts w:ascii="Times New Roman" w:cs="Times New Roman" w:eastAsia="Times New Roman" w:hAnsi="Times New Roman"/>
          <w:sz w:val="24"/>
          <w:szCs w:val="24"/>
        </w:rPr>
        <w:t xml:space="preserve">Dejonckheere, E., Demeyer, F., Geusens, B., Piot, M., Tuerlinckx, F., Verdonck, S., &amp; Mestdagh, M. (2022). Assessing the reliability of single-item momentary affective measurements in experience sampling. </w:t>
      </w:r>
      <w:r>
        <w:rPr>
          <w:rFonts w:ascii="Times New Roman" w:cs="Times New Roman" w:eastAsia="Times New Roman" w:hAnsi="Times New Roman"/>
          <w:i/>
          <w:iCs/>
          <w:sz w:val="24"/>
          <w:szCs w:val="24"/>
        </w:rPr>
        <w:t xml:space="preserve">Psychological Assessment, 34</w:t>
      </w:r>
      <w:r>
        <w:rPr>
          <w:rFonts w:ascii="Times New Roman" w:cs="Times New Roman" w:eastAsia="Times New Roman" w:hAnsi="Times New Roman"/>
          <w:sz w:val="24"/>
          <w:szCs w:val="24"/>
        </w:rPr>
        <w:t xml:space="preserve">(12), 1138–1154.</w:t>
      </w:r>
      <w:r>
        <w:rPr>
          <w:rFonts w:ascii="Times New Roman" w:cs="Times New Roman" w:eastAsia="Times New Roman" w:hAnsi="Times New Roman"/>
          <w:color w:val="1A56DB"/>
          <w:sz w:val="24"/>
          <w:szCs w:val="24"/>
          <w:u w:val="single"/>
        </w:rPr>
        <w:t xml:space="preserve"> https://doi.org/10.1037/pas0001178</w:t>
      </w:r>
    </w:p>
    <w:p>
      <w:pPr>
        <w:spacing w:after="120" w:before="0" w:line="480"/>
        <w:ind w:left="720" w:hanging="720"/>
      </w:pPr>
      <w:r>
        <w:rPr>
          <w:rFonts w:ascii="Times New Roman" w:cs="Times New Roman" w:eastAsia="Times New Roman" w:hAnsi="Times New Roman"/>
          <w:sz w:val="24"/>
          <w:szCs w:val="24"/>
        </w:rPr>
        <w:t xml:space="preserve">Efklides, A. (2008). Metacognition: Defining its facets and levels of functioning in relation to self-regulation and co-regulation. </w:t>
      </w:r>
      <w:r>
        <w:rPr>
          <w:rFonts w:ascii="Times New Roman" w:cs="Times New Roman" w:eastAsia="Times New Roman" w:hAnsi="Times New Roman"/>
          <w:i/>
          <w:iCs/>
          <w:sz w:val="24"/>
          <w:szCs w:val="24"/>
        </w:rPr>
        <w:t xml:space="preserve">European Psychologist, 13</w:t>
      </w:r>
      <w:r>
        <w:rPr>
          <w:rFonts w:ascii="Times New Roman" w:cs="Times New Roman" w:eastAsia="Times New Roman" w:hAnsi="Times New Roman"/>
          <w:sz w:val="24"/>
          <w:szCs w:val="24"/>
        </w:rPr>
        <w:t xml:space="preserve">(4), 277–287.</w:t>
      </w:r>
      <w:r>
        <w:rPr>
          <w:rFonts w:ascii="Times New Roman" w:cs="Times New Roman" w:eastAsia="Times New Roman" w:hAnsi="Times New Roman"/>
          <w:color w:val="1A56DB"/>
          <w:sz w:val="24"/>
          <w:szCs w:val="24"/>
          <w:u w:val="single"/>
        </w:rPr>
        <w:t xml:space="preserve"> https://doi.org/10.1027/1016-9040.13.4.277</w:t>
      </w:r>
    </w:p>
    <w:p>
      <w:pPr>
        <w:spacing w:after="120" w:before="0" w:line="480"/>
        <w:ind w:left="720" w:hanging="720"/>
      </w:pPr>
      <w:r>
        <w:rPr>
          <w:rFonts w:ascii="Times New Roman" w:cs="Times New Roman" w:eastAsia="Times New Roman" w:hAnsi="Times New Roman"/>
          <w:sz w:val="24"/>
          <w:szCs w:val="24"/>
        </w:rPr>
        <w:t xml:space="preserve">Eisele, G., Vachon, H., Lafit, G., Kuppens, P., Houben, M., Myin-Germeys, I., &amp; Viechtbauer, W. (2022). The effects of sampling frequency and questionnaire length on perceived burden, compliance, and careless responding in experience sampling data in a student population. </w:t>
      </w:r>
      <w:r>
        <w:rPr>
          <w:rFonts w:ascii="Times New Roman" w:cs="Times New Roman" w:eastAsia="Times New Roman" w:hAnsi="Times New Roman"/>
          <w:i/>
          <w:iCs/>
          <w:sz w:val="24"/>
          <w:szCs w:val="24"/>
        </w:rPr>
        <w:t xml:space="preserve">Assessment, 29</w:t>
      </w:r>
      <w:r>
        <w:rPr>
          <w:rFonts w:ascii="Times New Roman" w:cs="Times New Roman" w:eastAsia="Times New Roman" w:hAnsi="Times New Roman"/>
          <w:sz w:val="24"/>
          <w:szCs w:val="24"/>
        </w:rPr>
        <w:t xml:space="preserve">(2), 136–151.</w:t>
      </w:r>
      <w:r>
        <w:rPr>
          <w:rFonts w:ascii="Times New Roman" w:cs="Times New Roman" w:eastAsia="Times New Roman" w:hAnsi="Times New Roman"/>
          <w:color w:val="1A56DB"/>
          <w:sz w:val="24"/>
          <w:szCs w:val="24"/>
          <w:u w:val="single"/>
        </w:rPr>
        <w:t xml:space="preserve"> https://doi.org/10.1177/1073191120957102</w:t>
      </w:r>
    </w:p>
    <w:p>
      <w:pPr>
        <w:spacing w:after="120" w:before="0" w:line="480"/>
        <w:ind w:left="720" w:hanging="720"/>
      </w:pPr>
      <w:r>
        <w:rPr>
          <w:rFonts w:ascii="Times New Roman" w:cs="Times New Roman" w:eastAsia="Times New Roman" w:hAnsi="Times New Roman"/>
          <w:sz w:val="24"/>
          <w:szCs w:val="24"/>
        </w:rPr>
        <w:t xml:space="preserve">Flavell, J. H. (1979). Metacognition and cognitive monitoring: A new area of cognitive–developmental inquiry. </w:t>
      </w:r>
      <w:r>
        <w:rPr>
          <w:rFonts w:ascii="Times New Roman" w:cs="Times New Roman" w:eastAsia="Times New Roman" w:hAnsi="Times New Roman"/>
          <w:i/>
          <w:iCs/>
          <w:sz w:val="24"/>
          <w:szCs w:val="24"/>
        </w:rPr>
        <w:t xml:space="preserve">American Psychologist, 34</w:t>
      </w:r>
      <w:r>
        <w:rPr>
          <w:rFonts w:ascii="Times New Roman" w:cs="Times New Roman" w:eastAsia="Times New Roman" w:hAnsi="Times New Roman"/>
          <w:sz w:val="24"/>
          <w:szCs w:val="24"/>
        </w:rPr>
        <w:t xml:space="preserve">(10), 906–911.</w:t>
      </w:r>
      <w:r>
        <w:rPr>
          <w:rFonts w:ascii="Times New Roman" w:cs="Times New Roman" w:eastAsia="Times New Roman" w:hAnsi="Times New Roman"/>
          <w:color w:val="1A56DB"/>
          <w:sz w:val="24"/>
          <w:szCs w:val="24"/>
          <w:u w:val="single"/>
        </w:rPr>
        <w:t xml:space="preserve"> https://doi.org/10.1037/0003-066X.34.10.906</w:t>
      </w:r>
    </w:p>
    <w:p>
      <w:pPr>
        <w:spacing w:after="120" w:before="0" w:line="480"/>
        <w:ind w:left="720" w:hanging="720"/>
      </w:pPr>
      <w:r>
        <w:rPr>
          <w:rFonts w:ascii="Times New Roman" w:cs="Times New Roman" w:eastAsia="Times New Roman" w:hAnsi="Times New Roman"/>
          <w:sz w:val="24"/>
          <w:szCs w:val="24"/>
        </w:rPr>
        <w:t xml:space="preserve">Frijda, N. H. (1986). </w:t>
      </w:r>
      <w:r>
        <w:rPr>
          <w:rFonts w:ascii="Times New Roman" w:cs="Times New Roman" w:eastAsia="Times New Roman" w:hAnsi="Times New Roman"/>
          <w:i/>
          <w:iCs/>
          <w:sz w:val="24"/>
          <w:szCs w:val="24"/>
        </w:rPr>
        <w:t xml:space="preserve">The emotions</w:t>
      </w:r>
      <w:r>
        <w:rPr>
          <w:rFonts w:ascii="Times New Roman" w:cs="Times New Roman" w:eastAsia="Times New Roman" w:hAnsi="Times New Roman"/>
          <w:sz w:val="24"/>
          <w:szCs w:val="24"/>
        </w:rPr>
        <w:t xml:space="preserve">. Cambridge University Press.</w:t>
      </w:r>
    </w:p>
    <w:p>
      <w:pPr>
        <w:spacing w:after="120" w:before="0" w:line="480"/>
        <w:ind w:left="720" w:hanging="720"/>
      </w:pPr>
      <w:r>
        <w:rPr>
          <w:rFonts w:ascii="Times New Roman" w:cs="Times New Roman" w:eastAsia="Times New Roman" w:hAnsi="Times New Roman"/>
          <w:sz w:val="24"/>
          <w:szCs w:val="24"/>
        </w:rPr>
        <w:t xml:space="preserve">Giddens, A. (1984). </w:t>
      </w:r>
      <w:r>
        <w:rPr>
          <w:rFonts w:ascii="Times New Roman" w:cs="Times New Roman" w:eastAsia="Times New Roman" w:hAnsi="Times New Roman"/>
          <w:i/>
          <w:iCs/>
          <w:sz w:val="24"/>
          <w:szCs w:val="24"/>
        </w:rPr>
        <w:t xml:space="preserve">The constitution of society: Outline of the theory of structuration</w:t>
      </w:r>
      <w:r>
        <w:rPr>
          <w:rFonts w:ascii="Times New Roman" w:cs="Times New Roman" w:eastAsia="Times New Roman" w:hAnsi="Times New Roman"/>
          <w:sz w:val="24"/>
          <w:szCs w:val="24"/>
        </w:rPr>
        <w:t xml:space="preserve">. University of California Press.</w:t>
      </w:r>
    </w:p>
    <w:p>
      <w:pPr>
        <w:spacing w:after="120" w:before="0" w:line="480"/>
        <w:ind w:left="720" w:hanging="720"/>
      </w:pPr>
      <w:r>
        <w:rPr>
          <w:rFonts w:ascii="Times New Roman" w:cs="Times New Roman" w:eastAsia="Times New Roman" w:hAnsi="Times New Roman"/>
          <w:sz w:val="24"/>
          <w:szCs w:val="24"/>
        </w:rPr>
        <w:t xml:space="preserve">Hamaker, E. L. (2012). Why researchers should think “within-person”: A paradigmatic rationale. In M. R. Mehl &amp; T. S. Conner (Eds.), </w:t>
      </w:r>
      <w:r>
        <w:rPr>
          <w:rFonts w:ascii="Times New Roman" w:cs="Times New Roman" w:eastAsia="Times New Roman" w:hAnsi="Times New Roman"/>
          <w:i/>
          <w:iCs/>
          <w:sz w:val="24"/>
          <w:szCs w:val="24"/>
        </w:rPr>
        <w:t xml:space="preserve">Handbook of research methods for studying daily life</w:t>
      </w:r>
      <w:r>
        <w:rPr>
          <w:rFonts w:ascii="Times New Roman" w:cs="Times New Roman" w:eastAsia="Times New Roman" w:hAnsi="Times New Roman"/>
          <w:sz w:val="24"/>
          <w:szCs w:val="24"/>
        </w:rPr>
        <w:t xml:space="preserve"> (pp. 43–61). Guilford Press.</w:t>
      </w:r>
    </w:p>
    <w:p>
      <w:pPr>
        <w:spacing w:after="120" w:before="0" w:line="480"/>
        <w:ind w:left="720" w:hanging="720"/>
      </w:pPr>
      <w:r>
        <w:rPr>
          <w:rFonts w:ascii="Times New Roman" w:cs="Times New Roman" w:eastAsia="Times New Roman" w:hAnsi="Times New Roman"/>
          <w:sz w:val="24"/>
          <w:szCs w:val="24"/>
        </w:rPr>
        <w:t xml:space="preserve">Houben, M., Van Den Noortgate, W., &amp; Kuppens, P. (2015). The relation between short-term emotion dynamics and psychological well-being: A meta-analysis. </w:t>
      </w:r>
      <w:r>
        <w:rPr>
          <w:rFonts w:ascii="Times New Roman" w:cs="Times New Roman" w:eastAsia="Times New Roman" w:hAnsi="Times New Roman"/>
          <w:i/>
          <w:iCs/>
          <w:sz w:val="24"/>
          <w:szCs w:val="24"/>
        </w:rPr>
        <w:t xml:space="preserve">Psychological Bulletin, 141</w:t>
      </w:r>
      <w:r>
        <w:rPr>
          <w:rFonts w:ascii="Times New Roman" w:cs="Times New Roman" w:eastAsia="Times New Roman" w:hAnsi="Times New Roman"/>
          <w:sz w:val="24"/>
          <w:szCs w:val="24"/>
        </w:rPr>
        <w:t xml:space="preserve">(4), 901–930.</w:t>
      </w:r>
      <w:r>
        <w:rPr>
          <w:rFonts w:ascii="Times New Roman" w:cs="Times New Roman" w:eastAsia="Times New Roman" w:hAnsi="Times New Roman"/>
          <w:color w:val="1A56DB"/>
          <w:sz w:val="24"/>
          <w:szCs w:val="24"/>
          <w:u w:val="single"/>
        </w:rPr>
        <w:t xml:space="preserve"> https://doi.org/10.1037/a0038822</w:t>
      </w:r>
    </w:p>
    <w:p>
      <w:pPr>
        <w:spacing w:after="120" w:before="0" w:line="480"/>
        <w:ind w:left="720" w:hanging="720"/>
      </w:pPr>
      <w:r>
        <w:rPr>
          <w:rFonts w:ascii="Times New Roman" w:cs="Times New Roman" w:eastAsia="Times New Roman" w:hAnsi="Times New Roman"/>
          <w:sz w:val="24"/>
          <w:szCs w:val="24"/>
        </w:rPr>
        <w:t xml:space="preserve">Jahng, S., Wood, P. K., &amp; Trull, T. J. (2008). Analysis of affective instability in ecological momentary assessment: Indices using successive difference and group comparison via multilevel modeling. </w:t>
      </w:r>
      <w:r>
        <w:rPr>
          <w:rFonts w:ascii="Times New Roman" w:cs="Times New Roman" w:eastAsia="Times New Roman" w:hAnsi="Times New Roman"/>
          <w:i/>
          <w:iCs/>
          <w:sz w:val="24"/>
          <w:szCs w:val="24"/>
        </w:rPr>
        <w:t xml:space="preserve">Psychological Methods, 13</w:t>
      </w:r>
      <w:r>
        <w:rPr>
          <w:rFonts w:ascii="Times New Roman" w:cs="Times New Roman" w:eastAsia="Times New Roman" w:hAnsi="Times New Roman"/>
          <w:sz w:val="24"/>
          <w:szCs w:val="24"/>
        </w:rPr>
        <w:t xml:space="preserve">(4), 354–375.</w:t>
      </w:r>
      <w:r>
        <w:rPr>
          <w:rFonts w:ascii="Times New Roman" w:cs="Times New Roman" w:eastAsia="Times New Roman" w:hAnsi="Times New Roman"/>
          <w:color w:val="1A56DB"/>
          <w:sz w:val="24"/>
          <w:szCs w:val="24"/>
          <w:u w:val="single"/>
        </w:rPr>
        <w:t xml:space="preserve"> https://doi.org/10.1037/a0014173</w:t>
      </w:r>
    </w:p>
    <w:p>
      <w:pPr>
        <w:spacing w:after="120" w:before="0" w:line="480"/>
        <w:ind w:left="720" w:hanging="720"/>
      </w:pPr>
      <w:r>
        <w:rPr>
          <w:rFonts w:ascii="Times New Roman" w:cs="Times New Roman" w:eastAsia="Times New Roman" w:hAnsi="Times New Roman"/>
          <w:sz w:val="24"/>
          <w:szCs w:val="24"/>
        </w:rPr>
        <w:t xml:space="preserve">Knapen, S. E., Snippe, E., Smit, A. C., Schoevers, R. A., &amp; Riemersma-van der Lek, R. F. (2025). Sleep disturbances in the prodromal phase of mood episodes in patients with bipolar disorder: A replicated single-case design. Journal for Person-Oriented Research, 11(3), 142-168. https://doi.org/10.17505/jpor.2025.28202</w:t>
      </w:r>
    </w:p>
    <w:p>
      <w:pPr>
        <w:spacing w:after="120" w:before="0" w:line="480"/>
        <w:ind w:left="720" w:hanging="720"/>
      </w:pPr>
      <w:r>
        <w:rPr>
          <w:rFonts w:ascii="Times New Roman" w:cs="Times New Roman" w:eastAsia="Times New Roman" w:hAnsi="Times New Roman"/>
          <w:sz w:val="24"/>
          <w:szCs w:val="24"/>
        </w:rPr>
        <w:t xml:space="preserve">Koval, P., &amp; Kuppens, P. (2012). Changing emotion dynamics: Individual differences in the effect of anticipatory social stress on emotional inertia. </w:t>
      </w:r>
      <w:r>
        <w:rPr>
          <w:rFonts w:ascii="Times New Roman" w:cs="Times New Roman" w:eastAsia="Times New Roman" w:hAnsi="Times New Roman"/>
          <w:i/>
          <w:iCs/>
          <w:sz w:val="24"/>
          <w:szCs w:val="24"/>
        </w:rPr>
        <w:t xml:space="preserve">Emotion, 12</w:t>
      </w:r>
      <w:r>
        <w:rPr>
          <w:rFonts w:ascii="Times New Roman" w:cs="Times New Roman" w:eastAsia="Times New Roman" w:hAnsi="Times New Roman"/>
          <w:sz w:val="24"/>
          <w:szCs w:val="24"/>
        </w:rPr>
        <w:t xml:space="preserve">(2), 256–267.</w:t>
      </w:r>
      <w:r>
        <w:rPr>
          <w:rFonts w:ascii="Times New Roman" w:cs="Times New Roman" w:eastAsia="Times New Roman" w:hAnsi="Times New Roman"/>
          <w:color w:val="1A56DB"/>
          <w:sz w:val="24"/>
          <w:szCs w:val="24"/>
          <w:u w:val="single"/>
        </w:rPr>
        <w:t xml:space="preserve"> https://doi.org/10.1037/a0024756</w:t>
      </w:r>
    </w:p>
    <w:p>
      <w:pPr>
        <w:spacing w:after="120" w:before="0" w:line="480"/>
        <w:ind w:left="720" w:hanging="720"/>
      </w:pPr>
      <w:r>
        <w:rPr>
          <w:rFonts w:ascii="Times New Roman" w:cs="Times New Roman" w:eastAsia="Times New Roman" w:hAnsi="Times New Roman"/>
          <w:sz w:val="24"/>
          <w:szCs w:val="24"/>
        </w:rPr>
        <w:t xml:space="preserve">Kuppens, P., Allen, N. B., &amp; Sheeber, L. B. (2010). Emotional inertia and psychological maladjustment. </w:t>
      </w:r>
      <w:r>
        <w:rPr>
          <w:rFonts w:ascii="Times New Roman" w:cs="Times New Roman" w:eastAsia="Times New Roman" w:hAnsi="Times New Roman"/>
          <w:i/>
          <w:iCs/>
          <w:sz w:val="24"/>
          <w:szCs w:val="24"/>
        </w:rPr>
        <w:t xml:space="preserve">Psychological Science, 21</w:t>
      </w:r>
      <w:r>
        <w:rPr>
          <w:rFonts w:ascii="Times New Roman" w:cs="Times New Roman" w:eastAsia="Times New Roman" w:hAnsi="Times New Roman"/>
          <w:sz w:val="24"/>
          <w:szCs w:val="24"/>
        </w:rPr>
        <w:t xml:space="preserve">(7), 984–991.</w:t>
      </w:r>
      <w:r>
        <w:rPr>
          <w:rFonts w:ascii="Times New Roman" w:cs="Times New Roman" w:eastAsia="Times New Roman" w:hAnsi="Times New Roman"/>
          <w:color w:val="1A56DB"/>
          <w:sz w:val="24"/>
          <w:szCs w:val="24"/>
          <w:u w:val="single"/>
        </w:rPr>
        <w:t xml:space="preserve"> https://doi.org/10.1177/0956797610372634</w:t>
      </w:r>
    </w:p>
    <w:p>
      <w:pPr>
        <w:spacing w:after="120" w:before="0" w:line="480"/>
        <w:jc w:val="both"/>
      </w:pPr>
      <w:r>
        <w:rPr>
          <w:rFonts w:ascii="Times New Roman" w:cs="Times New Roman" w:eastAsia="Times New Roman" w:hAnsi="Times New Roman"/>
          <w:sz w:val="24"/>
          <w:szCs w:val="24"/>
        </w:rPr>
        <w:t xml:space="preserve">Kuznetsova, A., Brockhoff, P. B., &amp; Christensen, R. H. B. (2017). lmerTest package: Tests in linear mixed effects models. </w:t>
      </w:r>
      <w:r>
        <w:rPr>
          <w:rFonts w:ascii="Times New Roman" w:cs="Times New Roman" w:eastAsia="Times New Roman" w:hAnsi="Times New Roman"/>
          <w:i/>
          <w:iCs/>
          <w:sz w:val="24"/>
          <w:szCs w:val="24"/>
        </w:rPr>
        <w:t xml:space="preserve">Journal of Statistical Software, 82</w:t>
      </w:r>
      <w:r>
        <w:rPr>
          <w:rFonts w:ascii="Times New Roman" w:cs="Times New Roman" w:eastAsia="Times New Roman" w:hAnsi="Times New Roman"/>
          <w:sz w:val="24"/>
          <w:szCs w:val="24"/>
        </w:rPr>
        <w:t xml:space="preserve">(13), 1–26. https://doi.org/10.18637/jss.v082.i13</w:t>
      </w:r>
    </w:p>
    <w:p>
      <w:pPr>
        <w:spacing w:after="120" w:before="0" w:line="480"/>
        <w:ind w:left="720" w:hanging="720"/>
      </w:pPr>
      <w:r>
        <w:rPr>
          <w:rFonts w:ascii="Times New Roman" w:cs="Times New Roman" w:eastAsia="Times New Roman" w:hAnsi="Times New Roman"/>
          <w:sz w:val="24"/>
          <w:szCs w:val="24"/>
        </w:rPr>
        <w:t xml:space="preserve">Lakens, D. (2017). Equivalence tests: A practical primer for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tests, correlations, and meta-analyses. </w:t>
      </w:r>
      <w:r>
        <w:rPr>
          <w:rFonts w:ascii="Times New Roman" w:cs="Times New Roman" w:eastAsia="Times New Roman" w:hAnsi="Times New Roman"/>
          <w:i/>
          <w:iCs/>
          <w:sz w:val="24"/>
          <w:szCs w:val="24"/>
        </w:rPr>
        <w:t xml:space="preserve">Social Psychological and Personality Science, 8</w:t>
      </w:r>
      <w:r>
        <w:rPr>
          <w:rFonts w:ascii="Times New Roman" w:cs="Times New Roman" w:eastAsia="Times New Roman" w:hAnsi="Times New Roman"/>
          <w:sz w:val="24"/>
          <w:szCs w:val="24"/>
        </w:rPr>
        <w:t xml:space="preserve">(4), 355–362.</w:t>
      </w:r>
      <w:r>
        <w:rPr>
          <w:rFonts w:ascii="Times New Roman" w:cs="Times New Roman" w:eastAsia="Times New Roman" w:hAnsi="Times New Roman"/>
          <w:color w:val="1A56DB"/>
          <w:sz w:val="24"/>
          <w:szCs w:val="24"/>
          <w:u w:val="single"/>
        </w:rPr>
        <w:t xml:space="preserve"> https://doi.org/10.1177/1948550617697177</w:t>
      </w:r>
    </w:p>
    <w:p>
      <w:pPr>
        <w:spacing w:after="120" w:before="0" w:line="480"/>
        <w:ind w:left="720" w:hanging="720"/>
      </w:pPr>
      <w:r>
        <w:rPr>
          <w:rFonts w:ascii="Times New Roman" w:cs="Times New Roman" w:eastAsia="Times New Roman" w:hAnsi="Times New Roman"/>
          <w:sz w:val="24"/>
          <w:szCs w:val="24"/>
        </w:rPr>
        <w:t xml:space="preserve">Lazarus, R. S. (1991). </w:t>
      </w:r>
      <w:r>
        <w:rPr>
          <w:rFonts w:ascii="Times New Roman" w:cs="Times New Roman" w:eastAsia="Times New Roman" w:hAnsi="Times New Roman"/>
          <w:i/>
          <w:iCs/>
          <w:sz w:val="24"/>
          <w:szCs w:val="24"/>
        </w:rPr>
        <w:t xml:space="preserve">Emotion and adaptation</w:t>
      </w:r>
      <w:r>
        <w:rPr>
          <w:rFonts w:ascii="Times New Roman" w:cs="Times New Roman" w:eastAsia="Times New Roman" w:hAnsi="Times New Roman"/>
          <w:sz w:val="24"/>
          <w:szCs w:val="24"/>
        </w:rPr>
        <w:t xml:space="preserve">. Oxford University Press.</w:t>
      </w:r>
    </w:p>
    <w:p>
      <w:pPr>
        <w:spacing w:after="120" w:before="0" w:line="480"/>
        <w:ind w:left="720" w:hanging="720"/>
      </w:pPr>
      <w:r>
        <w:rPr>
          <w:rFonts w:ascii="Times New Roman" w:cs="Times New Roman" w:eastAsia="Times New Roman" w:hAnsi="Times New Roman"/>
          <w:sz w:val="24"/>
          <w:szCs w:val="24"/>
        </w:rPr>
        <w:t xml:space="preserve">Metcalfe, J., &amp; Greene, M. J. (2007). Metacognition of agency. </w:t>
      </w:r>
      <w:r>
        <w:rPr>
          <w:rFonts w:ascii="Times New Roman" w:cs="Times New Roman" w:eastAsia="Times New Roman" w:hAnsi="Times New Roman"/>
          <w:i/>
          <w:iCs/>
          <w:sz w:val="24"/>
          <w:szCs w:val="24"/>
        </w:rPr>
        <w:t xml:space="preserve">Journal of Experimental Psychology: General, 136</w:t>
      </w:r>
      <w:r>
        <w:rPr>
          <w:rFonts w:ascii="Times New Roman" w:cs="Times New Roman" w:eastAsia="Times New Roman" w:hAnsi="Times New Roman"/>
          <w:sz w:val="24"/>
          <w:szCs w:val="24"/>
        </w:rPr>
        <w:t xml:space="preserve">(2), 184–199.</w:t>
      </w:r>
      <w:r>
        <w:rPr>
          <w:rFonts w:ascii="Times New Roman" w:cs="Times New Roman" w:eastAsia="Times New Roman" w:hAnsi="Times New Roman"/>
          <w:color w:val="1A56DB"/>
          <w:sz w:val="24"/>
          <w:szCs w:val="24"/>
          <w:u w:val="single"/>
        </w:rPr>
        <w:t xml:space="preserve"> https://doi.org/10.1037/0096-3445.136.2.184</w:t>
      </w:r>
    </w:p>
    <w:p>
      <w:pPr>
        <w:spacing w:after="120" w:before="0" w:line="480"/>
        <w:ind w:left="720" w:hanging="720"/>
      </w:pPr>
      <w:r>
        <w:rPr>
          <w:rFonts w:ascii="Times New Roman" w:cs="Times New Roman" w:eastAsia="Times New Roman" w:hAnsi="Times New Roman"/>
          <w:sz w:val="24"/>
          <w:szCs w:val="24"/>
        </w:rPr>
        <w:t xml:space="preserve">Molenaar, P. C. M. (2004). A manifesto on psychology as idiographic science: Bringing the person back into scientific psychology, this time forever. </w:t>
      </w:r>
      <w:r>
        <w:rPr>
          <w:rFonts w:ascii="Times New Roman" w:cs="Times New Roman" w:eastAsia="Times New Roman" w:hAnsi="Times New Roman"/>
          <w:i/>
          <w:iCs/>
          <w:sz w:val="24"/>
          <w:szCs w:val="24"/>
        </w:rPr>
        <w:t xml:space="preserve">Measurement: Interdisciplinary Research and Perspectives, 2</w:t>
      </w:r>
      <w:r>
        <w:rPr>
          <w:rFonts w:ascii="Times New Roman" w:cs="Times New Roman" w:eastAsia="Times New Roman" w:hAnsi="Times New Roman"/>
          <w:sz w:val="24"/>
          <w:szCs w:val="24"/>
        </w:rPr>
        <w:t xml:space="preserve">(4), 201–218.</w:t>
      </w:r>
      <w:r>
        <w:rPr>
          <w:rFonts w:ascii="Times New Roman" w:cs="Times New Roman" w:eastAsia="Times New Roman" w:hAnsi="Times New Roman"/>
          <w:color w:val="1A56DB"/>
          <w:sz w:val="24"/>
          <w:szCs w:val="24"/>
          <w:u w:val="single"/>
        </w:rPr>
        <w:t xml:space="preserve"> https://doi.org/10.1207/s15366359mea0204_1</w:t>
      </w:r>
    </w:p>
    <w:p>
      <w:pPr>
        <w:spacing w:after="120" w:before="0" w:line="480"/>
        <w:ind w:left="720" w:hanging="720"/>
      </w:pPr>
      <w:r>
        <w:rPr>
          <w:rFonts w:ascii="Times New Roman" w:cs="Times New Roman" w:eastAsia="Times New Roman" w:hAnsi="Times New Roman"/>
          <w:sz w:val="24"/>
          <w:szCs w:val="24"/>
        </w:rPr>
        <w:t xml:space="preserve">Molenaar, P. C. M., &amp; Campbell, C. G. (2009). The new person-specific paradigm in psychology. </w:t>
      </w:r>
      <w:r>
        <w:rPr>
          <w:rFonts w:ascii="Times New Roman" w:cs="Times New Roman" w:eastAsia="Times New Roman" w:hAnsi="Times New Roman"/>
          <w:i/>
          <w:iCs/>
          <w:sz w:val="24"/>
          <w:szCs w:val="24"/>
        </w:rPr>
        <w:t xml:space="preserve">Current Directions in Psychological Science, 18</w:t>
      </w:r>
      <w:r>
        <w:rPr>
          <w:rFonts w:ascii="Times New Roman" w:cs="Times New Roman" w:eastAsia="Times New Roman" w:hAnsi="Times New Roman"/>
          <w:sz w:val="24"/>
          <w:szCs w:val="24"/>
        </w:rPr>
        <w:t xml:space="preserve">(2), 112–117.</w:t>
      </w:r>
      <w:r>
        <w:rPr>
          <w:rFonts w:ascii="Times New Roman" w:cs="Times New Roman" w:eastAsia="Times New Roman" w:hAnsi="Times New Roman"/>
          <w:color w:val="1A56DB"/>
          <w:sz w:val="24"/>
          <w:szCs w:val="24"/>
          <w:u w:val="single"/>
        </w:rPr>
        <w:t xml:space="preserve"> https://doi.org/10.1111/j.1467-8721.2009.01619.x</w:t>
      </w:r>
    </w:p>
    <w:p>
      <w:pPr>
        <w:spacing w:after="120" w:before="0" w:line="480"/>
        <w:ind w:left="720" w:hanging="720"/>
      </w:pPr>
      <w:r>
        <w:rPr>
          <w:rFonts w:ascii="Times New Roman" w:cs="Times New Roman" w:eastAsia="Times New Roman" w:hAnsi="Times New Roman"/>
          <w:sz w:val="24"/>
          <w:szCs w:val="24"/>
        </w:rPr>
        <w:t xml:space="preserve">Myin-Germeys, I., &amp; Kuppens, P. (Eds.). (2022). </w:t>
      </w:r>
      <w:r>
        <w:rPr>
          <w:rFonts w:ascii="Times New Roman" w:cs="Times New Roman" w:eastAsia="Times New Roman" w:hAnsi="Times New Roman"/>
          <w:i/>
          <w:iCs/>
          <w:sz w:val="24"/>
          <w:szCs w:val="24"/>
        </w:rPr>
        <w:t xml:space="preserve">The open handbook of experience sampling methodology</w:t>
      </w:r>
      <w:r>
        <w:rPr>
          <w:rFonts w:ascii="Times New Roman" w:cs="Times New Roman" w:eastAsia="Times New Roman" w:hAnsi="Times New Roman"/>
          <w:sz w:val="24"/>
          <w:szCs w:val="24"/>
        </w:rPr>
        <w:t xml:space="preserve"> (2nd ed.). Center for Research on Experience Sampling and Ambulatory Methods Leuven.</w:t>
      </w:r>
    </w:p>
    <w:p>
      <w:pPr>
        <w:spacing w:after="120" w:before="0" w:line="480"/>
        <w:ind w:left="720" w:hanging="720"/>
      </w:pPr>
      <w:r>
        <w:rPr>
          <w:rFonts w:ascii="Times New Roman" w:cs="Times New Roman" w:eastAsia="Times New Roman" w:hAnsi="Times New Roman"/>
          <w:sz w:val="24"/>
          <w:szCs w:val="24"/>
        </w:rPr>
        <w:t xml:space="preserve">Nelson, T. O., &amp; Narens, L. (1990). Metamemory: A theoretical framework and new findings. In G. H. Bower (Ed.), </w:t>
      </w:r>
      <w:r>
        <w:rPr>
          <w:rFonts w:ascii="Times New Roman" w:cs="Times New Roman" w:eastAsia="Times New Roman" w:hAnsi="Times New Roman"/>
          <w:i/>
          <w:iCs/>
          <w:sz w:val="24"/>
          <w:szCs w:val="24"/>
        </w:rPr>
        <w:t xml:space="preserve">The psychology of learning and motivation</w:t>
      </w:r>
      <w:r>
        <w:rPr>
          <w:rFonts w:ascii="Times New Roman" w:cs="Times New Roman" w:eastAsia="Times New Roman" w:hAnsi="Times New Roman"/>
          <w:sz w:val="24"/>
          <w:szCs w:val="24"/>
        </w:rPr>
        <w:t xml:space="preserve"> (Vol. 26, pp. 125–173). Academic Press.</w:t>
      </w:r>
    </w:p>
    <w:p>
      <w:pPr>
        <w:spacing w:after="120" w:before="0" w:line="480"/>
        <w:ind w:left="720" w:hanging="720"/>
      </w:pPr>
      <w:r>
        <w:rPr>
          <w:rFonts w:ascii="Times New Roman" w:cs="Times New Roman" w:eastAsia="Times New Roman" w:hAnsi="Times New Roman"/>
          <w:sz w:val="24"/>
          <w:szCs w:val="24"/>
        </w:rPr>
        <w:t xml:space="preserve">Olthof, M., Hasselman, F., Strunk, G., van Rooij, M., Aas, B., Helmich, M. A., Schiepek, G., &amp; Lichtwarck-Aschoff, A. (2020). Critical fluctuations as an early-warning signal for sudden gains and losses in patients receiving psychotherapy for mood disorders. </w:t>
      </w:r>
      <w:r>
        <w:rPr>
          <w:rFonts w:ascii="Times New Roman" w:cs="Times New Roman" w:eastAsia="Times New Roman" w:hAnsi="Times New Roman"/>
          <w:i/>
          <w:iCs/>
          <w:sz w:val="24"/>
          <w:szCs w:val="24"/>
        </w:rPr>
        <w:t xml:space="preserve">Clinical Psychological Science, 8</w:t>
      </w:r>
      <w:r>
        <w:rPr>
          <w:rFonts w:ascii="Times New Roman" w:cs="Times New Roman" w:eastAsia="Times New Roman" w:hAnsi="Times New Roman"/>
          <w:sz w:val="24"/>
          <w:szCs w:val="24"/>
        </w:rPr>
        <w:t xml:space="preserve">(1), 25–35.</w:t>
      </w:r>
      <w:r>
        <w:rPr>
          <w:rFonts w:ascii="Times New Roman" w:cs="Times New Roman" w:eastAsia="Times New Roman" w:hAnsi="Times New Roman"/>
          <w:color w:val="1A56DB"/>
          <w:sz w:val="24"/>
          <w:szCs w:val="24"/>
          <w:u w:val="single"/>
        </w:rPr>
        <w:t xml:space="preserve"> https://doi.org/10.1177/2167702619865969</w:t>
      </w:r>
    </w:p>
    <w:p>
      <w:pPr>
        <w:spacing w:after="120" w:before="0" w:line="480"/>
        <w:ind w:left="720" w:hanging="720"/>
      </w:pPr>
      <w:r>
        <w:rPr>
          <w:rFonts w:ascii="Times New Roman" w:cs="Times New Roman" w:eastAsia="Times New Roman" w:hAnsi="Times New Roman"/>
          <w:sz w:val="24"/>
          <w:szCs w:val="24"/>
        </w:rPr>
        <w:t xml:space="preserve">Russell, J. A. (1980). A circumplex model of affect. </w:t>
      </w:r>
      <w:r>
        <w:rPr>
          <w:rFonts w:ascii="Times New Roman" w:cs="Times New Roman" w:eastAsia="Times New Roman" w:hAnsi="Times New Roman"/>
          <w:i/>
          <w:iCs/>
          <w:sz w:val="24"/>
          <w:szCs w:val="24"/>
        </w:rPr>
        <w:t xml:space="preserve">Journal of Personality and Social Psychology, 39</w:t>
      </w:r>
      <w:r>
        <w:rPr>
          <w:rFonts w:ascii="Times New Roman" w:cs="Times New Roman" w:eastAsia="Times New Roman" w:hAnsi="Times New Roman"/>
          <w:sz w:val="24"/>
          <w:szCs w:val="24"/>
        </w:rPr>
        <w:t xml:space="preserve">(6), 1161–1178.</w:t>
      </w:r>
      <w:r>
        <w:rPr>
          <w:rFonts w:ascii="Times New Roman" w:cs="Times New Roman" w:eastAsia="Times New Roman" w:hAnsi="Times New Roman"/>
          <w:color w:val="1A56DB"/>
          <w:sz w:val="24"/>
          <w:szCs w:val="24"/>
          <w:u w:val="single"/>
        </w:rPr>
        <w:t xml:space="preserve"> https://doi.org/10.1037/h0077714</w:t>
      </w:r>
    </w:p>
    <w:p>
      <w:pPr>
        <w:spacing w:after="120" w:before="0" w:line="480"/>
        <w:ind w:left="720" w:hanging="720"/>
      </w:pPr>
      <w:r>
        <w:rPr>
          <w:rFonts w:ascii="Times New Roman" w:cs="Times New Roman" w:eastAsia="Times New Roman" w:hAnsi="Times New Roman"/>
          <w:sz w:val="24"/>
          <w:szCs w:val="24"/>
        </w:rPr>
        <w:t xml:space="preserve">Russell, J. A., &amp; Barrett, L. F. (1999). Core affect, prototypical emotional episodes, and other things called emotion: Dissecting the elephant. </w:t>
      </w:r>
      <w:r>
        <w:rPr>
          <w:rFonts w:ascii="Times New Roman" w:cs="Times New Roman" w:eastAsia="Times New Roman" w:hAnsi="Times New Roman"/>
          <w:i/>
          <w:iCs/>
          <w:sz w:val="24"/>
          <w:szCs w:val="24"/>
        </w:rPr>
        <w:t xml:space="preserve">Journal of Personality and Social Psychology, 76</w:t>
      </w:r>
      <w:r>
        <w:rPr>
          <w:rFonts w:ascii="Times New Roman" w:cs="Times New Roman" w:eastAsia="Times New Roman" w:hAnsi="Times New Roman"/>
          <w:sz w:val="24"/>
          <w:szCs w:val="24"/>
        </w:rPr>
        <w:t xml:space="preserve">(5), 805–819.</w:t>
      </w:r>
      <w:r>
        <w:rPr>
          <w:rFonts w:ascii="Times New Roman" w:cs="Times New Roman" w:eastAsia="Times New Roman" w:hAnsi="Times New Roman"/>
          <w:color w:val="1A56DB"/>
          <w:sz w:val="24"/>
          <w:szCs w:val="24"/>
          <w:u w:val="single"/>
        </w:rPr>
        <w:t xml:space="preserve"> https://doi.org/10.1037/0022-3514.76.5.805</w:t>
      </w:r>
    </w:p>
    <w:p>
      <w:pPr>
        <w:spacing w:after="120" w:before="0" w:line="480"/>
        <w:ind w:left="720" w:hanging="720"/>
      </w:pPr>
      <w:r>
        <w:rPr>
          <w:rFonts w:ascii="Times New Roman" w:cs="Times New Roman" w:eastAsia="Times New Roman" w:hAnsi="Times New Roman"/>
          <w:sz w:val="24"/>
          <w:szCs w:val="24"/>
        </w:rPr>
        <w:t xml:space="preserve">Ryan, R. M., &amp; Deci, E. L. (2017). </w:t>
      </w:r>
      <w:r>
        <w:rPr>
          <w:rFonts w:ascii="Times New Roman" w:cs="Times New Roman" w:eastAsia="Times New Roman" w:hAnsi="Times New Roman"/>
          <w:i/>
          <w:iCs/>
          <w:sz w:val="24"/>
          <w:szCs w:val="24"/>
        </w:rPr>
        <w:t xml:space="preserve">Self-determination theory: Basic psychological needs in motivation, development, and wellness</w:t>
      </w:r>
      <w:r>
        <w:rPr>
          <w:rFonts w:ascii="Times New Roman" w:cs="Times New Roman" w:eastAsia="Times New Roman" w:hAnsi="Times New Roman"/>
          <w:sz w:val="24"/>
          <w:szCs w:val="24"/>
        </w:rPr>
        <w:t xml:space="preserve">. Guilford Press.</w:t>
      </w:r>
    </w:p>
    <w:p>
      <w:pPr>
        <w:spacing w:after="120" w:before="0" w:line="480"/>
        <w:ind w:left="720" w:hanging="720"/>
      </w:pPr>
      <w:r>
        <w:rPr>
          <w:rFonts w:ascii="Times New Roman" w:cs="Times New Roman" w:eastAsia="Times New Roman" w:hAnsi="Times New Roman"/>
          <w:sz w:val="24"/>
          <w:szCs w:val="24"/>
        </w:rPr>
        <w:t xml:space="preserve">Seabold, S., &amp; Perktold, J. (2010). statsmodels: Econometric and statistical modeling with Python. In </w:t>
      </w:r>
      <w:r>
        <w:rPr>
          <w:rFonts w:ascii="Times New Roman" w:cs="Times New Roman" w:eastAsia="Times New Roman" w:hAnsi="Times New Roman"/>
          <w:i/>
          <w:iCs/>
          <w:sz w:val="24"/>
          <w:szCs w:val="24"/>
        </w:rPr>
        <w:t xml:space="preserve">Proceedings of the 9th Python in Science Conference</w:t>
      </w:r>
      <w:r>
        <w:rPr>
          <w:rFonts w:ascii="Times New Roman" w:cs="Times New Roman" w:eastAsia="Times New Roman" w:hAnsi="Times New Roman"/>
          <w:sz w:val="24"/>
          <w:szCs w:val="24"/>
        </w:rPr>
        <w:t xml:space="preserve"> (pp. 92–96).</w:t>
      </w:r>
    </w:p>
    <w:p>
      <w:pPr>
        <w:spacing w:after="120" w:before="0" w:line="480"/>
        <w:ind w:left="720" w:hanging="720"/>
      </w:pPr>
      <w:r>
        <w:rPr>
          <w:rFonts w:ascii="Times New Roman" w:cs="Times New Roman" w:eastAsia="Times New Roman" w:hAnsi="Times New Roman"/>
          <w:sz w:val="24"/>
          <w:szCs w:val="24"/>
        </w:rPr>
        <w:t xml:space="preserve">Smit, A. C., Snippe, E., Bringmann, L. F., Hoenders, H. J. R., &amp; Wichers, M. (2023). Transitions in depression: If, how, and when depressive symptoms return during and after discontinuing antidepressants. Quality of Life Research, 32(5), 1295-1306. https://doi.org/10.1007/s11136-022-03301-0</w:t>
      </w:r>
    </w:p>
    <w:p>
      <w:pPr>
        <w:spacing w:after="120" w:before="0" w:line="480"/>
        <w:ind w:left="720" w:hanging="720"/>
      </w:pPr>
      <w:r>
        <w:rPr>
          <w:rFonts w:ascii="Times New Roman" w:cs="Times New Roman" w:eastAsia="Times New Roman" w:hAnsi="Times New Roman"/>
          <w:sz w:val="24"/>
          <w:szCs w:val="24"/>
        </w:rPr>
        <w:t xml:space="preserve">Synofzik, M., Vosgerau, G., &amp; Newen, A. (2008). Beyond the comparator model: A multifactorial two-step account of agency. </w:t>
      </w:r>
      <w:r>
        <w:rPr>
          <w:rFonts w:ascii="Times New Roman" w:cs="Times New Roman" w:eastAsia="Times New Roman" w:hAnsi="Times New Roman"/>
          <w:i/>
          <w:iCs/>
          <w:sz w:val="24"/>
          <w:szCs w:val="24"/>
        </w:rPr>
        <w:t xml:space="preserve">Consciousness and Cognition, 17</w:t>
      </w:r>
      <w:r>
        <w:rPr>
          <w:rFonts w:ascii="Times New Roman" w:cs="Times New Roman" w:eastAsia="Times New Roman" w:hAnsi="Times New Roman"/>
          <w:sz w:val="24"/>
          <w:szCs w:val="24"/>
        </w:rPr>
        <w:t xml:space="preserve">(1), 219–239.</w:t>
      </w:r>
      <w:r>
        <w:rPr>
          <w:rFonts w:ascii="Times New Roman" w:cs="Times New Roman" w:eastAsia="Times New Roman" w:hAnsi="Times New Roman"/>
          <w:color w:val="1A56DB"/>
          <w:sz w:val="24"/>
          <w:szCs w:val="24"/>
          <w:u w:val="single"/>
        </w:rPr>
        <w:t xml:space="preserve"> https://doi.org/10.1016/j.concog.2007.03.010</w:t>
      </w:r>
    </w:p>
    <w:p>
      <w:pPr>
        <w:spacing w:after="120" w:before="0" w:line="480"/>
        <w:ind w:left="720" w:hanging="720"/>
      </w:pPr>
      <w:r>
        <w:rPr>
          <w:rFonts w:ascii="Times New Roman" w:cs="Times New Roman" w:eastAsia="Times New Roman" w:hAnsi="Times New Roman"/>
          <w:sz w:val="24"/>
          <w:szCs w:val="24"/>
        </w:rPr>
        <w:t xml:space="preserve">Wegner, D. M. (2002). </w:t>
      </w:r>
      <w:r>
        <w:rPr>
          <w:rFonts w:ascii="Times New Roman" w:cs="Times New Roman" w:eastAsia="Times New Roman" w:hAnsi="Times New Roman"/>
          <w:i/>
          <w:iCs/>
          <w:sz w:val="24"/>
          <w:szCs w:val="24"/>
        </w:rPr>
        <w:t xml:space="preserve">The illusion of conscious will</w:t>
      </w:r>
      <w:r>
        <w:rPr>
          <w:rFonts w:ascii="Times New Roman" w:cs="Times New Roman" w:eastAsia="Times New Roman" w:hAnsi="Times New Roman"/>
          <w:sz w:val="24"/>
          <w:szCs w:val="24"/>
        </w:rPr>
        <w:t xml:space="preserve">. MIT Press.</w:t>
      </w:r>
    </w:p>
    <w:p>
      <w:pPr>
        <w:spacing w:after="120" w:before="0" w:line="480"/>
        <w:ind w:left="720" w:hanging="720"/>
      </w:pPr>
      <w:r>
        <w:rPr>
          <w:rFonts w:ascii="Times New Roman" w:cs="Times New Roman" w:eastAsia="Times New Roman" w:hAnsi="Times New Roman"/>
          <w:sz w:val="24"/>
          <w:szCs w:val="24"/>
        </w:rPr>
        <w:t xml:space="preserve">Wichers, M. (2014). The dynamic nature of depression: A new micro-level perspective of mental disorder that meets current challenges. </w:t>
      </w:r>
      <w:r>
        <w:rPr>
          <w:rFonts w:ascii="Times New Roman" w:cs="Times New Roman" w:eastAsia="Times New Roman" w:hAnsi="Times New Roman"/>
          <w:i/>
          <w:iCs/>
          <w:sz w:val="24"/>
          <w:szCs w:val="24"/>
        </w:rPr>
        <w:t xml:space="preserve">Psychological Medicine, 44</w:t>
      </w:r>
      <w:r>
        <w:rPr>
          <w:rFonts w:ascii="Times New Roman" w:cs="Times New Roman" w:eastAsia="Times New Roman" w:hAnsi="Times New Roman"/>
          <w:sz w:val="24"/>
          <w:szCs w:val="24"/>
        </w:rPr>
        <w:t xml:space="preserve">(7), 1349–1360.</w:t>
      </w:r>
      <w:r>
        <w:rPr>
          <w:rFonts w:ascii="Times New Roman" w:cs="Times New Roman" w:eastAsia="Times New Roman" w:hAnsi="Times New Roman"/>
          <w:color w:val="1A56DB"/>
          <w:sz w:val="24"/>
          <w:szCs w:val="24"/>
          <w:u w:val="single"/>
        </w:rPr>
        <w:t xml:space="preserve"> https://doi.org/10.1017/S0033291713001979</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55555"/>
        <w:sz w:val="20"/>
        <w:szCs w:val="20"/>
      </w:rPr>
      <w:t xml:space="preserve">AFFECT AS A DYNAMICAL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60" w:before="180"/>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598de9a8a3518b50fb7a94adacb0e68c60b1351.png"/><Relationship Id="rId10" Type="http://schemas.openxmlformats.org/officeDocument/2006/relationships/image" Target="media/c372802015c5e88cabde8bce4c88f01edb9ae5a4.png"/><Relationship Id="rId11" Type="http://schemas.openxmlformats.org/officeDocument/2006/relationships/image" Target="media/d4766e73cbc17b71432c50823524b4da09623619.png"/><Relationship Id="rId12" Type="http://schemas.openxmlformats.org/officeDocument/2006/relationships/image" Target="media/6e14a739f5d88db99e3a783577e41eca896dda09.png"/><Relationship Id="rId13" Type="http://schemas.openxmlformats.org/officeDocument/2006/relationships/image" Target="media/7e39b8d7a8eece68a4a88869f2ab6cd5566c80c8.png"/><Relationship Id="rId14" Type="http://schemas.openxmlformats.org/officeDocument/2006/relationships/image" Target="media/dfa87c24ca0f9947003566d9e62bcf2a1c270797.png"/><Relationship Id="rId15" Type="http://schemas.openxmlformats.org/officeDocument/2006/relationships/image" Target="media/79935b8e3e03d6eb58c11120cf6015ee88ad6bc7.png"/><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Affect as a Dynamical System: A Control-Theoretic N-of-1 Self-Experiment</dc:title>
  <dc:creator>Miura Meng</dc:creator>
  <cp:lastModifiedBy>Un-named</cp:lastModifiedBy>
  <cp:revision>1</cp:revision>
  <dcterms:created xsi:type="dcterms:W3CDTF">2026-05-11T22:06:24.865Z</dcterms:created>
  <dcterms:modified xsi:type="dcterms:W3CDTF">2026-05-11T22:06:24.872Z</dcterms:modified>
</cp:coreProperties>
</file>

<file path=docProps/custom.xml><?xml version="1.0" encoding="utf-8"?>
<Properties xmlns="http://schemas.openxmlformats.org/officeDocument/2006/custom-properties" xmlns:vt="http://schemas.openxmlformats.org/officeDocument/2006/docPropsVTypes"/>
</file>