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CEO AI Platform — Data Handling Summary</w:t>
      </w:r>
    </w:p>
    <w:p>
      <w:pPr>
        <w:pStyle w:val="Subtitle"/>
      </w:pPr>
      <w:r>
        <w:t xml:space="preserve">BYOC Tier — Plain-Language Overview</w:t>
      </w:r>
    </w:p>
    <w:p>
      <w:pPr>
        <w:pStyle w:val="Date"/>
      </w:pPr>
      <w:r>
        <w:t xml:space="preserve">Effective Date: [DATE] | Last Updated: [DATE] | Version: 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-of-this-summary"/>
    <w:p>
      <w:pPr>
        <w:pStyle w:val="Heading1"/>
      </w:pPr>
      <w:r>
        <w:t xml:space="preserve">1. Purpose of This Summary</w:t>
      </w:r>
    </w:p>
    <w:p>
      <w:pPr>
        <w:pStyle w:val="FirstParagraph"/>
      </w:pPr>
      <w:r>
        <w:t xml:space="preserve">This document is a plain-language summary of how the CEO AI Platform (the</w:t>
      </w:r>
      <w:r>
        <w:t xml:space="preserve"> </w:t>
      </w:r>
      <w:r>
        <w:t xml:space="preserve">“Service”</w:t>
      </w:r>
      <w:r>
        <w:t xml:space="preserve">) handles Customer data under the BYOC (</w:t>
      </w:r>
      <w:r>
        <w:t xml:space="preserve">“Bring Your Own Cloud”</w:t>
      </w:r>
      <w:r>
        <w:t xml:space="preserve">) tier. For complete information, please refer to the BYOC Privacy Policy and the BYOC Sub-processor List.</w:t>
      </w:r>
    </w:p>
    <w:bookmarkEnd w:id="9"/>
    <w:bookmarkStart w:id="10" w:name="where-customer-data-lives"/>
    <w:p>
      <w:pPr>
        <w:pStyle w:val="Heading1"/>
      </w:pPr>
      <w:r>
        <w:t xml:space="preserve">2. Where Customer Data Lives</w:t>
      </w:r>
    </w:p>
    <w:p>
      <w:pPr>
        <w:pStyle w:val="FirstParagraph"/>
      </w:pPr>
      <w:r>
        <w:rPr>
          <w:b/>
          <w:bCs/>
        </w:rPr>
        <w:t xml:space="preserve">All Customer data is stored within Customer’s own Microsoft Azure subscription, in the Azure region Customer selected at deployment.</w:t>
      </w:r>
      <w:r>
        <w:t xml:space="preserve"> </w:t>
      </w:r>
      <w:r>
        <w:t xml:space="preserve">Company does not maintain a copy of Customer data outside of Customer’s Azure subscription.</w:t>
      </w:r>
    </w:p>
    <w:bookmarkEnd w:id="10"/>
    <w:bookmarkStart w:id="11" w:name="data-the-service-accesses"/>
    <w:p>
      <w:pPr>
        <w:pStyle w:val="Heading1"/>
      </w:pPr>
      <w:r>
        <w:t xml:space="preserve">3. Data the Service Accesses</w:t>
      </w:r>
    </w:p>
    <w:p>
      <w:pPr>
        <w:pStyle w:val="FirstParagraph"/>
      </w:pPr>
      <w:r>
        <w:t xml:space="preserve">With Customer’s Microsoft 365 OAuth consent, the Service accesses: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Outlook inbox and sent folder.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Calendar</w:t>
      </w:r>
      <w:r>
        <w:t xml:space="preserve"> </w:t>
      </w:r>
      <w:r>
        <w:t xml:space="preserve">— events, attendees, and meeting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OneDrive files</w:t>
      </w:r>
      <w:r>
        <w:t xml:space="preserve"> </w:t>
      </w:r>
      <w:r>
        <w:t xml:space="preserve">— files Customer has authorized for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Teams</w:t>
      </w:r>
      <w:r>
        <w:t xml:space="preserve"> </w:t>
      </w:r>
      <w:r>
        <w:t xml:space="preserve">— 1:1 chat history with the</w:t>
      </w:r>
      <w:r>
        <w:t xml:space="preserve"> </w:t>
      </w:r>
      <w:r>
        <w:t xml:space="preserve">“Audrey”</w:t>
      </w:r>
      <w:r>
        <w:t xml:space="preserve"> </w:t>
      </w:r>
      <w:r>
        <w:t xml:space="preserve">assistant bot.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Customer’s name, email address, and profile photograph.</w:t>
      </w:r>
    </w:p>
    <w:p>
      <w:pPr>
        <w:pStyle w:val="FirstParagraph"/>
      </w:pPr>
      <w:r>
        <w:t xml:space="preserve">The Service does not access or store Microsoft passwords.</w:t>
      </w:r>
    </w:p>
    <w:bookmarkEnd w:id="11"/>
    <w:bookmarkStart w:id="12" w:name="how-the-data-is-used"/>
    <w:p>
      <w:pPr>
        <w:pStyle w:val="Heading1"/>
      </w:pPr>
      <w:r>
        <w:t xml:space="preserve">4. How the Data is Used</w:t>
      </w:r>
    </w:p>
    <w:p>
      <w:pPr>
        <w:pStyle w:val="FirstParagraph"/>
      </w:pPr>
      <w:r>
        <w:t xml:space="preserve">To deliver the five AI assistant modules:</w:t>
      </w:r>
    </w:p>
    <w:p>
      <w:pPr>
        <w:pStyle w:val="Compact"/>
        <w:numPr>
          <w:ilvl w:val="0"/>
          <w:numId w:val="1002"/>
        </w:numPr>
      </w:pPr>
      <w:r>
        <w:t xml:space="preserve">Daily Briefing</w:t>
      </w:r>
    </w:p>
    <w:p>
      <w:pPr>
        <w:pStyle w:val="Compact"/>
        <w:numPr>
          <w:ilvl w:val="0"/>
          <w:numId w:val="1002"/>
        </w:numPr>
      </w:pPr>
      <w:r>
        <w:t xml:space="preserve">Email Triage and Draft Reply</w:t>
      </w:r>
    </w:p>
    <w:p>
      <w:pPr>
        <w:pStyle w:val="Compact"/>
        <w:numPr>
          <w:ilvl w:val="0"/>
          <w:numId w:val="1002"/>
        </w:numPr>
      </w:pPr>
      <w:r>
        <w:t xml:space="preserve">Meeting Recording Transcription and Summary</w:t>
      </w:r>
    </w:p>
    <w:p>
      <w:pPr>
        <w:pStyle w:val="Compact"/>
        <w:numPr>
          <w:ilvl w:val="0"/>
          <w:numId w:val="1002"/>
        </w:numPr>
      </w:pPr>
      <w:r>
        <w:t xml:space="preserve">Relationship Intelligence</w:t>
      </w:r>
    </w:p>
    <w:p>
      <w:pPr>
        <w:pStyle w:val="Compact"/>
        <w:numPr>
          <w:ilvl w:val="0"/>
          <w:numId w:val="1002"/>
        </w:numPr>
      </w:pPr>
      <w:r>
        <w:t xml:space="preserve">Expense and Receipt Capture</w:t>
      </w:r>
    </w:p>
    <w:bookmarkEnd w:id="12"/>
    <w:bookmarkStart w:id="13" w:name="storage-location"/>
    <w:p>
      <w:pPr>
        <w:pStyle w:val="Heading1"/>
      </w:pPr>
      <w:r>
        <w:t xml:space="preserve">5. Storage 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logic</w:t>
      </w:r>
      <w:r>
        <w:t xml:space="preserve">: Customer’s Azure App Service.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at rest</w:t>
      </w:r>
      <w:r>
        <w:t xml:space="preserve">: Customer’s Azure Files share, AES-256 encrypted by Microsoft Azure.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</w:t>
      </w:r>
      <w:r>
        <w:t xml:space="preserve">: as selected by Customer at deployment.</w:t>
      </w:r>
    </w:p>
    <w:bookmarkEnd w:id="13"/>
    <w:bookmarkStart w:id="14" w:name="third-parties-sub-processors"/>
    <w:p>
      <w:pPr>
        <w:pStyle w:val="Heading1"/>
      </w:pPr>
      <w:r>
        <w:t xml:space="preserve">6. Third Parties (Sub-processors)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Identity and M365 data access (Customer’s existing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Generative AI processing</w:t>
            </w:r>
          </w:p>
        </w:tc>
      </w:tr>
    </w:tbl>
    <w:p>
      <w:pPr>
        <w:pStyle w:val="BodyText"/>
      </w:pPr>
      <w:r>
        <w:t xml:space="preserve">Railway, Inc. 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under the BYOC tier. There is no shared infrastructure between Customer and any other customer.</w:t>
      </w:r>
    </w:p>
    <w:bookmarkEnd w:id="14"/>
    <w:bookmarkStart w:id="15" w:name="vendor-company-access"/>
    <w:p>
      <w:pPr>
        <w:pStyle w:val="Heading1"/>
      </w:pPr>
      <w:r>
        <w:t xml:space="preserve">7. Vendor (Company) Access</w:t>
      </w:r>
    </w:p>
    <w:p>
      <w:pPr>
        <w:pStyle w:val="FirstParagraph"/>
      </w:pPr>
      <w:r>
        <w:t xml:space="preserve">Under normal operation, Company does not access Customer data. When access is required for support, it is exercised through the Role-Based Access Control (</w:t>
      </w:r>
      <w:r>
        <w:t xml:space="preserve">“RBAC”</w:t>
      </w:r>
      <w:r>
        <w:t xml:space="preserve">) role Customer granted in Azure. Customer may revoke that access at any time. All Vendor Access actions are recorded in Customer’s Azure Activity Log.</w:t>
      </w:r>
    </w:p>
    <w:bookmarkEnd w:id="15"/>
    <w:bookmarkStart w:id="16" w:name="customer-controls"/>
    <w:p>
      <w:pPr>
        <w:pStyle w:val="Heading1"/>
      </w:pPr>
      <w:r>
        <w:t xml:space="preserve">8. Customer Controls</w:t>
      </w:r>
    </w:p>
    <w:p>
      <w:pPr>
        <w:pStyle w:val="FirstParagraph"/>
      </w:pPr>
      <w:r>
        <w:t xml:space="preserve">Customer may, at any time: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Delete the Service</w:t>
      </w:r>
      <w:r>
        <w:t xml:space="preserve"> </w:t>
      </w:r>
      <w:r>
        <w:t xml:space="preserve">by removing the Azure resource group hosting the platform. All Customer data is removed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 Vendor Access</w:t>
      </w:r>
      <w:r>
        <w:t xml:space="preserve"> </w:t>
      </w:r>
      <w:r>
        <w:t xml:space="preserve">in Azure → Access control (IAM).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 Microsoft OAuth consent</w:t>
      </w:r>
      <w:r>
        <w:t xml:space="preserve"> </w:t>
      </w:r>
      <w:r>
        <w:t xml:space="preserve">at https://myaccount.microsoft.com → Permissions.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Disable individual modules</w:t>
      </w:r>
      <w:r>
        <w:t xml:space="preserve"> </w:t>
      </w:r>
      <w:r>
        <w:t xml:space="preserve">in the Service settings.</w:t>
      </w:r>
    </w:p>
    <w:bookmarkEnd w:id="16"/>
    <w:bookmarkStart w:id="17" w:name="further-information"/>
    <w:p>
      <w:pPr>
        <w:pStyle w:val="Heading1"/>
      </w:pPr>
      <w:r>
        <w:t xml:space="preserve">9. Further Information</w:t>
      </w:r>
    </w:p>
    <w:p>
      <w:pPr>
        <w:pStyle w:val="Compact"/>
        <w:numPr>
          <w:ilvl w:val="0"/>
          <w:numId w:val="1005"/>
        </w:numPr>
      </w:pPr>
      <w:r>
        <w:t xml:space="preserve">BYOC Privacy Policy</w:t>
      </w:r>
    </w:p>
    <w:p>
      <w:pPr>
        <w:pStyle w:val="Compact"/>
        <w:numPr>
          <w:ilvl w:val="0"/>
          <w:numId w:val="1005"/>
        </w:numPr>
      </w:pPr>
      <w:r>
        <w:t xml:space="preserve">BYOC Sub-processor List</w:t>
      </w:r>
    </w:p>
    <w:p>
      <w:pPr>
        <w:pStyle w:val="Compact"/>
        <w:numPr>
          <w:ilvl w:val="0"/>
          <w:numId w:val="1005"/>
        </w:numPr>
      </w:pPr>
      <w:r>
        <w:t xml:space="preserve">BYOC Terms of Service (in the Master Services Agreement)</w:t>
      </w:r>
    </w:p>
    <w:bookmarkEnd w:id="17"/>
    <w:bookmarkStart w:id="18" w:name="contact"/>
    <w:p>
      <w:pPr>
        <w:pStyle w:val="Heading1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[COMPANY NAME]</w:t>
      </w:r>
    </w:p>
    <w:p>
      <w:pPr>
        <w:pStyle w:val="BodyText"/>
      </w:pPr>
      <w:r>
        <w:t xml:space="preserve">Email: [PRIVACY@COMPANY.COM]</w:t>
      </w:r>
      <w:r>
        <w:br/>
      </w:r>
      <w:r>
        <w:t xml:space="preserve">Web: [WWW.COMPANY.COM/PRIVACY]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Data Handling Summary is provided as a beta-stage operational document. It has not been reviewed by external legal counsel.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AI Platform — Data Handling Summary</dc:title>
  <dc:creator/>
  <cp:keywords/>
  <dcterms:created xsi:type="dcterms:W3CDTF">2026-06-09T07:55:30Z</dcterms:created>
  <dcterms:modified xsi:type="dcterms:W3CDTF">2026-06-09T07:55:30Z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Effective Date: [DATE] | Last Updated: [DATE] | Version: 1.0</vt:lpwstr>
  </property>
  <property fmtid="{D5CDD505-2E9C-101B-9397-08002B2CF9AE}" pid="3" name="subtitle">
    <vt:lpwstr>BYOC Tier — Plain-Language Overview</vt:lpwstr>
  </property>
</Properties>
</file>