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CEO AI Platform — Privacy Policy</w:t>
      </w:r>
    </w:p>
    <w:p>
      <w:pPr>
        <w:pStyle w:val="Subtitle"/>
      </w:pPr>
      <w:r>
        <w:t xml:space="preserve">BYOC Tier (Bring Your Own Cloud)</w:t>
      </w:r>
    </w:p>
    <w:p>
      <w:pPr>
        <w:pStyle w:val="Date"/>
      </w:pPr>
      <w:r>
        <w:t xml:space="preserve">Effective Date: [DATE] | Last Updated: [DATE] | Version: 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tion"/>
    <w:p>
      <w:pPr>
        <w:pStyle w:val="Heading1"/>
      </w:pPr>
      <w:r>
        <w:t xml:space="preserve">1. Introduction</w:t>
      </w:r>
    </w:p>
    <w:p>
      <w:pPr>
        <w:pStyle w:val="FirstParagraph"/>
      </w:pPr>
      <w:r>
        <w:t xml:space="preserve">This Privacy Policy (</w:t>
      </w:r>
      <w:r>
        <w:t xml:space="preserve">“Policy”</w:t>
      </w:r>
      <w:r>
        <w:t xml:space="preserve">) describes how [COMPANY NAME] (</w:t>
      </w:r>
      <w:r>
        <w:t xml:space="preserve">“Company”</w:t>
      </w:r>
      <w:r>
        <w:t xml:space="preserve">,</w:t>
      </w:r>
      <w:r>
        <w:t xml:space="preserve"> </w:t>
      </w:r>
      <w:r>
        <w:t xml:space="preserve">“we”</w:t>
      </w:r>
      <w:r>
        <w:t xml:space="preserve">,</w:t>
      </w:r>
      <w:r>
        <w:t xml:space="preserve"> </w:t>
      </w:r>
      <w:r>
        <w:t xml:space="preserve">“us”</w:t>
      </w:r>
      <w:r>
        <w:t xml:space="preserve">, or</w:t>
      </w:r>
      <w:r>
        <w:t xml:space="preserve"> </w:t>
      </w:r>
      <w:r>
        <w:t xml:space="preserve">“our”</w:t>
      </w:r>
      <w:r>
        <w:t xml:space="preserve">) collects, uses, discloses, and otherwise processes personal data when you use the CEO AI Platform (the</w:t>
      </w:r>
      <w:r>
        <w:t xml:space="preserve"> </w:t>
      </w:r>
      <w:r>
        <w:t xml:space="preserve">“Service”</w:t>
      </w:r>
      <w:r>
        <w:t xml:space="preserve">) under the Bring Your Own Cloud (</w:t>
      </w:r>
      <w:r>
        <w:t xml:space="preserve">“BYOC”</w:t>
      </w:r>
      <w:r>
        <w:t xml:space="preserve">) tier, in which the Service is deployed inside Customer’s own Microsoft Azure subscription.</w:t>
      </w:r>
    </w:p>
    <w:p>
      <w:pPr>
        <w:pStyle w:val="BodyText"/>
      </w:pPr>
      <w:r>
        <w:t xml:space="preserve">By accessing or using the Service, you acknowledge that you have read and understood this Policy.</w:t>
      </w:r>
    </w:p>
    <w:p>
      <w:pPr>
        <w:pStyle w:val="BodyText"/>
      </w:pPr>
      <w:r>
        <w:t xml:space="preserve">This Policy applies to the BYOC-tier deployment only. The SaaS and CPDP tiers are governed by separate Privacy Policies.</w:t>
      </w:r>
    </w:p>
    <w:bookmarkEnd w:id="9"/>
    <w:bookmarkStart w:id="10" w:name="definitions"/>
    <w:p>
      <w:pPr>
        <w:pStyle w:val="Heading1"/>
      </w:pPr>
      <w:r>
        <w:t xml:space="preserve">2. Definitions</w:t>
      </w:r>
    </w:p>
    <w:p>
      <w:pPr>
        <w:pStyle w:val="FirstParagraph"/>
      </w:pPr>
      <w:r>
        <w:t xml:space="preserve">For the purposes of this Policy:</w:t>
      </w:r>
    </w:p>
    <w:p>
      <w:pPr>
        <w:pStyle w:val="Compact"/>
        <w:numPr>
          <w:ilvl w:val="0"/>
          <w:numId w:val="1001"/>
        </w:numPr>
      </w:pPr>
      <w:r>
        <w:rPr>
          <w:b/>
          <w:bCs/>
        </w:rPr>
        <w:t xml:space="preserve">“Account”</w:t>
      </w:r>
      <w:r>
        <w:t xml:space="preserve"> </w:t>
      </w:r>
      <w:r>
        <w:t xml:space="preserve">means a registered user account created through Microsoft authentication within Customer’s BYOC deployment.</w:t>
      </w:r>
    </w:p>
    <w:p>
      <w:pPr>
        <w:pStyle w:val="Compact"/>
        <w:numPr>
          <w:ilvl w:val="0"/>
          <w:numId w:val="1001"/>
        </w:numPr>
      </w:pPr>
      <w:r>
        <w:rPr>
          <w:b/>
          <w:bCs/>
        </w:rPr>
        <w:t xml:space="preserve">“Customer’s Azure”</w:t>
      </w:r>
      <w:r>
        <w:t xml:space="preserve"> </w:t>
      </w:r>
      <w:r>
        <w:t xml:space="preserve">means the Microsoft Azure subscription owned and operated by Customer in which the Service is deployed.</w:t>
      </w:r>
    </w:p>
    <w:p>
      <w:pPr>
        <w:pStyle w:val="Compact"/>
        <w:numPr>
          <w:ilvl w:val="0"/>
          <w:numId w:val="1001"/>
        </w:numPr>
      </w:pPr>
      <w:r>
        <w:rPr>
          <w:b/>
          <w:bCs/>
        </w:rPr>
        <w:t xml:space="preserve">“Personal Data”</w:t>
      </w:r>
      <w:r>
        <w:t xml:space="preserve"> </w:t>
      </w:r>
      <w:r>
        <w:t xml:space="preserve">means any information relating to an identified or identifiable natural person.</w:t>
      </w:r>
    </w:p>
    <w:p>
      <w:pPr>
        <w:pStyle w:val="Compact"/>
        <w:numPr>
          <w:ilvl w:val="0"/>
          <w:numId w:val="1001"/>
        </w:numPr>
      </w:pPr>
      <w:r>
        <w:rPr>
          <w:b/>
          <w:bCs/>
        </w:rPr>
        <w:t xml:space="preserve">“Processing”</w:t>
      </w:r>
      <w:r>
        <w:t xml:space="preserve"> </w:t>
      </w:r>
      <w:r>
        <w:t xml:space="preserve">means any operation performed on Personal Data, including collection, storage, use, and disclosure.</w:t>
      </w:r>
    </w:p>
    <w:p>
      <w:pPr>
        <w:pStyle w:val="Compact"/>
        <w:numPr>
          <w:ilvl w:val="0"/>
          <w:numId w:val="1001"/>
        </w:numPr>
      </w:pPr>
      <w:r>
        <w:rPr>
          <w:b/>
          <w:bCs/>
        </w:rPr>
        <w:t xml:space="preserve">“Sub-processor”</w:t>
      </w:r>
      <w:r>
        <w:t xml:space="preserve"> </w:t>
      </w:r>
      <w:r>
        <w:t xml:space="preserve">means any third party engaged by Company to process Personal Data on its behalf.</w:t>
      </w:r>
    </w:p>
    <w:p>
      <w:pPr>
        <w:pStyle w:val="Compact"/>
        <w:numPr>
          <w:ilvl w:val="0"/>
          <w:numId w:val="1001"/>
        </w:numPr>
      </w:pPr>
      <w:r>
        <w:rPr>
          <w:b/>
          <w:bCs/>
        </w:rPr>
        <w:t xml:space="preserve">“Vendor Access”</w:t>
      </w:r>
      <w:r>
        <w:t xml:space="preserve"> </w:t>
      </w:r>
      <w:r>
        <w:t xml:space="preserve">has the meaning given in Section 6.</w:t>
      </w:r>
    </w:p>
    <w:bookmarkEnd w:id="10"/>
    <w:bookmarkStart w:id="11" w:name="scope"/>
    <w:p>
      <w:pPr>
        <w:pStyle w:val="Heading1"/>
      </w:pPr>
      <w:r>
        <w:t xml:space="preserve">3. Scope</w:t>
      </w:r>
    </w:p>
    <w:p>
      <w:pPr>
        <w:pStyle w:val="FirstParagraph"/>
      </w:pPr>
      <w:r>
        <w:t xml:space="preserve">This Policy covers Personal Data we process when:</w:t>
      </w:r>
    </w:p>
    <w:p>
      <w:pPr>
        <w:pStyle w:val="Compact"/>
        <w:numPr>
          <w:ilvl w:val="0"/>
          <w:numId w:val="1002"/>
        </w:numPr>
      </w:pPr>
      <w:r>
        <w:t xml:space="preserve">Customer signs in to the Service via Microsoft 365 authentication within Customer’s Azure deployment.</w:t>
      </w:r>
    </w:p>
    <w:p>
      <w:pPr>
        <w:pStyle w:val="Compact"/>
        <w:numPr>
          <w:ilvl w:val="0"/>
          <w:numId w:val="1002"/>
        </w:numPr>
      </w:pPr>
      <w:r>
        <w:t xml:space="preserve">The Service operates the five AI assistant modules within Customer’s Azure.</w:t>
      </w:r>
    </w:p>
    <w:p>
      <w:pPr>
        <w:pStyle w:val="Compact"/>
        <w:numPr>
          <w:ilvl w:val="0"/>
          <w:numId w:val="1002"/>
        </w:numPr>
      </w:pPr>
      <w:r>
        <w:t xml:space="preserve">Company exercises Vendor Access for support or operational purposes.</w:t>
      </w:r>
    </w:p>
    <w:p>
      <w:pPr>
        <w:pStyle w:val="FirstParagraph"/>
      </w:pPr>
      <w:r>
        <w:t xml:space="preserve">This Policy does not cover:</w:t>
      </w:r>
    </w:p>
    <w:p>
      <w:pPr>
        <w:pStyle w:val="Compact"/>
        <w:numPr>
          <w:ilvl w:val="0"/>
          <w:numId w:val="1003"/>
        </w:numPr>
      </w:pPr>
      <w:r>
        <w:t xml:space="preserve">Customer’s own administration of its Azure subscription.</w:t>
      </w:r>
    </w:p>
    <w:p>
      <w:pPr>
        <w:pStyle w:val="Compact"/>
        <w:numPr>
          <w:ilvl w:val="0"/>
          <w:numId w:val="1003"/>
        </w:numPr>
      </w:pPr>
      <w:r>
        <w:t xml:space="preserve">Microsoft’s processing of data within Customer’s M365 tenant or Azure subscription, which is governed by Customer’s direct agreements with Microsoft.</w:t>
      </w:r>
    </w:p>
    <w:bookmarkEnd w:id="11"/>
    <w:bookmarkStart w:id="17" w:name="personal-data-we-process"/>
    <w:p>
      <w:pPr>
        <w:pStyle w:val="Heading1"/>
      </w:pPr>
      <w:r>
        <w:t xml:space="preserve">4. Personal Data We Process</w:t>
      </w:r>
    </w:p>
    <w:p>
      <w:pPr>
        <w:pStyle w:val="FirstParagraph"/>
      </w:pPr>
      <w:r>
        <w:t xml:space="preserve">When Customer authenticates via Microsoft OAuth 2.0 and grants the requested permissions, the Service accesses and processes the following categories of Personal Data.</w:t>
      </w:r>
      <w:r>
        <w:t xml:space="preserve"> </w:t>
      </w:r>
      <w:r>
        <w:rPr>
          <w:b/>
          <w:bCs/>
        </w:rPr>
        <w:t xml:space="preserve">All such Personal Data is stored exclusively within Customer’s Azure subscription.</w:t>
      </w:r>
    </w:p>
    <w:bookmarkStart w:id="12" w:name="account-data"/>
    <w:p>
      <w:pPr>
        <w:pStyle w:val="Heading2"/>
      </w:pPr>
      <w:r>
        <w:t xml:space="preserve">4.1 Account Data</w:t>
      </w:r>
    </w:p>
    <w:p>
      <w:pPr>
        <w:pStyle w:val="FirstParagraph"/>
      </w:pPr>
      <w:r>
        <w:t xml:space="preserve">Customer’s name, email address, and profile photograph as provided by Microsoft.</w:t>
      </w:r>
    </w:p>
    <w:bookmarkEnd w:id="12"/>
    <w:bookmarkStart w:id="13" w:name="communication-data"/>
    <w:p>
      <w:pPr>
        <w:pStyle w:val="Heading2"/>
      </w:pPr>
      <w:r>
        <w:t xml:space="preserve">4.2 Communication Data</w:t>
      </w:r>
    </w:p>
    <w:p>
      <w:pPr>
        <w:pStyle w:val="FirstParagraph"/>
      </w:pPr>
      <w:r>
        <w:t xml:space="preserve">Email messages in Customer’s Outlook inbox and sent folder; 1:1 Microsoft Teams chat history with the Audrey assistant bot.</w:t>
      </w:r>
    </w:p>
    <w:bookmarkEnd w:id="13"/>
    <w:bookmarkStart w:id="14" w:name="calendar-data"/>
    <w:p>
      <w:pPr>
        <w:pStyle w:val="Heading2"/>
      </w:pPr>
      <w:r>
        <w:t xml:space="preserve">4.3 Calendar Data</w:t>
      </w:r>
    </w:p>
    <w:p>
      <w:pPr>
        <w:pStyle w:val="FirstParagraph"/>
      </w:pPr>
      <w:r>
        <w:t xml:space="preserve">Calendar events, attendee information, and meeting metadata.</w:t>
      </w:r>
    </w:p>
    <w:bookmarkEnd w:id="14"/>
    <w:bookmarkStart w:id="15" w:name="file-data"/>
    <w:p>
      <w:pPr>
        <w:pStyle w:val="Heading2"/>
      </w:pPr>
      <w:r>
        <w:t xml:space="preserve">4.4 File Data</w:t>
      </w:r>
    </w:p>
    <w:p>
      <w:pPr>
        <w:pStyle w:val="FirstParagraph"/>
      </w:pPr>
      <w:r>
        <w:t xml:space="preserve">OneDrive files Customer has authorized for access, primarily meeting recordings.</w:t>
      </w:r>
    </w:p>
    <w:bookmarkEnd w:id="15"/>
    <w:bookmarkStart w:id="16" w:name="service-usage-data"/>
    <w:p>
      <w:pPr>
        <w:pStyle w:val="Heading2"/>
      </w:pPr>
      <w:r>
        <w:t xml:space="preserve">4.5 Service Usage Data</w:t>
      </w:r>
    </w:p>
    <w:p>
      <w:pPr>
        <w:pStyle w:val="FirstParagraph"/>
      </w:pPr>
      <w:r>
        <w:t xml:space="preserve">Logs of feature interactions and error events. This category does not include the content of communications.</w:t>
      </w:r>
    </w:p>
    <w:p>
      <w:pPr>
        <w:pStyle w:val="BodyText"/>
      </w:pPr>
      <w:r>
        <w:t xml:space="preserve">The Service does not collect, process, or store passwords or other authentication credentials.</w:t>
      </w:r>
    </w:p>
    <w:bookmarkEnd w:id="16"/>
    <w:bookmarkEnd w:id="17"/>
    <w:bookmarkStart w:id="20" w:name="how-and-why-we-use-personal-data"/>
    <w:p>
      <w:pPr>
        <w:pStyle w:val="Heading1"/>
      </w:pPr>
      <w:r>
        <w:t xml:space="preserve">5. How and Why We Use Personal Data</w:t>
      </w:r>
    </w:p>
    <w:p>
      <w:pPr>
        <w:pStyle w:val="FirstParagraph"/>
      </w:pPr>
      <w:r>
        <w:t xml:space="preserve">We use the Personal Data described in Section 4 solely for:</w:t>
      </w:r>
    </w:p>
    <w:bookmarkStart w:id="18" w:name="service-delivery"/>
    <w:p>
      <w:pPr>
        <w:pStyle w:val="Heading2"/>
      </w:pPr>
      <w:r>
        <w:t xml:space="preserve">5.1 Service Delivery</w:t>
      </w:r>
    </w:p>
    <w:p>
      <w:pPr>
        <w:pStyle w:val="FirstParagraph"/>
      </w:pPr>
      <w:r>
        <w:t xml:space="preserve">Operation of the five AI assistant modules: (i) daily executive briefing; (ii) email triage and draft reply generation; (iii) meeting recording transcription and summarization; (iv) relationship intelligence; and (v) expense and receipt capture.</w:t>
      </w:r>
    </w:p>
    <w:bookmarkEnd w:id="18"/>
    <w:bookmarkStart w:id="19" w:name="service-operation-and-improvement"/>
    <w:p>
      <w:pPr>
        <w:pStyle w:val="Heading2"/>
      </w:pPr>
      <w:r>
        <w:t xml:space="preserve">5.2 Service Operation and Improvement</w:t>
      </w:r>
    </w:p>
    <w:p>
      <w:pPr>
        <w:pStyle w:val="FirstParagraph"/>
      </w:pPr>
      <w:r>
        <w:t xml:space="preserve">Monitoring and improving the performance, security, and reliability of the Service.</w:t>
      </w:r>
    </w:p>
    <w:p>
      <w:pPr>
        <w:pStyle w:val="BodyText"/>
      </w:pPr>
      <w:r>
        <w:t xml:space="preserve">We do not use Personal Data to train artificial intelligence models, sell Personal Data, or share Personal Data with advertisers or marketers.</w:t>
      </w:r>
    </w:p>
    <w:bookmarkEnd w:id="19"/>
    <w:bookmarkEnd w:id="20"/>
    <w:bookmarkStart w:id="25" w:name="vendor-access"/>
    <w:p>
      <w:pPr>
        <w:pStyle w:val="Heading1"/>
      </w:pPr>
      <w:r>
        <w:t xml:space="preserve">6. Vendor Access</w:t>
      </w:r>
    </w:p>
    <w:p>
      <w:pPr>
        <w:pStyle w:val="FirstParagraph"/>
      </w:pPr>
      <w:r>
        <w:t xml:space="preserve">Under normal Service operation, Company does not access Customer’s Personal Data. Where access is necessary for support, debugging, or operational reasons, Vendor Access is governed as follows.</w:t>
      </w:r>
    </w:p>
    <w:bookmarkStart w:id="21" w:name="authorization"/>
    <w:p>
      <w:pPr>
        <w:pStyle w:val="Heading2"/>
      </w:pPr>
      <w:r>
        <w:t xml:space="preserve">6.1 Authorization</w:t>
      </w:r>
    </w:p>
    <w:p>
      <w:pPr>
        <w:pStyle w:val="FirstParagraph"/>
      </w:pPr>
      <w:r>
        <w:t xml:space="preserve">Vendor Access is exercised through a Role-Based Access Control (</w:t>
      </w:r>
      <w:r>
        <w:t xml:space="preserve">“RBAC”</w:t>
      </w:r>
      <w:r>
        <w:t xml:space="preserve">) role granted by Customer’s Azure administrator. The recommended scope is</w:t>
      </w:r>
      <w:r>
        <w:t xml:space="preserve"> </w:t>
      </w:r>
      <w:r>
        <w:rPr>
          <w:b/>
          <w:bCs/>
        </w:rPr>
        <w:t xml:space="preserve">Contributor</w:t>
      </w:r>
      <w:r>
        <w:t xml:space="preserve"> </w:t>
      </w:r>
      <w:r>
        <w:t xml:space="preserve">at the resource group level (excluding subscription-wide access). Customer may grant a narrower custom role.</w:t>
      </w:r>
    </w:p>
    <w:bookmarkEnd w:id="21"/>
    <w:bookmarkStart w:id="22" w:name="notice"/>
    <w:p>
      <w:pPr>
        <w:pStyle w:val="Heading2"/>
      </w:pPr>
      <w:r>
        <w:t xml:space="preserve">6.2 Notice</w:t>
      </w:r>
    </w:p>
    <w:p>
      <w:pPr>
        <w:pStyle w:val="FirstParagraph"/>
      </w:pPr>
      <w:r>
        <w:t xml:space="preserve">Company will provide Customer not less than twenty-four (24) hours’ advance notice of routine Vendor Access. In emergencies, Company will provide notice within twenty-four (24) hours after access has occurred.</w:t>
      </w:r>
    </w:p>
    <w:bookmarkEnd w:id="22"/>
    <w:bookmarkStart w:id="23" w:name="auditability"/>
    <w:p>
      <w:pPr>
        <w:pStyle w:val="Heading2"/>
      </w:pPr>
      <w:r>
        <w:t xml:space="preserve">6.3 Auditability</w:t>
      </w:r>
    </w:p>
    <w:p>
      <w:pPr>
        <w:pStyle w:val="FirstParagraph"/>
      </w:pPr>
      <w:r>
        <w:t xml:space="preserve">All Vendor Access actions are recorded in Customer’s Azure Activity Log, which Customer may review at any time.</w:t>
      </w:r>
    </w:p>
    <w:bookmarkEnd w:id="23"/>
    <w:bookmarkStart w:id="24" w:name="revocation"/>
    <w:p>
      <w:pPr>
        <w:pStyle w:val="Heading2"/>
      </w:pPr>
      <w:r>
        <w:t xml:space="preserve">6.4 Revocation</w:t>
      </w:r>
    </w:p>
    <w:p>
      <w:pPr>
        <w:pStyle w:val="FirstParagraph"/>
      </w:pPr>
      <w:r>
        <w:t xml:space="preserve">Customer may revoke Vendor Access at any time by removing the RBAC role assignment in Azure. Company will lose access immediately.</w:t>
      </w:r>
    </w:p>
    <w:bookmarkEnd w:id="24"/>
    <w:bookmarkEnd w:id="25"/>
    <w:bookmarkStart w:id="26" w:name="sharing-of-personal-data-sub-processors"/>
    <w:p>
      <w:pPr>
        <w:pStyle w:val="Heading1"/>
      </w:pPr>
      <w:r>
        <w:t xml:space="preserve">7. Sharing of Personal Data (Sub-processors)</w:t>
      </w:r>
    </w:p>
    <w:p>
      <w:pPr>
        <w:pStyle w:val="FirstParagraph"/>
      </w:pPr>
      <w:r>
        <w:t xml:space="preserve">We share Personal Data with the following Sub-processors. A complete list, with terms, is in the BYOC Sub-processor 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Sub-processor</w:t>
            </w:r>
          </w:p>
        </w:tc>
        <w:tc>
          <w:tcPr/>
          <w:p>
            <w:pPr>
              <w:pStyle w:val="Compact"/>
            </w:pPr>
            <w:r>
              <w:t xml:space="preserve">Purpose</w:t>
            </w:r>
          </w:p>
        </w:tc>
        <w:tc>
          <w:tcPr/>
          <w:p>
            <w:pPr>
              <w:pStyle w:val="Compact"/>
            </w:pPr>
            <w:r>
              <w:t xml:space="preserve">Data Categories</w:t>
            </w:r>
          </w:p>
        </w:tc>
        <w:tc>
          <w:tcPr/>
          <w:p>
            <w:pPr>
              <w:pStyle w:val="Compact"/>
            </w:pPr>
            <w:r>
              <w:t xml:space="preserve">Location</w:t>
            </w:r>
          </w:p>
        </w:tc>
      </w:tr>
      <w:tr>
        <w:tc>
          <w:tcPr/>
          <w:p>
            <w:pPr>
              <w:pStyle w:val="Compact"/>
            </w:pPr>
            <w:r>
              <w:t xml:space="preserve">Microsoft Graph API</w:t>
            </w:r>
          </w:p>
        </w:tc>
        <w:tc>
          <w:tcPr/>
          <w:p>
            <w:pPr>
              <w:pStyle w:val="Compact"/>
            </w:pPr>
            <w:r>
              <w:t xml:space="preserve">OAuth authentication; access to Customer’s M365 data per consent</w:t>
            </w:r>
          </w:p>
        </w:tc>
        <w:tc>
          <w:tcPr/>
          <w:p>
            <w:pPr>
              <w:pStyle w:val="Compact"/>
            </w:pPr>
            <w:r>
              <w:t xml:space="preserve">All Section 4 categories</w:t>
            </w:r>
          </w:p>
        </w:tc>
        <w:tc>
          <w:tcPr/>
          <w:p>
            <w:pPr>
              <w:pStyle w:val="Compact"/>
            </w:pPr>
            <w:r>
              <w:t xml:space="preserve">Customer’s M365 tenant region</w:t>
            </w:r>
          </w:p>
        </w:tc>
      </w:tr>
      <w:tr>
        <w:tc>
          <w:tcPr/>
          <w:p>
            <w:pPr>
              <w:pStyle w:val="Compact"/>
            </w:pPr>
            <w:r>
              <w:t xml:space="preserve">Google Gemini API</w:t>
            </w:r>
          </w:p>
        </w:tc>
        <w:tc>
          <w:tcPr/>
          <w:p>
            <w:pPr>
              <w:pStyle w:val="Compact"/>
            </w:pPr>
            <w:r>
              <w:t xml:space="preserve">AI processing of text, audio, and video content</w:t>
            </w:r>
          </w:p>
        </w:tc>
        <w:tc>
          <w:tcPr/>
          <w:p>
            <w:pPr>
              <w:pStyle w:val="Compact"/>
            </w:pPr>
            <w:r>
              <w:t xml:space="preserve">Communication Data, File Data (in transit only)</w:t>
            </w:r>
          </w:p>
        </w:tc>
        <w:tc>
          <w:tcPr/>
          <w:p>
            <w:pPr>
              <w:pStyle w:val="Compact"/>
            </w:pPr>
            <w:r>
              <w:t xml:space="preserve">United States</w:t>
            </w:r>
          </w:p>
        </w:tc>
      </w:tr>
    </w:tbl>
    <w:p>
      <w:pPr>
        <w:pStyle w:val="BodyText"/>
      </w:pPr>
      <w:r>
        <w:t xml:space="preserve">Railway, Inc. is</w:t>
      </w:r>
      <w:r>
        <w:t xml:space="preserve"> </w:t>
      </w:r>
      <w:r>
        <w:rPr>
          <w:b/>
          <w:bCs/>
        </w:rPr>
        <w:t xml:space="preserve">not</w:t>
      </w:r>
      <w:r>
        <w:t xml:space="preserve"> </w:t>
      </w:r>
      <w:r>
        <w:t xml:space="preserve">a Sub-processor under the BYOC tier; the Service is hosted entirely within Customer’s Azure subscription.</w:t>
      </w:r>
    </w:p>
    <w:p>
      <w:pPr>
        <w:pStyle w:val="BodyText"/>
      </w:pPr>
      <w:r>
        <w:t xml:space="preserve">Customer’s own Azure subscription is</w:t>
      </w:r>
      <w:r>
        <w:t xml:space="preserve"> </w:t>
      </w:r>
      <w:r>
        <w:rPr>
          <w:b/>
          <w:bCs/>
        </w:rPr>
        <w:t xml:space="preserve">not</w:t>
      </w:r>
      <w:r>
        <w:t xml:space="preserve"> </w:t>
      </w:r>
      <w:r>
        <w:t xml:space="preserve">a Sub-processor for purposes of this Policy; Customer’s relationship with Microsoft Azure is governed by Customer’s own agreements with Microsoft.</w:t>
      </w:r>
    </w:p>
    <w:bookmarkEnd w:id="26"/>
    <w:bookmarkStart w:id="27" w:name="data-location"/>
    <w:p>
      <w:pPr>
        <w:pStyle w:val="Heading1"/>
      </w:pPr>
      <w:r>
        <w:t xml:space="preserve">8. Data Location</w:t>
      </w:r>
    </w:p>
    <w:p>
      <w:pPr>
        <w:pStyle w:val="FirstParagraph"/>
      </w:pPr>
      <w:r>
        <w:t xml:space="preserve">All Personal Data is stored at rest within Customer’s Azure subscription, in the Azure region selected by Customer at deployment. Personal Data in transit may pass through additional jurisdictions as part of routine operations involving Sub-processors.</w:t>
      </w:r>
    </w:p>
    <w:bookmarkEnd w:id="27"/>
    <w:bookmarkStart w:id="28" w:name="data-retention"/>
    <w:p>
      <w:pPr>
        <w:pStyle w:val="Heading1"/>
      </w:pPr>
      <w:r>
        <w:t xml:space="preserve">9. Data Retention</w:t>
      </w:r>
    </w:p>
    <w:p>
      <w:pPr>
        <w:pStyle w:val="FirstParagraph"/>
      </w:pPr>
      <w:r>
        <w:t xml:space="preserve">Personal Data remains in Customer’s Azure subscription for the duration of Customer’s use of the Service. Customer may terminate the Service at any time by deleting the resource group hosting the Service, at which point all Customer Personal Data is removed by Microsoft Azure.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Retention</w:t>
            </w:r>
          </w:p>
        </w:tc>
      </w:tr>
      <w:tr>
        <w:tc>
          <w:tcPr/>
          <w:p>
            <w:pPr>
              <w:pStyle w:val="Compact"/>
            </w:pPr>
            <w:r>
              <w:t xml:space="preserve">Customer Personal Data in Customer’s Azure</w:t>
            </w:r>
          </w:p>
        </w:tc>
        <w:tc>
          <w:tcPr/>
          <w:p>
            <w:pPr>
              <w:pStyle w:val="Compact"/>
            </w:pPr>
            <w:r>
              <w:t xml:space="preserve">Controlled by Customer; deleted on resource-group deletion</w:t>
            </w:r>
          </w:p>
        </w:tc>
      </w:tr>
      <w:tr>
        <w:tc>
          <w:tcPr/>
          <w:p>
            <w:pPr>
              <w:pStyle w:val="Compact"/>
            </w:pPr>
            <w:r>
              <w:t xml:space="preserve">Vendor-side artifacts (image in Customer’s ACR; GitHub Actions secrets; service principal credentials)</w:t>
            </w:r>
          </w:p>
        </w:tc>
        <w:tc>
          <w:tcPr/>
          <w:p>
            <w:pPr>
              <w:pStyle w:val="Compact"/>
            </w:pPr>
            <w:r>
              <w:t xml:space="preserve">Deleted by Company within seven (7) days of Customer’s termination request; documented in a Deletion Certificate</w:t>
            </w:r>
          </w:p>
        </w:tc>
      </w:tr>
      <w:tr>
        <w:tc>
          <w:tcPr/>
          <w:p>
            <w:pPr>
              <w:pStyle w:val="Compact"/>
            </w:pPr>
            <w:r>
              <w:t xml:space="preserve">Service Logs (PII-redacted, in Customer’s Azure)</w:t>
            </w:r>
          </w:p>
        </w:tc>
        <w:tc>
          <w:tcPr/>
          <w:p>
            <w:pPr>
              <w:pStyle w:val="Compact"/>
            </w:pPr>
            <w:r>
              <w:t xml:space="preserve">Per Customer’s log-retention configuration</w:t>
            </w:r>
          </w:p>
        </w:tc>
      </w:tr>
    </w:tbl>
    <w:bookmarkEnd w:id="28"/>
    <w:bookmarkStart w:id="29" w:name="customer-rights"/>
    <w:p>
      <w:pPr>
        <w:pStyle w:val="Heading1"/>
      </w:pPr>
      <w:r>
        <w:t xml:space="preserve">10. Customer Rights</w:t>
      </w:r>
    </w:p>
    <w:p>
      <w:pPr>
        <w:pStyle w:val="FirstParagraph"/>
      </w:pPr>
      <w:r>
        <w:t xml:space="preserve">Customer has the right to:</w:t>
      </w:r>
    </w:p>
    <w:p>
      <w:pPr>
        <w:pStyle w:val="Compact"/>
        <w:numPr>
          <w:ilvl w:val="0"/>
          <w:numId w:val="1004"/>
        </w:numPr>
      </w:pPr>
      <w:r>
        <w:rPr>
          <w:b/>
          <w:bCs/>
        </w:rPr>
        <w:t xml:space="preserve">Access</w:t>
      </w:r>
      <w:r>
        <w:t xml:space="preserve"> </w:t>
      </w:r>
      <w:r>
        <w:t xml:space="preserve">Personal Data directly through Customer’s Azure subscription.</w:t>
      </w:r>
    </w:p>
    <w:p>
      <w:pPr>
        <w:pStyle w:val="Compact"/>
        <w:numPr>
          <w:ilvl w:val="0"/>
          <w:numId w:val="1004"/>
        </w:numPr>
      </w:pPr>
      <w:r>
        <w:rPr>
          <w:b/>
          <w:bCs/>
        </w:rPr>
        <w:t xml:space="preserve">Export</w:t>
      </w:r>
      <w:r>
        <w:t xml:space="preserve"> </w:t>
      </w:r>
      <w:r>
        <w:t xml:space="preserve">Personal Data using Azure-native tools (such as</w:t>
      </w:r>
      <w:r>
        <w:t xml:space="preserve"> </w:t>
      </w:r>
      <w:r>
        <w:rPr>
          <w:rStyle w:val="VerbatimChar"/>
        </w:rPr>
        <w:t xml:space="preserve">azcopy</w:t>
      </w:r>
      <w:r>
        <w:t xml:space="preserve">); Company will provide reasonable assistance.</w:t>
      </w:r>
    </w:p>
    <w:p>
      <w:pPr>
        <w:pStyle w:val="Compact"/>
        <w:numPr>
          <w:ilvl w:val="0"/>
          <w:numId w:val="1004"/>
        </w:numPr>
      </w:pPr>
      <w:r>
        <w:rPr>
          <w:b/>
          <w:bCs/>
        </w:rPr>
        <w:t xml:space="preserve">Delete</w:t>
      </w:r>
      <w:r>
        <w:t xml:space="preserve"> </w:t>
      </w:r>
      <w:r>
        <w:t xml:space="preserve">Personal Data by removing the platform’s resource group from Customer’s Azure subscription.</w:t>
      </w:r>
    </w:p>
    <w:p>
      <w:pPr>
        <w:pStyle w:val="Compact"/>
        <w:numPr>
          <w:ilvl w:val="0"/>
          <w:numId w:val="1004"/>
        </w:numPr>
      </w:pPr>
      <w:r>
        <w:rPr>
          <w:b/>
          <w:bCs/>
        </w:rPr>
        <w:t xml:space="preserve">Revoke</w:t>
      </w:r>
      <w:r>
        <w:t xml:space="preserve"> </w:t>
      </w:r>
      <w:r>
        <w:t xml:space="preserve">Microsoft OAuth consent at https://myaccount.microsoft.com → Permissions.</w:t>
      </w:r>
    </w:p>
    <w:p>
      <w:pPr>
        <w:pStyle w:val="Compact"/>
        <w:numPr>
          <w:ilvl w:val="0"/>
          <w:numId w:val="1004"/>
        </w:numPr>
      </w:pPr>
      <w:r>
        <w:rPr>
          <w:b/>
          <w:bCs/>
        </w:rPr>
        <w:t xml:space="preserve">Revoke Vendor Access</w:t>
      </w:r>
      <w:r>
        <w:t xml:space="preserve"> </w:t>
      </w:r>
      <w:r>
        <w:t xml:space="preserve">at any time in Azure → Access control (IAM).</w:t>
      </w:r>
    </w:p>
    <w:p>
      <w:pPr>
        <w:pStyle w:val="Compact"/>
        <w:numPr>
          <w:ilvl w:val="0"/>
          <w:numId w:val="1004"/>
        </w:numPr>
      </w:pPr>
      <w:r>
        <w:rPr>
          <w:b/>
          <w:bCs/>
        </w:rPr>
        <w:t xml:space="preserve">Request a Deletion Certificate</w:t>
      </w:r>
      <w:r>
        <w:t xml:space="preserve"> </w:t>
      </w:r>
      <w:r>
        <w:t xml:space="preserve">confirming removal of vendor-side artifacts following termination.</w:t>
      </w:r>
    </w:p>
    <w:bookmarkEnd w:id="29"/>
    <w:bookmarkStart w:id="30" w:name="security-measures"/>
    <w:p>
      <w:pPr>
        <w:pStyle w:val="Heading1"/>
      </w:pPr>
      <w:r>
        <w:t xml:space="preserve">11. Security Measures</w:t>
      </w:r>
    </w:p>
    <w:p>
      <w:pPr>
        <w:pStyle w:val="FirstParagraph"/>
      </w:pPr>
      <w:r>
        <w:t xml:space="preserve">We maintain technical and organizational measures appropriate to the nature of the Personal Data we process, including:</w:t>
      </w:r>
    </w:p>
    <w:p>
      <w:pPr>
        <w:pStyle w:val="Compact"/>
        <w:numPr>
          <w:ilvl w:val="0"/>
          <w:numId w:val="1005"/>
        </w:numPr>
      </w:pPr>
      <w:r>
        <w:t xml:space="preserve">TLS 1.3 encryption for all data in transit.</w:t>
      </w:r>
    </w:p>
    <w:p>
      <w:pPr>
        <w:pStyle w:val="Compact"/>
        <w:numPr>
          <w:ilvl w:val="0"/>
          <w:numId w:val="1005"/>
        </w:numPr>
      </w:pPr>
      <w:r>
        <w:t xml:space="preserve">AES-256 encryption for all data at rest (Azure Storage default).</w:t>
      </w:r>
    </w:p>
    <w:p>
      <w:pPr>
        <w:pStyle w:val="Compact"/>
        <w:numPr>
          <w:ilvl w:val="0"/>
          <w:numId w:val="1005"/>
        </w:numPr>
      </w:pPr>
      <w:r>
        <w:t xml:space="preserve">Per-Account data isolation within the application.</w:t>
      </w:r>
    </w:p>
    <w:p>
      <w:pPr>
        <w:pStyle w:val="Compact"/>
        <w:numPr>
          <w:ilvl w:val="0"/>
          <w:numId w:val="1005"/>
        </w:numPr>
      </w:pPr>
      <w:r>
        <w:t xml:space="preserve">Microsoft OAuth-based authentication; no password storage.</w:t>
      </w:r>
    </w:p>
    <w:p>
      <w:pPr>
        <w:pStyle w:val="Compact"/>
        <w:numPr>
          <w:ilvl w:val="0"/>
          <w:numId w:val="1005"/>
        </w:numPr>
      </w:pPr>
      <w:r>
        <w:t xml:space="preserve">Atomic write operations to protect against partial-write corruption on shared storage.</w:t>
      </w:r>
    </w:p>
    <w:p>
      <w:pPr>
        <w:pStyle w:val="Compact"/>
        <w:numPr>
          <w:ilvl w:val="0"/>
          <w:numId w:val="1005"/>
        </w:numPr>
      </w:pPr>
      <w:r>
        <w:t xml:space="preserve">Customer-managed RBAC governing Vendor Access.</w:t>
      </w:r>
    </w:p>
    <w:p>
      <w:pPr>
        <w:pStyle w:val="FirstParagraph"/>
      </w:pPr>
      <w:r>
        <w:t xml:space="preserve">A full Security Overview is available to Customer’s security team on request.</w:t>
      </w:r>
    </w:p>
    <w:bookmarkEnd w:id="30"/>
    <w:bookmarkStart w:id="31" w:name="cookies-and-tracking"/>
    <w:p>
      <w:pPr>
        <w:pStyle w:val="Heading1"/>
      </w:pPr>
      <w:r>
        <w:t xml:space="preserve">12. Cookies and Tracking</w:t>
      </w:r>
    </w:p>
    <w:p>
      <w:pPr>
        <w:pStyle w:val="FirstParagraph"/>
      </w:pPr>
      <w:r>
        <w:t xml:space="preserve">The Service uses a single HTTP-only, Secure session cookie for authentication. We do not use tracking, advertising, or analytics cookies.</w:t>
      </w:r>
    </w:p>
    <w:bookmarkEnd w:id="31"/>
    <w:bookmarkStart w:id="32" w:name="children"/>
    <w:p>
      <w:pPr>
        <w:pStyle w:val="Heading1"/>
      </w:pPr>
      <w:r>
        <w:t xml:space="preserve">13. Children</w:t>
      </w:r>
    </w:p>
    <w:p>
      <w:pPr>
        <w:pStyle w:val="FirstParagraph"/>
      </w:pPr>
      <w:r>
        <w:t xml:space="preserve">The Service is not directed to children under sixteen (16) years of age, and we do not knowingly collect Personal Data from children.</w:t>
      </w:r>
    </w:p>
    <w:bookmarkEnd w:id="32"/>
    <w:bookmarkStart w:id="33" w:name="changes-to-this-policy"/>
    <w:p>
      <w:pPr>
        <w:pStyle w:val="Heading1"/>
      </w:pPr>
      <w:r>
        <w:t xml:space="preserve">14. Changes to This Policy</w:t>
      </w:r>
    </w:p>
    <w:p>
      <w:pPr>
        <w:pStyle w:val="FirstParagraph"/>
      </w:pPr>
      <w:r>
        <w:t xml:space="preserve">Material changes will be communicated by email at least fourteen (14) days before they take effect. The</w:t>
      </w:r>
      <w:r>
        <w:t xml:space="preserve"> </w:t>
      </w:r>
      <w:r>
        <w:t xml:space="preserve">“Last Updated”</w:t>
      </w:r>
      <w:r>
        <w:t xml:space="preserve"> </w:t>
      </w:r>
      <w:r>
        <w:t xml:space="preserve">date at the top of this Policy will reflect the most recent revision.</w:t>
      </w:r>
    </w:p>
    <w:bookmarkEnd w:id="33"/>
    <w:bookmarkStart w:id="34" w:name="contact"/>
    <w:p>
      <w:pPr>
        <w:pStyle w:val="Heading1"/>
      </w:pPr>
      <w:r>
        <w:t xml:space="preserve">15. Contact</w:t>
      </w:r>
    </w:p>
    <w:p>
      <w:pPr>
        <w:pStyle w:val="FirstParagraph"/>
      </w:pPr>
      <w:r>
        <w:t xml:space="preserve">For privacy questions, data subject requests, or to report a concern:</w:t>
      </w:r>
    </w:p>
    <w:p>
      <w:pPr>
        <w:pStyle w:val="BodyText"/>
      </w:pPr>
      <w:r>
        <w:rPr>
          <w:b/>
          <w:bCs/>
        </w:rPr>
        <w:t xml:space="preserve">[COMPANY NAME]</w:t>
      </w:r>
    </w:p>
    <w:p>
      <w:pPr>
        <w:pStyle w:val="BodyText"/>
      </w:pPr>
      <w:r>
        <w:t xml:space="preserve">[STREET ADDRESS]</w:t>
      </w:r>
      <w:r>
        <w:br/>
      </w:r>
      <w:r>
        <w:t xml:space="preserve">[CITY, REGION, POSTAL CODE]</w:t>
      </w:r>
      <w:r>
        <w:br/>
      </w:r>
      <w:r>
        <w:t xml:space="preserve">[COUNTRY]</w:t>
      </w:r>
    </w:p>
    <w:p>
      <w:pPr>
        <w:pStyle w:val="BodyText"/>
      </w:pPr>
      <w:r>
        <w:t xml:space="preserve">Email: [PRIVACY@COMPANY.COM]</w:t>
      </w:r>
      <w:r>
        <w:br/>
      </w:r>
      <w:r>
        <w:t xml:space="preserve">Web: [WWW.COMPANY.COM/PRIVACY]</w:t>
      </w:r>
    </w:p>
    <w:p>
      <w:r>
        <w:pict>
          <v:rect style="width:0;height:1.5pt" o:hralign="center" o:hrstd="t" o:hr="t"/>
        </w:pict>
      </w:r>
    </w:p>
    <w:p>
      <w:pPr>
        <w:pStyle w:val="FirstParagraph"/>
      </w:pPr>
      <w:r>
        <w:rPr>
          <w:i/>
          <w:iCs/>
        </w:rPr>
        <w:t xml:space="preserve">This Privacy Policy is provided as a beta-stage operational document. It has not been reviewed by external legal counsel. The Company recommends formal legal review and a written Master Services Agreement, Non-Disclosure Agreement, IP Assignment, and Data Processing Agreement prior to commercial use of this Policy.</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 AI Platform — Privacy Policy</dc:title>
  <dc:creator/>
  <cp:keywords/>
  <dcterms:created xsi:type="dcterms:W3CDTF">2026-06-09T07:55:30Z</dcterms:created>
  <dcterms:modified xsi:type="dcterms:W3CDTF">2026-06-09T07:55:30Z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Effective Date: [DATE] | Last Updated: [DATE] | Version: 1.0</vt:lpwstr>
  </property>
  <property fmtid="{D5CDD505-2E9C-101B-9397-08002B2CF9AE}" pid="3" name="subtitle">
    <vt:lpwstr>BYOC Tier (Bring Your Own Cloud)</vt:lpwstr>
  </property>
</Properties>
</file>