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CEO AI Platform — Sub-processor List</w:t>
      </w:r>
    </w:p>
    <w:p>
      <w:pPr>
        <w:pStyle w:val="Subtitle"/>
      </w:pPr>
      <w:r>
        <w:t xml:space="preserve">BYOC Tier (Bring Your Own Cloud)</w:t>
      </w:r>
    </w:p>
    <w:p>
      <w:pPr>
        <w:pStyle w:val="Date"/>
      </w:pPr>
      <w:r>
        <w:t xml:space="preserve">Effective Date: [DATE] | Last Updated: [DATE] | Version: 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urpose"/>
    <w:p>
      <w:pPr>
        <w:pStyle w:val="Heading1"/>
      </w:pPr>
      <w:r>
        <w:t xml:space="preserve">1. Purpose</w:t>
      </w:r>
    </w:p>
    <w:p>
      <w:pPr>
        <w:pStyle w:val="FirstParagraph"/>
      </w:pPr>
      <w:r>
        <w:t xml:space="preserve">This Sub-processor List identifies the third parties engaged by [COMPANY NAME] (</w:t>
      </w:r>
      <w:r>
        <w:t xml:space="preserve">“Company”</w:t>
      </w:r>
      <w:r>
        <w:t xml:space="preserve">) to process Personal Data on behalf of Customer in connection with the CEO AI Platform (the</w:t>
      </w:r>
      <w:r>
        <w:t xml:space="preserve"> </w:t>
      </w:r>
      <w:r>
        <w:t xml:space="preserve">“Service”</w:t>
      </w:r>
      <w:r>
        <w:t xml:space="preserve">) under the BYOC tier. This document supplements the BYOC Privacy Policy and any Data Processing Agreement between Customer and Company.</w:t>
      </w:r>
    </w:p>
    <w:bookmarkEnd w:id="9"/>
    <w:bookmarkStart w:id="10" w:name="definitions"/>
    <w:p>
      <w:pPr>
        <w:pStyle w:val="Heading1"/>
      </w:pPr>
      <w:r>
        <w:t xml:space="preserve">2. Definitions</w:t>
      </w:r>
    </w:p>
    <w:p>
      <w:pPr>
        <w:pStyle w:val="FirstParagraph"/>
      </w:pPr>
      <w:r>
        <w:t xml:space="preserve">Capitalized terms used and not defined herein have the meanings given in the BYOC Privacy Policy.</w:t>
      </w:r>
    </w:p>
    <w:bookmarkEnd w:id="10"/>
    <w:bookmarkStart w:id="11" w:name="current-sub-processors"/>
    <w:p>
      <w:pPr>
        <w:pStyle w:val="Heading1"/>
      </w:pPr>
      <w:r>
        <w:t xml:space="preserve">3. Current Sub-processors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Sub-processor</w:t>
            </w:r>
          </w:p>
        </w:tc>
        <w:tc>
          <w:tcPr/>
          <w:p>
            <w:pPr>
              <w:pStyle w:val="Compact"/>
            </w:pPr>
            <w:r>
              <w:t xml:space="preserve">Role and Purpose</w:t>
            </w:r>
          </w:p>
        </w:tc>
        <w:tc>
          <w:tcPr/>
          <w:p>
            <w:pPr>
              <w:pStyle w:val="Compact"/>
            </w:pPr>
            <w:r>
              <w:t xml:space="preserve">Categories of Personal Data</w:t>
            </w:r>
          </w:p>
        </w:tc>
        <w:tc>
          <w:tcPr/>
          <w:p>
            <w:pPr>
              <w:pStyle w:val="Compact"/>
            </w:pPr>
            <w:r>
              <w:t xml:space="preserve">Location of Processing</w:t>
            </w:r>
          </w:p>
        </w:tc>
        <w:tc>
          <w:tcPr/>
          <w:p>
            <w:pPr>
              <w:pStyle w:val="Compact"/>
            </w:pPr>
            <w:r>
              <w:t xml:space="preserve">Provider’s Data Processing Terms</w:t>
            </w:r>
          </w:p>
        </w:tc>
      </w:tr>
      <w:tr>
        <w:tc>
          <w:tcPr/>
          <w:p>
            <w:pPr>
              <w:pStyle w:val="Compact"/>
            </w:pPr>
            <w:r>
              <w:rPr>
                <w:b/>
                <w:bCs/>
              </w:rPr>
              <w:t xml:space="preserve">Microsoft Corporation</w:t>
            </w:r>
            <w:r>
              <w:t xml:space="preserve"> </w:t>
            </w:r>
            <w:r>
              <w:t xml:space="preserve">(Microsoft Graph API)</w:t>
            </w:r>
          </w:p>
        </w:tc>
        <w:tc>
          <w:tcPr/>
          <w:p>
            <w:pPr>
              <w:pStyle w:val="Compact"/>
            </w:pPr>
            <w:r>
              <w:t xml:space="preserve">OAuth-based authentication and read access to Customer’s M365 data, in accordance with Customer’s consent</w:t>
            </w:r>
          </w:p>
        </w:tc>
        <w:tc>
          <w:tcPr/>
          <w:p>
            <w:pPr>
              <w:pStyle w:val="Compact"/>
            </w:pPr>
            <w:r>
              <w:t xml:space="preserve">Mail (Inbox and Sent); Calendar; OneDrive files Customer has authorized; Teams 1:1 chats with the Audrey bot; Account profile</w:t>
            </w:r>
          </w:p>
        </w:tc>
        <w:tc>
          <w:tcPr/>
          <w:p>
            <w:pPr>
              <w:pStyle w:val="Compact"/>
            </w:pPr>
            <w:r>
              <w:t xml:space="preserve">Customer’s M365 tenant region</w:t>
            </w:r>
          </w:p>
        </w:tc>
        <w:tc>
          <w:tcPr/>
          <w:p>
            <w:pPr>
              <w:pStyle w:val="Compact"/>
            </w:pPr>
            <w:r>
              <w:t xml:space="preserve">Microsoft Online Services Data Protection Addendum</w:t>
            </w:r>
          </w:p>
        </w:tc>
      </w:tr>
      <w:tr>
        <w:tc>
          <w:tcPr/>
          <w:p>
            <w:pPr>
              <w:pStyle w:val="Compact"/>
            </w:pPr>
            <w:r>
              <w:rPr>
                <w:b/>
                <w:bCs/>
              </w:rPr>
              <w:t xml:space="preserve">Google LLC</w:t>
            </w:r>
            <w:r>
              <w:t xml:space="preserve"> </w:t>
            </w:r>
            <w:r>
              <w:t xml:space="preserve">(Gemini API)</w:t>
            </w:r>
          </w:p>
        </w:tc>
        <w:tc>
          <w:tcPr/>
          <w:p>
            <w:pPr>
              <w:pStyle w:val="Compact"/>
            </w:pPr>
            <w:r>
              <w:t xml:space="preserve">Generative AI processing of text, audio, and video content</w:t>
            </w:r>
          </w:p>
        </w:tc>
        <w:tc>
          <w:tcPr/>
          <w:p>
            <w:pPr>
              <w:pStyle w:val="Compact"/>
            </w:pPr>
            <w:r>
              <w:t xml:space="preserve">Email body content; meeting recording audio/video; document text (in transit only; per the paid Gemini API terms, not retained for model training)</w:t>
            </w:r>
          </w:p>
        </w:tc>
        <w:tc>
          <w:tcPr/>
          <w:p>
            <w:pPr>
              <w:pStyle w:val="Compact"/>
            </w:pPr>
            <w:r>
              <w:t xml:space="preserve">United States</w:t>
            </w:r>
          </w:p>
        </w:tc>
        <w:tc>
          <w:tcPr/>
          <w:p>
            <w:pPr>
              <w:pStyle w:val="Compact"/>
            </w:pPr>
            <w:r>
              <w:t xml:space="preserve">Google Cloud Data Processing Addendum</w:t>
            </w:r>
          </w:p>
        </w:tc>
      </w:tr>
    </w:tbl>
    <w:bookmarkEnd w:id="11"/>
    <w:bookmarkStart w:id="12" w:name="not-sub-processors-under-the-byoc-tier"/>
    <w:p>
      <w:pPr>
        <w:pStyle w:val="Heading1"/>
      </w:pPr>
      <w:r>
        <w:t xml:space="preserve">4. Not Sub-processors Under the BYOC Tier</w:t>
      </w:r>
    </w:p>
    <w:p>
      <w:pPr>
        <w:pStyle w:val="FirstParagraph"/>
      </w:pPr>
      <w:r>
        <w:t xml:space="preserve">The following are expressly not Sub-processors under the BYOC tier:</w:t>
      </w:r>
    </w:p>
    <w:p>
      <w:pPr>
        <w:pStyle w:val="Compact"/>
        <w:numPr>
          <w:ilvl w:val="0"/>
          <w:numId w:val="1001"/>
        </w:numPr>
      </w:pPr>
      <w:r>
        <w:rPr>
          <w:b/>
          <w:bCs/>
        </w:rPr>
        <w:t xml:space="preserve">Railway, Inc.</w:t>
      </w:r>
      <w:r>
        <w:t xml:space="preserve"> </w:t>
      </w:r>
      <w:r>
        <w:t xml:space="preserve">— Railway is not used in BYOC deployments. The Service is hosted entirely within Customer’s Azure subscription.</w:t>
      </w:r>
    </w:p>
    <w:p>
      <w:pPr>
        <w:pStyle w:val="Compact"/>
        <w:numPr>
          <w:ilvl w:val="0"/>
          <w:numId w:val="1001"/>
        </w:numPr>
      </w:pPr>
      <w:r>
        <w:rPr>
          <w:b/>
          <w:bCs/>
        </w:rPr>
        <w:t xml:space="preserve">Customer’s own Azure subscription</w:t>
      </w:r>
      <w:r>
        <w:t xml:space="preserve"> </w:t>
      </w:r>
      <w:r>
        <w:t xml:space="preserve">— Customer is not engaged by Company as a Sub-processor. Customer’s relationship with Microsoft Azure is governed by Customer’s own agreements with Microsoft.</w:t>
      </w:r>
    </w:p>
    <w:bookmarkEnd w:id="12"/>
    <w:bookmarkStart w:id="13" w:name="vendor-side-operational-tools"/>
    <w:p>
      <w:pPr>
        <w:pStyle w:val="Heading1"/>
      </w:pPr>
      <w:r>
        <w:t xml:space="preserve">5. Vendor-Side Operational Tools</w:t>
      </w:r>
    </w:p>
    <w:p>
      <w:pPr>
        <w:pStyle w:val="FirstParagraph"/>
      </w:pPr>
      <w:r>
        <w:t xml:space="preserve">To deploy and operate the Service, Company uses the following tools. These do not constitute Sub-processors for the purposes of Customer Personal Data:</w:t>
      </w:r>
    </w:p>
    <w:p>
      <w:pPr>
        <w:pStyle w:val="Compact"/>
        <w:numPr>
          <w:ilvl w:val="0"/>
          <w:numId w:val="1002"/>
        </w:numPr>
      </w:pPr>
      <w:r>
        <w:rPr>
          <w:b/>
          <w:bCs/>
        </w:rPr>
        <w:t xml:space="preserve">GitHub, Inc.</w:t>
      </w:r>
      <w:r>
        <w:t xml:space="preserve"> </w:t>
      </w:r>
      <w:r>
        <w:t xml:space="preserve">— private repository hosting Company’s source code only.</w:t>
      </w:r>
    </w:p>
    <w:p>
      <w:pPr>
        <w:pStyle w:val="Compact"/>
        <w:numPr>
          <w:ilvl w:val="0"/>
          <w:numId w:val="1002"/>
        </w:numPr>
      </w:pPr>
      <w:r>
        <w:rPr>
          <w:b/>
          <w:bCs/>
        </w:rPr>
        <w:t xml:space="preserve">Azure Container Registry</w:t>
      </w:r>
      <w:r>
        <w:t xml:space="preserve"> </w:t>
      </w:r>
      <w:r>
        <w:t xml:space="preserve">in Customer’s subscription — stores the container image Company built. No Customer Personal Data is included in any image.</w:t>
      </w:r>
    </w:p>
    <w:bookmarkEnd w:id="13"/>
    <w:bookmarkStart w:id="14" w:name="sub-processor-diligence"/>
    <w:p>
      <w:pPr>
        <w:pStyle w:val="Heading1"/>
      </w:pPr>
      <w:r>
        <w:t xml:space="preserve">6. Sub-processor Diligence</w:t>
      </w:r>
    </w:p>
    <w:p>
      <w:pPr>
        <w:pStyle w:val="FirstParagraph"/>
      </w:pPr>
      <w:r>
        <w:t xml:space="preserve">Each Sub-processor is engaged under a written agreement that imposes confidentiality, security, and data-protection obligations consistent with the standards Company applies to Personal Data, including the requirements of the General Data Protection Regulation where applicable.</w:t>
      </w:r>
    </w:p>
    <w:bookmarkEnd w:id="14"/>
    <w:bookmarkStart w:id="15" w:name="in-transit-processing-by-google-gemini"/>
    <w:p>
      <w:pPr>
        <w:pStyle w:val="Heading1"/>
      </w:pPr>
      <w:r>
        <w:t xml:space="preserve">7. In-Transit Processing by Google Gemini</w:t>
      </w:r>
    </w:p>
    <w:p>
      <w:pPr>
        <w:pStyle w:val="FirstParagraph"/>
      </w:pPr>
      <w:r>
        <w:t xml:space="preserve">When the Service sends email content, meeting recordings, or document text to Google Gemini for AI processing, the content is transmitted over TLS, processed, and a response is returned. Under Google’s paid Gemini API terms, Customer content is not retained by Google for the purpose of training generative AI models. The AI Output is then stored within Customer’s Azure subscription as part of Customer’s Account data.</w:t>
      </w:r>
    </w:p>
    <w:bookmarkEnd w:id="15"/>
    <w:bookmarkStart w:id="16" w:name="changes-to-this-list"/>
    <w:p>
      <w:pPr>
        <w:pStyle w:val="Heading1"/>
      </w:pPr>
      <w:r>
        <w:t xml:space="preserve">8. Changes to This List</w:t>
      </w:r>
    </w:p>
    <w:p>
      <w:pPr>
        <w:pStyle w:val="FirstParagraph"/>
      </w:pPr>
      <w:r>
        <w:t xml:space="preserve">Company will provide Customer with not less than thirty (30) days’ written notice before:</w:t>
      </w:r>
    </w:p>
    <w:p>
      <w:pPr>
        <w:pStyle w:val="Compact"/>
        <w:numPr>
          <w:ilvl w:val="0"/>
          <w:numId w:val="1003"/>
        </w:numPr>
      </w:pPr>
    </w:p>
    <w:p>
      <w:pPr>
        <w:pStyle w:val="Compact"/>
        <w:numPr>
          <w:ilvl w:val="1"/>
          <w:numId w:val="1004"/>
        </w:numPr>
      </w:pPr>
      <w:r>
        <w:t xml:space="preserve">engaging a new Sub-processor; or</w:t>
      </w:r>
    </w:p>
    <w:p>
      <w:pPr>
        <w:pStyle w:val="Compact"/>
        <w:numPr>
          <w:ilvl w:val="0"/>
          <w:numId w:val="1003"/>
        </w:numPr>
      </w:pPr>
    </w:p>
    <w:p>
      <w:pPr>
        <w:pStyle w:val="Compact"/>
        <w:numPr>
          <w:ilvl w:val="1"/>
          <w:numId w:val="1005"/>
        </w:numPr>
      </w:pPr>
      <w:r>
        <w:t xml:space="preserve">materially changing the role of an existing Sub-processor.</w:t>
      </w:r>
    </w:p>
    <w:p>
      <w:pPr>
        <w:pStyle w:val="FirstParagraph"/>
      </w:pPr>
      <w:r>
        <w:t xml:space="preserve">Customer may object. If Company cannot reasonably accommodate Customer’s objection, Customer may terminate the Service in accordance with its Master Services Agreement.</w:t>
      </w:r>
    </w:p>
    <w:bookmarkEnd w:id="16"/>
    <w:bookmarkStart w:id="17" w:name="contact"/>
    <w:p>
      <w:pPr>
        <w:pStyle w:val="Heading1"/>
      </w:pPr>
      <w:r>
        <w:t xml:space="preserve">9. Contact</w:t>
      </w:r>
    </w:p>
    <w:p>
      <w:pPr>
        <w:pStyle w:val="FirstParagraph"/>
      </w:pPr>
      <w:r>
        <w:t xml:space="preserve">For questions about this Sub-processor List or to lodge an objection:</w:t>
      </w:r>
    </w:p>
    <w:p>
      <w:pPr>
        <w:pStyle w:val="BodyText"/>
      </w:pPr>
      <w:r>
        <w:rPr>
          <w:b/>
          <w:bCs/>
        </w:rPr>
        <w:t xml:space="preserve">[COMPANY NAME]</w:t>
      </w:r>
    </w:p>
    <w:p>
      <w:pPr>
        <w:pStyle w:val="BodyText"/>
      </w:pPr>
      <w:r>
        <w:t xml:space="preserve">Email: [PRIVACY@COMPANY.COM]</w:t>
      </w:r>
      <w:r>
        <w:br/>
      </w:r>
      <w:r>
        <w:t xml:space="preserve">Web: [WWW.COMPANY.COM/PRIVACY]</w:t>
      </w:r>
    </w:p>
    <w:p>
      <w:r>
        <w:pict>
          <v:rect style="width:0;height:1.5pt" o:hralign="center" o:hrstd="t" o:hr="t"/>
        </w:pict>
      </w:r>
    </w:p>
    <w:p>
      <w:pPr>
        <w:pStyle w:val="FirstParagraph"/>
      </w:pPr>
      <w:r>
        <w:rPr>
          <w:i/>
          <w:iCs/>
        </w:rPr>
        <w:t xml:space="preserve">This Sub-processor List is provided as a beta-stage operational document. It has not been reviewed by external legal counsel.</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 AI Platform — Sub-processor List</dc:title>
  <dc:creator/>
  <cp:keywords/>
  <dcterms:created xsi:type="dcterms:W3CDTF">2026-06-09T07:55:30Z</dcterms:created>
  <dcterms:modified xsi:type="dcterms:W3CDTF">2026-06-09T07:55:30Z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Date: [DATE] | Last Updated: [DATE] | Version: 1.0</vt:lpwstr>
  </property>
  <property fmtid="{D5CDD505-2E9C-101B-9397-08002B2CF9AE}" pid="3" name="subtitle">
    <vt:lpwstr>BYOC Tier (Bring Your Own Cloud)</vt:lpwstr>
  </property>
</Properties>
</file>