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Sub-processor List</w:t>
      </w:r>
    </w:p>
    <w:p>
      <w:pPr>
        <w:pStyle w:val="Subtitle"/>
      </w:pPr>
      <w:r>
        <w:t xml:space="preserve">CPDP Tier (Control Plane / Data Plane) — PLANNED</w:t>
      </w:r>
    </w:p>
    <w:p>
      <w:pPr>
        <w:pStyle w:val="Date"/>
      </w:pPr>
      <w:r>
        <w:t xml:space="preserve">Effective Date: [DATE] | Last Updated: [DATE] | Version: 1.0 (PLANNED)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DRAFT — PLANNED TIER.</w:t>
      </w:r>
      <w:r>
        <w:t xml:space="preserve"> </w:t>
      </w:r>
      <w:r>
        <w:t xml:space="preserve">The CPDP tier is not yet generally available. This document describes the Sub-processor List that will apply once the tier launches.</w:t>
      </w:r>
    </w:p>
    <w:bookmarkStart w:id="9" w:name="purpose"/>
    <w:p>
      <w:pPr>
        <w:pStyle w:val="Heading1"/>
      </w:pPr>
      <w:r>
        <w:t xml:space="preserve">1. Purpose</w:t>
      </w:r>
    </w:p>
    <w:p>
      <w:pPr>
        <w:pStyle w:val="FirstParagraph"/>
      </w:pPr>
      <w:r>
        <w:t xml:space="preserve">This Sub-processor List identifies the third parties engaged by [COMPANY NAME] (</w:t>
      </w:r>
      <w:r>
        <w:t xml:space="preserve">“Company”</w:t>
      </w:r>
      <w:r>
        <w:t xml:space="preserve">) to process Personal Data on behalf of Customer under the CPDP tier of the CEO AI Platform (the</w:t>
      </w:r>
      <w:r>
        <w:t xml:space="preserve"> </w:t>
      </w:r>
      <w:r>
        <w:t xml:space="preserve">“Service”</w:t>
      </w:r>
      <w:r>
        <w:t xml:space="preserve">). This document supplements the CPDP Privacy Policy.</w:t>
      </w:r>
    </w:p>
    <w:bookmarkEnd w:id="9"/>
    <w:bookmarkStart w:id="10" w:name="definitions"/>
    <w:p>
      <w:pPr>
        <w:pStyle w:val="Heading1"/>
      </w:pPr>
      <w:r>
        <w:t xml:space="preserve">2. Definitions</w:t>
      </w:r>
    </w:p>
    <w:p>
      <w:pPr>
        <w:pStyle w:val="FirstParagraph"/>
      </w:pPr>
      <w:r>
        <w:t xml:space="preserve">Capitalized terms used and not defined herein have the meanings given in the CPDP Privacy Policy.</w:t>
      </w:r>
    </w:p>
    <w:bookmarkEnd w:id="10"/>
    <w:bookmarkStart w:id="11" w:name="current-sub-processors"/>
    <w:p>
      <w:pPr>
        <w:pStyle w:val="Heading1"/>
      </w:pPr>
      <w:r>
        <w:t xml:space="preserve">3. Current Sub-processors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Sub-processor</w:t>
            </w:r>
          </w:p>
        </w:tc>
        <w:tc>
          <w:tcPr/>
          <w:p>
            <w:pPr>
              <w:pStyle w:val="Compact"/>
            </w:pPr>
            <w:r>
              <w:t xml:space="preserve">Role and Purpose</w:t>
            </w:r>
          </w:p>
        </w:tc>
        <w:tc>
          <w:tcPr/>
          <w:p>
            <w:pPr>
              <w:pStyle w:val="Compact"/>
            </w:pPr>
            <w:r>
              <w:t xml:space="preserve">Categories of Personal Data</w:t>
            </w:r>
          </w:p>
        </w:tc>
        <w:tc>
          <w:tcPr/>
          <w:p>
            <w:pPr>
              <w:pStyle w:val="Compact"/>
            </w:pPr>
            <w:r>
              <w:t xml:space="preserve">Location</w:t>
            </w:r>
          </w:p>
        </w:tc>
        <w:tc>
          <w:tcPr/>
          <w:p>
            <w:pPr>
              <w:pStyle w:val="Compact"/>
            </w:pPr>
            <w:r>
              <w:t xml:space="preserve">Provider’s Terms</w:t>
            </w:r>
          </w:p>
        </w:tc>
      </w:tr>
      <w:tr>
        <w:tc>
          <w:tcPr/>
          <w:p>
            <w:pPr>
              <w:pStyle w:val="Compact"/>
            </w:pPr>
            <w:r>
              <w:rPr>
                <w:b/>
                <w:bCs/>
              </w:rPr>
              <w:t xml:space="preserve">Microsoft Corporation</w:t>
            </w:r>
            <w:r>
              <w:t xml:space="preserve"> </w:t>
            </w:r>
            <w:r>
              <w:t xml:space="preserve">(Microsoft Graph API)</w:t>
            </w:r>
          </w:p>
        </w:tc>
        <w:tc>
          <w:tcPr/>
          <w:p>
            <w:pPr>
              <w:pStyle w:val="Compact"/>
            </w:pPr>
            <w:r>
              <w:t xml:space="preserve">OAuth-based authentication; read access to Customer’s M365 data, initiated by the Data Plane in Customer’s Azure</w:t>
            </w:r>
          </w:p>
        </w:tc>
        <w:tc>
          <w:tcPr/>
          <w:p>
            <w:pPr>
              <w:pStyle w:val="Compact"/>
            </w:pPr>
            <w:r>
              <w:t xml:space="preserve">Email; Calendar; OneDrive files; Teams chats; Account profile</w:t>
            </w:r>
          </w:p>
        </w:tc>
        <w:tc>
          <w:tcPr/>
          <w:p>
            <w:pPr>
              <w:pStyle w:val="Compact"/>
            </w:pPr>
            <w:r>
              <w:t xml:space="preserve">Customer’s M365 tenant region</w:t>
            </w:r>
          </w:p>
        </w:tc>
        <w:tc>
          <w:tcPr/>
          <w:p>
            <w:pPr>
              <w:pStyle w:val="Compact"/>
            </w:pPr>
            <w:r>
              <w:t xml:space="preserve">Microsoft Online Services Data Protection Addendum</w:t>
            </w:r>
          </w:p>
        </w:tc>
      </w:tr>
      <w:tr>
        <w:tc>
          <w:tcPr/>
          <w:p>
            <w:pPr>
              <w:pStyle w:val="Compact"/>
            </w:pPr>
            <w:r>
              <w:rPr>
                <w:b/>
                <w:bCs/>
              </w:rPr>
              <w:t xml:space="preserve">Google LLC</w:t>
            </w:r>
            <w:r>
              <w:t xml:space="preserve"> </w:t>
            </w:r>
            <w:r>
              <w:t xml:space="preserve">(Gemini API)</w:t>
            </w:r>
          </w:p>
        </w:tc>
        <w:tc>
          <w:tcPr/>
          <w:p>
            <w:pPr>
              <w:pStyle w:val="Compact"/>
            </w:pPr>
            <w:r>
              <w:t xml:space="preserve">Generative AI processing, initiated by the Data Plane</w:t>
            </w:r>
          </w:p>
        </w:tc>
        <w:tc>
          <w:tcPr/>
          <w:p>
            <w:pPr>
              <w:pStyle w:val="Compact"/>
            </w:pPr>
            <w:r>
              <w:t xml:space="preserve">Email body content; meeting recordings; document text (in transit only)</w:t>
            </w:r>
          </w:p>
        </w:tc>
        <w:tc>
          <w:tcPr/>
          <w:p>
            <w:pPr>
              <w:pStyle w:val="Compact"/>
            </w:pPr>
            <w:r>
              <w:t xml:space="preserve">United States</w:t>
            </w:r>
          </w:p>
        </w:tc>
        <w:tc>
          <w:tcPr/>
          <w:p>
            <w:pPr>
              <w:pStyle w:val="Compact"/>
            </w:pPr>
            <w:r>
              <w:t xml:space="preserve">Google Cloud Data Processing Addendum</w:t>
            </w:r>
          </w:p>
        </w:tc>
      </w:tr>
      <w:tr>
        <w:tc>
          <w:tcPr/>
          <w:p>
            <w:pPr>
              <w:pStyle w:val="Compact"/>
            </w:pPr>
            <w:r>
              <w:rPr>
                <w:b/>
                <w:bCs/>
              </w:rPr>
              <w:t xml:space="preserve">[COMPANY NAME] Control Plane</w:t>
            </w:r>
          </w:p>
        </w:tc>
        <w:tc>
          <w:tcPr/>
          <w:p>
            <w:pPr>
              <w:pStyle w:val="Compact"/>
            </w:pPr>
            <w:r>
              <w:t xml:space="preserve">Configuration delivery to Customer’s Data Plane; receipt of anonymized telemetry; license validation. Does NOT receive Customer Personal Data content.</w:t>
            </w:r>
          </w:p>
        </w:tc>
        <w:tc>
          <w:tcPr/>
          <w:p>
            <w:pPr>
              <w:pStyle w:val="Compact"/>
            </w:pPr>
            <w:r>
              <w:t xml:space="preserve">Customer identifier; aggregated and anonymized telemetry; signing logs</w:t>
            </w:r>
          </w:p>
        </w:tc>
        <w:tc>
          <w:tcPr/>
          <w:p>
            <w:pPr>
              <w:pStyle w:val="Compact"/>
            </w:pPr>
            <w:r>
              <w:t xml:space="preserve">[Control Plane region — to be specified at launch]</w:t>
            </w:r>
          </w:p>
        </w:tc>
        <w:tc>
          <w:tcPr/>
          <w:p>
            <w:pPr>
              <w:pStyle w:val="Compact"/>
            </w:pPr>
            <w:r>
              <w:t xml:space="preserve">Company’s Master Services Agreement and Data Processing Agreement</w:t>
            </w:r>
          </w:p>
        </w:tc>
      </w:tr>
    </w:tbl>
    <w:bookmarkEnd w:id="11"/>
    <w:bookmarkStart w:id="12" w:name="X18b6bc6b3ea816f0a42174d60f9b8f519329a64"/>
    <w:p>
      <w:pPr>
        <w:pStyle w:val="Heading1"/>
      </w:pPr>
      <w:r>
        <w:t xml:space="preserve">4. About the Control Plane as a Sub-processor</w:t>
      </w:r>
    </w:p>
    <w:p>
      <w:pPr>
        <w:pStyle w:val="FirstParagraph"/>
      </w:pPr>
      <w:r>
        <w:t xml:space="preserve">Although the Control Plane does not receive Customer Personal Data content, it directs what the Data Plane does with that content (by sending prompts and orchestration configurations). For regulatory transparency, the Control Plane is listed as a Sub-processor to reflect this control relationship.</w:t>
      </w:r>
    </w:p>
    <w:bookmarkEnd w:id="12"/>
    <w:bookmarkStart w:id="13" w:name="cpdp-data-boundary"/>
    <w:p>
      <w:pPr>
        <w:pStyle w:val="Heading1"/>
      </w:pPr>
      <w:r>
        <w:t xml:space="preserve">5. CP/DP Data Boundary</w:t>
      </w:r>
    </w:p>
    <w:p>
      <w:pPr>
        <w:pStyle w:val="FirstParagraph"/>
      </w:pPr>
      <w:r>
        <w:t xml:space="preserve">The following summarizes what crosses the boundary between Customer’s Data Plane and Company’s Control Plane.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Content</w:t>
            </w:r>
          </w:p>
        </w:tc>
        <w:tc>
          <w:tcPr/>
          <w:p>
            <w:pPr>
              <w:pStyle w:val="Compact"/>
            </w:pPr>
            <w:r>
              <w:t xml:space="preserve">Includes Personal Data?</w:t>
            </w:r>
          </w:p>
        </w:tc>
      </w:tr>
      <w:tr>
        <w:tc>
          <w:tcPr/>
          <w:p>
            <w:pPr>
              <w:pStyle w:val="Compact"/>
            </w:pPr>
            <w:r>
              <w:t xml:space="preserve">CP → DP</w:t>
            </w:r>
          </w:p>
        </w:tc>
        <w:tc>
          <w:tcPr/>
          <w:p>
            <w:pPr>
              <w:pStyle w:val="Compact"/>
            </w:pPr>
            <w:r>
              <w:t xml:space="preserve">Prompts (signed); orchestration definitions; section schemas; model routing; license updates</w:t>
            </w:r>
          </w:p>
        </w:tc>
        <w:tc>
          <w:tcPr/>
          <w:p>
            <w:pPr>
              <w:pStyle w:val="Compact"/>
            </w:pPr>
            <w:r>
              <w:t xml:space="preserve">No</w:t>
            </w:r>
          </w:p>
        </w:tc>
      </w:tr>
      <w:tr>
        <w:tc>
          <w:tcPr/>
          <w:p>
            <w:pPr>
              <w:pStyle w:val="Compact"/>
            </w:pPr>
            <w:r>
              <w:t xml:space="preserve">DP → CP</w:t>
            </w:r>
          </w:p>
        </w:tc>
        <w:tc>
          <w:tcPr/>
          <w:p>
            <w:pPr>
              <w:pStyle w:val="Compact"/>
            </w:pPr>
            <w:r>
              <w:t xml:space="preserve">Customer identifier; module run counts; error counts; health pings</w:t>
            </w:r>
          </w:p>
        </w:tc>
        <w:tc>
          <w:tcPr/>
          <w:p>
            <w:pPr>
              <w:pStyle w:val="Compact"/>
            </w:pPr>
            <w:r>
              <w:t xml:space="preserve">No (telemetry only; no Customer content)</w:t>
            </w:r>
          </w:p>
        </w:tc>
      </w:tr>
      <w:tr>
        <w:tc>
          <w:tcPr/>
          <w:p>
            <w:pPr>
              <w:pStyle w:val="Compact"/>
            </w:pPr>
            <w:r>
              <w:t xml:space="preserve">Stays in Customer’s Azure (never crosses)</w:t>
            </w:r>
          </w:p>
        </w:tc>
        <w:tc>
          <w:tcPr/>
          <w:p>
            <w:pPr>
              <w:pStyle w:val="Compact"/>
            </w:pPr>
            <w:r>
              <w:t xml:space="preserve">Email content; calendar event content; file content; meeting transcripts; names; email addresses</w:t>
            </w:r>
          </w:p>
        </w:tc>
        <w:tc>
          <w:tcPr/>
          <w:p>
            <w:pPr>
              <w:pStyle w:val="Compact"/>
            </w:pPr>
            <w:r>
              <w:t xml:space="preserve">n/a</w:t>
            </w:r>
          </w:p>
        </w:tc>
      </w:tr>
    </w:tbl>
    <w:bookmarkEnd w:id="13"/>
    <w:bookmarkStart w:id="14" w:name="not-sub-processors-under-the-cpdp-tier"/>
    <w:p>
      <w:pPr>
        <w:pStyle w:val="Heading1"/>
      </w:pPr>
      <w:r>
        <w:t xml:space="preserve">6. Not Sub-processors Under the CPDP Tier</w:t>
      </w:r>
    </w:p>
    <w:p>
      <w:pPr>
        <w:pStyle w:val="Compact"/>
        <w:numPr>
          <w:ilvl w:val="0"/>
          <w:numId w:val="1001"/>
        </w:numPr>
      </w:pPr>
      <w:r>
        <w:rPr>
          <w:b/>
          <w:bCs/>
        </w:rPr>
        <w:t xml:space="preserve">Railway, Inc.</w:t>
      </w:r>
      <w:r>
        <w:t xml:space="preserve"> </w:t>
      </w:r>
      <w:r>
        <w:t xml:space="preserve">is not used in the CPDP tier.</w:t>
      </w:r>
    </w:p>
    <w:p>
      <w:pPr>
        <w:pStyle w:val="Compact"/>
        <w:numPr>
          <w:ilvl w:val="0"/>
          <w:numId w:val="1001"/>
        </w:numPr>
      </w:pPr>
      <w:r>
        <w:rPr>
          <w:b/>
          <w:bCs/>
        </w:rPr>
        <w:t xml:space="preserve">Customer’s own Azure subscription</w:t>
      </w:r>
      <w:r>
        <w:t xml:space="preserve"> </w:t>
      </w:r>
      <w:r>
        <w:t xml:space="preserve">is not a Sub-processor; Customer’s relationship with Microsoft Azure is governed by Customer’s own agreements with Microsoft.</w:t>
      </w:r>
    </w:p>
    <w:bookmarkEnd w:id="14"/>
    <w:bookmarkStart w:id="15" w:name="sub-processor-diligence"/>
    <w:p>
      <w:pPr>
        <w:pStyle w:val="Heading1"/>
      </w:pPr>
      <w:r>
        <w:t xml:space="preserve">7. Sub-processor Diligence</w:t>
      </w:r>
    </w:p>
    <w:p>
      <w:pPr>
        <w:pStyle w:val="FirstParagraph"/>
      </w:pPr>
      <w:r>
        <w:t xml:space="preserve">Each Sub-processor is engaged under a written agreement that imposes confidentiality, security, and data-protection obligations consistent with the standards we apply to Personal Data, including the requirements of the General Data Protection Regulation where applicable.</w:t>
      </w:r>
    </w:p>
    <w:bookmarkEnd w:id="15"/>
    <w:bookmarkStart w:id="16" w:name="changes-to-this-list"/>
    <w:p>
      <w:pPr>
        <w:pStyle w:val="Heading1"/>
      </w:pPr>
      <w:r>
        <w:t xml:space="preserve">8. Changes to This List</w:t>
      </w:r>
    </w:p>
    <w:p>
      <w:pPr>
        <w:pStyle w:val="FirstParagraph"/>
      </w:pPr>
      <w:r>
        <w:t xml:space="preserve">Company will provide Customer with not less than thirty (30) days’ written notice before engaging a new Sub-processor or materially changing the role of an existing Sub-processor.</w:t>
      </w:r>
    </w:p>
    <w:bookmarkEnd w:id="16"/>
    <w:bookmarkStart w:id="17" w:name="contact"/>
    <w:p>
      <w:pPr>
        <w:pStyle w:val="Heading1"/>
      </w:pPr>
      <w:r>
        <w:t xml:space="preserve">9. Contact</w:t>
      </w:r>
    </w:p>
    <w:p>
      <w:pPr>
        <w:pStyle w:val="FirstParagraph"/>
      </w:pPr>
      <w:r>
        <w:rPr>
          <w:b/>
          <w:bCs/>
        </w:rPr>
        <w:t xml:space="preserve">[COMPANY NAME]</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Sub-processor List is a forward-looking draft describing the planned CPDP tier. It will be finalized prior to the tier’s launch.</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Sub-processor List</dc:title>
  <dc:creator/>
  <cp:keywords/>
  <dcterms:created xsi:type="dcterms:W3CDTF">2026-06-09T07:55:30Z</dcterms:created>
  <dcterms:modified xsi:type="dcterms:W3CDTF">2026-06-09T07:55:30Z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 (PLANNED)</vt:lpwstr>
  </property>
  <property fmtid="{D5CDD505-2E9C-101B-9397-08002B2CF9AE}" pid="3" name="subtitle">
    <vt:lpwstr>CPDP Tier (Control Plane / Data Plane) — PLANNED</vt:lpwstr>
  </property>
</Properties>
</file>