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CEO AI Platform — Data Handling Summary</w:t>
      </w:r>
    </w:p>
    <w:p>
      <w:pPr>
        <w:pStyle w:val="Subtitle"/>
      </w:pPr>
      <w:r>
        <w:t xml:space="preserve">SaaS Tier — Plain-Language Overview</w:t>
      </w:r>
    </w:p>
    <w:p>
      <w:pPr>
        <w:pStyle w:val="Date"/>
      </w:pPr>
      <w:r>
        <w:t xml:space="preserve">Effective Date: [DATE] | Last Updated: [DATE] | Version: 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urpose-of-this-summary"/>
    <w:p>
      <w:pPr>
        <w:pStyle w:val="Heading1"/>
      </w:pPr>
      <w:r>
        <w:t xml:space="preserve">1. Purpose of This Summary</w:t>
      </w:r>
    </w:p>
    <w:p>
      <w:pPr>
        <w:pStyle w:val="FirstParagraph"/>
      </w:pPr>
      <w:r>
        <w:t xml:space="preserve">This document is a plain-language summary of how the CEO AI Platform (the</w:t>
      </w:r>
      <w:r>
        <w:t xml:space="preserve"> </w:t>
      </w:r>
      <w:r>
        <w:t xml:space="preserve">“Service”</w:t>
      </w:r>
      <w:r>
        <w:t xml:space="preserve">) handles Customer data under the SaaS tier. It is intended to support quick review by Customer executives and business stakeholders. For complete information, please refer to the Privacy Policy and the Sub-processor List.</w:t>
      </w:r>
    </w:p>
    <w:bookmarkEnd w:id="9"/>
    <w:bookmarkStart w:id="10" w:name="data-the-service-accesses"/>
    <w:p>
      <w:pPr>
        <w:pStyle w:val="Heading1"/>
      </w:pPr>
      <w:r>
        <w:t xml:space="preserve">2. Data the Service Accesses</w:t>
      </w:r>
    </w:p>
    <w:p>
      <w:pPr>
        <w:pStyle w:val="FirstParagraph"/>
      </w:pPr>
      <w:r>
        <w:t xml:space="preserve">With Customer’s Microsoft 365 OAuth consent, the Service accesses the following categories of Customer data:</w:t>
      </w:r>
    </w:p>
    <w:p>
      <w:pPr>
        <w:pStyle w:val="Compact"/>
        <w:numPr>
          <w:ilvl w:val="0"/>
          <w:numId w:val="1001"/>
        </w:numPr>
      </w:pPr>
      <w:r>
        <w:rPr>
          <w:b/>
          <w:bCs/>
        </w:rPr>
        <w:t xml:space="preserve">Email</w:t>
      </w:r>
      <w:r>
        <w:t xml:space="preserve"> </w:t>
      </w:r>
      <w:r>
        <w:t xml:space="preserve">— Outlook inbox and sent folder.</w:t>
      </w:r>
    </w:p>
    <w:p>
      <w:pPr>
        <w:pStyle w:val="Compact"/>
        <w:numPr>
          <w:ilvl w:val="0"/>
          <w:numId w:val="1001"/>
        </w:numPr>
      </w:pPr>
      <w:r>
        <w:rPr>
          <w:b/>
          <w:bCs/>
        </w:rPr>
        <w:t xml:space="preserve">Calendar</w:t>
      </w:r>
      <w:r>
        <w:t xml:space="preserve"> </w:t>
      </w:r>
      <w:r>
        <w:t xml:space="preserve">— events, attendees, and meeting metadata.</w:t>
      </w:r>
    </w:p>
    <w:p>
      <w:pPr>
        <w:pStyle w:val="Compact"/>
        <w:numPr>
          <w:ilvl w:val="0"/>
          <w:numId w:val="1001"/>
        </w:numPr>
      </w:pPr>
      <w:r>
        <w:rPr>
          <w:b/>
          <w:bCs/>
        </w:rPr>
        <w:t xml:space="preserve">OneDrive files</w:t>
      </w:r>
      <w:r>
        <w:t xml:space="preserve"> </w:t>
      </w:r>
      <w:r>
        <w:t xml:space="preserve">— files Customer has authorized for access, primarily meeting recordings.</w:t>
      </w:r>
    </w:p>
    <w:p>
      <w:pPr>
        <w:pStyle w:val="Compact"/>
        <w:numPr>
          <w:ilvl w:val="0"/>
          <w:numId w:val="1001"/>
        </w:numPr>
      </w:pPr>
      <w:r>
        <w:rPr>
          <w:b/>
          <w:bCs/>
        </w:rPr>
        <w:t xml:space="preserve">Microsoft Teams</w:t>
      </w:r>
      <w:r>
        <w:t xml:space="preserve"> </w:t>
      </w:r>
      <w:r>
        <w:t xml:space="preserve">— 1:1 chat history with the</w:t>
      </w:r>
      <w:r>
        <w:t xml:space="preserve"> </w:t>
      </w:r>
      <w:r>
        <w:t xml:space="preserve">“Audrey”</w:t>
      </w:r>
      <w:r>
        <w:t xml:space="preserve"> </w:t>
      </w:r>
      <w:r>
        <w:t xml:space="preserve">assistant bot provisioned for Customer.</w:t>
      </w:r>
    </w:p>
    <w:p>
      <w:pPr>
        <w:pStyle w:val="Compact"/>
        <w:numPr>
          <w:ilvl w:val="0"/>
          <w:numId w:val="1001"/>
        </w:numPr>
      </w:pPr>
      <w:r>
        <w:rPr>
          <w:b/>
          <w:bCs/>
        </w:rPr>
        <w:t xml:space="preserve">Profile</w:t>
      </w:r>
      <w:r>
        <w:t xml:space="preserve"> </w:t>
      </w:r>
      <w:r>
        <w:t xml:space="preserve">— Customer’s name, email address, and profile photograph.</w:t>
      </w:r>
    </w:p>
    <w:p>
      <w:pPr>
        <w:pStyle w:val="FirstParagraph"/>
      </w:pPr>
      <w:r>
        <w:t xml:space="preserve">The Service does not access or store Microsoft passwords. All authentication is performed by Microsoft.</w:t>
      </w:r>
    </w:p>
    <w:bookmarkEnd w:id="10"/>
    <w:bookmarkStart w:id="11" w:name="how-the-data-is-used"/>
    <w:p>
      <w:pPr>
        <w:pStyle w:val="Heading1"/>
      </w:pPr>
      <w:r>
        <w:t xml:space="preserve">3. How the Data is Used</w:t>
      </w:r>
    </w:p>
    <w:p>
      <w:pPr>
        <w:pStyle w:val="FirstParagraph"/>
      </w:pPr>
      <w:r>
        <w:t xml:space="preserve">To deliver the five AI assistant modules:</w:t>
      </w:r>
    </w:p>
    <w:p>
      <w:pPr>
        <w:pStyle w:val="Compact"/>
        <w:numPr>
          <w:ilvl w:val="0"/>
          <w:numId w:val="1002"/>
        </w:numPr>
      </w:pPr>
      <w:r>
        <w:rPr>
          <w:b/>
          <w:bCs/>
        </w:rPr>
        <w:t xml:space="preserve">Daily Briefing</w:t>
      </w:r>
      <w:r>
        <w:t xml:space="preserve"> </w:t>
      </w:r>
      <w:r>
        <w:t xml:space="preserve">— morning summary of calendar and email.</w:t>
      </w:r>
    </w:p>
    <w:p>
      <w:pPr>
        <w:pStyle w:val="Compact"/>
        <w:numPr>
          <w:ilvl w:val="0"/>
          <w:numId w:val="1002"/>
        </w:numPr>
      </w:pPr>
      <w:r>
        <w:rPr>
          <w:b/>
          <w:bCs/>
        </w:rPr>
        <w:t xml:space="preserve">Email Triage</w:t>
      </w:r>
      <w:r>
        <w:t xml:space="preserve"> </w:t>
      </w:r>
      <w:r>
        <w:t xml:space="preserve">— sorting, prioritization, and draft reply generation.</w:t>
      </w:r>
    </w:p>
    <w:p>
      <w:pPr>
        <w:pStyle w:val="Compact"/>
        <w:numPr>
          <w:ilvl w:val="0"/>
          <w:numId w:val="1002"/>
        </w:numPr>
      </w:pPr>
      <w:r>
        <w:rPr>
          <w:b/>
          <w:bCs/>
        </w:rPr>
        <w:t xml:space="preserve">Meeting Summary</w:t>
      </w:r>
      <w:r>
        <w:t xml:space="preserve"> </w:t>
      </w:r>
      <w:r>
        <w:t xml:space="preserve">— transcription of recordings and extraction of action items.</w:t>
      </w:r>
    </w:p>
    <w:p>
      <w:pPr>
        <w:pStyle w:val="Compact"/>
        <w:numPr>
          <w:ilvl w:val="0"/>
          <w:numId w:val="1002"/>
        </w:numPr>
      </w:pPr>
      <w:r>
        <w:rPr>
          <w:b/>
          <w:bCs/>
        </w:rPr>
        <w:t xml:space="preserve">Relationship Intelligence</w:t>
      </w:r>
      <w:r>
        <w:t xml:space="preserve"> </w:t>
      </w:r>
      <w:r>
        <w:t xml:space="preserve">— surfacing of communication patterns.</w:t>
      </w:r>
    </w:p>
    <w:p>
      <w:pPr>
        <w:pStyle w:val="Compact"/>
        <w:numPr>
          <w:ilvl w:val="0"/>
          <w:numId w:val="1002"/>
        </w:numPr>
      </w:pPr>
      <w:r>
        <w:rPr>
          <w:b/>
          <w:bCs/>
        </w:rPr>
        <w:t xml:space="preserve">Expense Capture</w:t>
      </w:r>
      <w:r>
        <w:t xml:space="preserve"> </w:t>
      </w:r>
      <w:r>
        <w:t xml:space="preserve">— identification of receipts and invoices.</w:t>
      </w:r>
    </w:p>
    <w:bookmarkEnd w:id="11"/>
    <w:bookmarkStart w:id="12" w:name="where-data-is-stored"/>
    <w:p>
      <w:pPr>
        <w:pStyle w:val="Heading1"/>
      </w:pPr>
      <w:r>
        <w:t xml:space="preserve">4. Where Data is Stored</w:t>
      </w:r>
    </w:p>
    <w:p>
      <w:pPr>
        <w:pStyle w:val="Compact"/>
        <w:numPr>
          <w:ilvl w:val="0"/>
          <w:numId w:val="1003"/>
        </w:numPr>
      </w:pPr>
      <w:r>
        <w:rPr>
          <w:b/>
          <w:bCs/>
        </w:rPr>
        <w:t xml:space="preserve">Application and data at rest</w:t>
      </w:r>
      <w:r>
        <w:t xml:space="preserve">: Railway, Inc. infrastructure, US-east region.</w:t>
      </w:r>
    </w:p>
    <w:p>
      <w:pPr>
        <w:pStyle w:val="Compact"/>
        <w:numPr>
          <w:ilvl w:val="0"/>
          <w:numId w:val="1003"/>
        </w:numPr>
      </w:pPr>
      <w:r>
        <w:rPr>
          <w:b/>
          <w:bCs/>
        </w:rPr>
        <w:t xml:space="preserve">In-transit AI processing</w:t>
      </w:r>
      <w:r>
        <w:t xml:space="preserve">: content sent to Google Gemini is not retained by Google under the paid Gemini API terms.</w:t>
      </w:r>
    </w:p>
    <w:bookmarkEnd w:id="12"/>
    <w:bookmarkStart w:id="13" w:name="third-parties-sub-processors"/>
    <w:p>
      <w:pPr>
        <w:pStyle w:val="Heading1"/>
      </w:pPr>
      <w:r>
        <w:t xml:space="preserve">5. Third Parties (Sub-processors)</w:t>
      </w:r>
    </w:p>
    <w:p>
      <w:pPr>
        <w:pStyle w:val="FirstParagraph"/>
      </w:pPr>
      <w:r>
        <w:t xml:space="preserve">Three Sub-processors are involved in delivering the Service: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Sub-processor</w:t>
            </w:r>
          </w:p>
        </w:tc>
        <w:tc>
          <w:tcPr/>
          <w:p>
            <w:pPr>
              <w:pStyle w:val="Compact"/>
            </w:pPr>
            <w:r>
              <w:t xml:space="preserve">Role</w:t>
            </w:r>
          </w:p>
        </w:tc>
      </w:tr>
      <w:tr>
        <w:tc>
          <w:tcPr/>
          <w:p>
            <w:pPr>
              <w:pStyle w:val="Compact"/>
            </w:pPr>
            <w:r>
              <w:t xml:space="preserve">Microsoft</w:t>
            </w:r>
          </w:p>
        </w:tc>
        <w:tc>
          <w:tcPr/>
          <w:p>
            <w:pPr>
              <w:pStyle w:val="Compact"/>
            </w:pPr>
            <w:r>
              <w:t xml:space="preserve">Identity and M365 data access (Customer’s existing provider)</w:t>
            </w:r>
          </w:p>
        </w:tc>
      </w:tr>
      <w:tr>
        <w:tc>
          <w:tcPr/>
          <w:p>
            <w:pPr>
              <w:pStyle w:val="Compact"/>
            </w:pPr>
            <w:r>
              <w:t xml:space="preserve">Google Gemini</w:t>
            </w:r>
          </w:p>
        </w:tc>
        <w:tc>
          <w:tcPr/>
          <w:p>
            <w:pPr>
              <w:pStyle w:val="Compact"/>
            </w:pPr>
            <w:r>
              <w:t xml:space="preserve">Generative AI processing</w:t>
            </w:r>
          </w:p>
        </w:tc>
      </w:tr>
      <w:tr>
        <w:tc>
          <w:tcPr/>
          <w:p>
            <w:pPr>
              <w:pStyle w:val="Compact"/>
            </w:pPr>
            <w:r>
              <w:t xml:space="preserve">Railway</w:t>
            </w:r>
          </w:p>
        </w:tc>
        <w:tc>
          <w:tcPr/>
          <w:p>
            <w:pPr>
              <w:pStyle w:val="Compact"/>
            </w:pPr>
            <w:r>
              <w:t xml:space="preserve">Application hosting and storage</w:t>
            </w:r>
          </w:p>
        </w:tc>
      </w:tr>
    </w:tbl>
    <w:p>
      <w:pPr>
        <w:pStyle w:val="BodyText"/>
      </w:pPr>
      <w:r>
        <w:t xml:space="preserve">Full details are in the Sub-processor List.</w:t>
      </w:r>
    </w:p>
    <w:bookmarkEnd w:id="13"/>
    <w:bookmarkStart w:id="14" w:name="customer-controls"/>
    <w:p>
      <w:pPr>
        <w:pStyle w:val="Heading1"/>
      </w:pPr>
      <w:r>
        <w:t xml:space="preserve">6. Customer Controls</w:t>
      </w:r>
    </w:p>
    <w:p>
      <w:pPr>
        <w:pStyle w:val="FirstParagraph"/>
      </w:pPr>
      <w:r>
        <w:t xml:space="preserve">Customer may, at any time:</w:t>
      </w:r>
    </w:p>
    <w:p>
      <w:pPr>
        <w:pStyle w:val="Compact"/>
        <w:numPr>
          <w:ilvl w:val="0"/>
          <w:numId w:val="1004"/>
        </w:numPr>
      </w:pPr>
      <w:r>
        <w:rPr>
          <w:b/>
          <w:bCs/>
        </w:rPr>
        <w:t xml:space="preserve">Delete the Account</w:t>
      </w:r>
      <w:r>
        <w:t xml:space="preserve"> </w:t>
      </w:r>
      <w:r>
        <w:t xml:space="preserve">through the Service settings. Customer data is removed from production within seven (7) days, and from backups within thirty (30) days.</w:t>
      </w:r>
    </w:p>
    <w:p>
      <w:pPr>
        <w:pStyle w:val="Compact"/>
        <w:numPr>
          <w:ilvl w:val="0"/>
          <w:numId w:val="1004"/>
        </w:numPr>
      </w:pPr>
      <w:r>
        <w:rPr>
          <w:b/>
          <w:bCs/>
        </w:rPr>
        <w:t xml:space="preserve">Revoke Microsoft OAuth consent</w:t>
      </w:r>
      <w:r>
        <w:t xml:space="preserve"> </w:t>
      </w:r>
      <w:r>
        <w:t xml:space="preserve">at https://myaccount.microsoft.com → Permissions.</w:t>
      </w:r>
    </w:p>
    <w:p>
      <w:pPr>
        <w:pStyle w:val="Compact"/>
        <w:numPr>
          <w:ilvl w:val="0"/>
          <w:numId w:val="1004"/>
        </w:numPr>
      </w:pPr>
      <w:r>
        <w:rPr>
          <w:b/>
          <w:bCs/>
        </w:rPr>
        <w:t xml:space="preserve">Disable individual modules</w:t>
      </w:r>
      <w:r>
        <w:t xml:space="preserve"> </w:t>
      </w:r>
      <w:r>
        <w:t xml:space="preserve">in the Service settings.</w:t>
      </w:r>
    </w:p>
    <w:bookmarkEnd w:id="14"/>
    <w:bookmarkStart w:id="15" w:name="further-information"/>
    <w:p>
      <w:pPr>
        <w:pStyle w:val="Heading1"/>
      </w:pPr>
      <w:r>
        <w:t xml:space="preserve">7. Further Information</w:t>
      </w:r>
    </w:p>
    <w:p>
      <w:pPr>
        <w:pStyle w:val="Compact"/>
        <w:numPr>
          <w:ilvl w:val="0"/>
          <w:numId w:val="1005"/>
        </w:numPr>
      </w:pPr>
      <w:r>
        <w:t xml:space="preserve">Privacy Policy</w:t>
      </w:r>
    </w:p>
    <w:p>
      <w:pPr>
        <w:pStyle w:val="Compact"/>
        <w:numPr>
          <w:ilvl w:val="0"/>
          <w:numId w:val="1005"/>
        </w:numPr>
      </w:pPr>
      <w:r>
        <w:t xml:space="preserve">Sub-processor List</w:t>
      </w:r>
    </w:p>
    <w:p>
      <w:pPr>
        <w:pStyle w:val="Compact"/>
        <w:numPr>
          <w:ilvl w:val="0"/>
          <w:numId w:val="1005"/>
        </w:numPr>
      </w:pPr>
      <w:r>
        <w:t xml:space="preserve">Terms of Service</w:t>
      </w:r>
    </w:p>
    <w:bookmarkEnd w:id="15"/>
    <w:bookmarkStart w:id="16" w:name="contact"/>
    <w:p>
      <w:pPr>
        <w:pStyle w:val="Heading1"/>
      </w:pPr>
      <w:r>
        <w:t xml:space="preserve">8. Contact</w:t>
      </w:r>
    </w:p>
    <w:p>
      <w:pPr>
        <w:pStyle w:val="FirstParagraph"/>
      </w:pPr>
      <w:r>
        <w:t xml:space="preserve">For questions, please contact:</w:t>
      </w:r>
    </w:p>
    <w:p>
      <w:pPr>
        <w:pStyle w:val="BodyText"/>
      </w:pPr>
      <w:r>
        <w:rPr>
          <w:b/>
          <w:bCs/>
        </w:rPr>
        <w:t xml:space="preserve">[COMPANY NAME]</w:t>
      </w:r>
    </w:p>
    <w:p>
      <w:pPr>
        <w:pStyle w:val="BodyText"/>
      </w:pPr>
      <w:r>
        <w:t xml:space="preserve">Email: [PRIVACY@COMPANY.COM]</w:t>
      </w:r>
      <w:r>
        <w:br/>
      </w:r>
      <w:r>
        <w:t xml:space="preserve">Web: [WWW.COMPANY.COM/PRIVACY]</w:t>
      </w:r>
    </w:p>
    <w:p>
      <w:r>
        <w:pict>
          <v:rect style="width:0;height:1.5pt" o:hralign="center" o:hrstd="t" o:hr="t"/>
        </w:pict>
      </w:r>
    </w:p>
    <w:p>
      <w:pPr>
        <w:pStyle w:val="FirstParagraph"/>
      </w:pPr>
      <w:r>
        <w:rPr>
          <w:i/>
          <w:iCs/>
        </w:rPr>
        <w:t xml:space="preserve">This Data Handling Summary is provided as a beta-stage operational document. It has not been reviewed by external legal counsel.</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 AI Platform — Data Handling Summary</dc:title>
  <dc:creator/>
  <cp:keywords/>
  <dcterms:created xsi:type="dcterms:W3CDTF">2026-06-09T07:47:25Z</dcterms:created>
  <dcterms:modified xsi:type="dcterms:W3CDTF">2026-06-09T07:47:25Z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Date: [DATE] | Last Updated: [DATE] | Version: 1.0</vt:lpwstr>
  </property>
  <property fmtid="{D5CDD505-2E9C-101B-9397-08002B2CF9AE}" pid="3" name="subtitle">
    <vt:lpwstr>SaaS Tier — Plain-Language Overview</vt:lpwstr>
  </property>
</Properties>
</file>