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CEO AI Platform — Privacy Policy</w:t>
      </w:r>
    </w:p>
    <w:p>
      <w:pPr>
        <w:pStyle w:val="Subtitle"/>
      </w:pPr>
      <w:r>
        <w:t xml:space="preserve">SaaS Tier</w:t>
      </w:r>
    </w:p>
    <w:p>
      <w:pPr>
        <w:pStyle w:val="Date"/>
      </w:pPr>
      <w:r>
        <w:t xml:space="preserve">Effective Date: [DATE] | Last Updated: [DATE] | Version: 1.0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introduction"/>
    <w:p>
      <w:pPr>
        <w:pStyle w:val="Heading1"/>
      </w:pPr>
      <w:r>
        <w:t xml:space="preserve">1. Introduction</w:t>
      </w:r>
    </w:p>
    <w:p>
      <w:pPr>
        <w:pStyle w:val="FirstParagraph"/>
      </w:pPr>
      <w:r>
        <w:t xml:space="preserve">This Privacy Policy (</w:t>
      </w:r>
      <w:r>
        <w:t xml:space="preserve">“Policy”</w:t>
      </w:r>
      <w:r>
        <w:t xml:space="preserve">) describes how [COMPANY NAME] (</w:t>
      </w:r>
      <w:r>
        <w:t xml:space="preserve">“Company”</w:t>
      </w:r>
      <w:r>
        <w:t xml:space="preserve">,</w:t>
      </w:r>
      <w:r>
        <w:t xml:space="preserve"> </w:t>
      </w:r>
      <w:r>
        <w:t xml:space="preserve">“we”</w:t>
      </w:r>
      <w:r>
        <w:t xml:space="preserve">,</w:t>
      </w:r>
      <w:r>
        <w:t xml:space="preserve"> </w:t>
      </w:r>
      <w:r>
        <w:t xml:space="preserve">“us”</w:t>
      </w:r>
      <w:r>
        <w:t xml:space="preserve">, or</w:t>
      </w:r>
      <w:r>
        <w:t xml:space="preserve"> </w:t>
      </w:r>
      <w:r>
        <w:t xml:space="preserve">“our”</w:t>
      </w:r>
      <w:r>
        <w:t xml:space="preserve">) collects, uses, discloses, and otherwise processes personal data when you use the CEO AI Platform (the</w:t>
      </w:r>
      <w:r>
        <w:t xml:space="preserve"> </w:t>
      </w:r>
      <w:r>
        <w:t xml:space="preserve">“Service”</w:t>
      </w:r>
      <w:r>
        <w:t xml:space="preserve">), the multi-tenant Software-as-a-Service (</w:t>
      </w:r>
      <w:r>
        <w:t xml:space="preserve">“SaaS”</w:t>
      </w:r>
      <w:r>
        <w:t xml:space="preserve">) deployment hosted on Railway, Inc. infrastructure.</w:t>
      </w:r>
    </w:p>
    <w:p>
      <w:pPr>
        <w:pStyle w:val="BodyText"/>
      </w:pPr>
      <w:r>
        <w:t xml:space="preserve">By accessing or using the Service, you acknowledge that you have read and understood this Policy.</w:t>
      </w:r>
    </w:p>
    <w:p>
      <w:pPr>
        <w:pStyle w:val="BodyText"/>
      </w:pPr>
      <w:r>
        <w:t xml:space="preserve">This Policy applies to the SaaS-tier deployment only. If you are using the Service under the BYOC (Bring Your Own Cloud) or CPDP (Control Plane / Data Plane) tier, a separate Privacy Policy applies.</w:t>
      </w:r>
    </w:p>
    <w:bookmarkEnd w:id="9"/>
    <w:bookmarkStart w:id="10" w:name="definitions"/>
    <w:p>
      <w:pPr>
        <w:pStyle w:val="Heading1"/>
      </w:pPr>
      <w:r>
        <w:t xml:space="preserve">2. Definitions</w:t>
      </w:r>
    </w:p>
    <w:p>
      <w:pPr>
        <w:pStyle w:val="FirstParagraph"/>
      </w:pPr>
      <w:r>
        <w:t xml:space="preserve">For the purposes of this Policy:</w:t>
      </w:r>
    </w:p>
    <w:p>
      <w:pPr>
        <w:pStyle w:val="Compact"/>
        <w:numPr>
          <w:ilvl w:val="0"/>
          <w:numId w:val="1001"/>
        </w:numPr>
      </w:pPr>
      <w:r>
        <w:rPr>
          <w:b/>
          <w:bCs/>
        </w:rPr>
        <w:t xml:space="preserve">“Account”</w:t>
      </w:r>
      <w:r>
        <w:t xml:space="preserve"> </w:t>
      </w:r>
      <w:r>
        <w:t xml:space="preserve">means a registered user account created through Microsoft authentication.</w:t>
      </w:r>
    </w:p>
    <w:p>
      <w:pPr>
        <w:pStyle w:val="Compact"/>
        <w:numPr>
          <w:ilvl w:val="0"/>
          <w:numId w:val="1001"/>
        </w:numPr>
      </w:pPr>
      <w:r>
        <w:rPr>
          <w:b/>
          <w:bCs/>
        </w:rPr>
        <w:t xml:space="preserve">“Personal Data”</w:t>
      </w:r>
      <w:r>
        <w:t xml:space="preserve"> </w:t>
      </w:r>
      <w:r>
        <w:t xml:space="preserve">means any information relating to an identified or identifiable natural person.</w:t>
      </w:r>
    </w:p>
    <w:p>
      <w:pPr>
        <w:pStyle w:val="Compact"/>
        <w:numPr>
          <w:ilvl w:val="0"/>
          <w:numId w:val="1001"/>
        </w:numPr>
      </w:pPr>
      <w:r>
        <w:rPr>
          <w:b/>
          <w:bCs/>
        </w:rPr>
        <w:t xml:space="preserve">“Processing”</w:t>
      </w:r>
      <w:r>
        <w:t xml:space="preserve"> </w:t>
      </w:r>
      <w:r>
        <w:t xml:space="preserve">means any operation performed on Personal Data, including collection, storage, use, and disclosure.</w:t>
      </w:r>
    </w:p>
    <w:p>
      <w:pPr>
        <w:pStyle w:val="Compact"/>
        <w:numPr>
          <w:ilvl w:val="0"/>
          <w:numId w:val="1001"/>
        </w:numPr>
      </w:pPr>
      <w:r>
        <w:rPr>
          <w:b/>
          <w:bCs/>
        </w:rPr>
        <w:t xml:space="preserve">“Sub-processor”</w:t>
      </w:r>
      <w:r>
        <w:t xml:space="preserve"> </w:t>
      </w:r>
      <w:r>
        <w:t xml:space="preserve">means any third party engaged by the Company to process Personal Data on its behalf.</w:t>
      </w:r>
    </w:p>
    <w:p>
      <w:pPr>
        <w:pStyle w:val="Compact"/>
        <w:numPr>
          <w:ilvl w:val="0"/>
          <w:numId w:val="1001"/>
        </w:numPr>
      </w:pPr>
      <w:r>
        <w:rPr>
          <w:b/>
          <w:bCs/>
        </w:rPr>
        <w:t xml:space="preserve">“You”</w:t>
      </w:r>
      <w:r>
        <w:t xml:space="preserve"> </w:t>
      </w:r>
      <w:r>
        <w:t xml:space="preserve">or</w:t>
      </w:r>
      <w:r>
        <w:t xml:space="preserve"> </w:t>
      </w:r>
      <w:r>
        <w:rPr>
          <w:b/>
          <w:bCs/>
        </w:rPr>
        <w:t xml:space="preserve">“User”</w:t>
      </w:r>
      <w:r>
        <w:t xml:space="preserve"> </w:t>
      </w:r>
      <w:r>
        <w:t xml:space="preserve">means the individual using the Service.</w:t>
      </w:r>
    </w:p>
    <w:bookmarkEnd w:id="10"/>
    <w:bookmarkStart w:id="11" w:name="scope"/>
    <w:p>
      <w:pPr>
        <w:pStyle w:val="Heading1"/>
      </w:pPr>
      <w:r>
        <w:t xml:space="preserve">3. Scope</w:t>
      </w:r>
    </w:p>
    <w:p>
      <w:pPr>
        <w:pStyle w:val="FirstParagraph"/>
      </w:pPr>
      <w:r>
        <w:t xml:space="preserve">This Policy covers Personal Data we process when:</w:t>
      </w:r>
    </w:p>
    <w:p>
      <w:pPr>
        <w:pStyle w:val="Compact"/>
        <w:numPr>
          <w:ilvl w:val="0"/>
          <w:numId w:val="1002"/>
        </w:numPr>
      </w:pPr>
      <w:r>
        <w:t xml:space="preserve">You sign in to the Service using your Microsoft 365 account.</w:t>
      </w:r>
    </w:p>
    <w:p>
      <w:pPr>
        <w:pStyle w:val="Compact"/>
        <w:numPr>
          <w:ilvl w:val="0"/>
          <w:numId w:val="1002"/>
        </w:numPr>
      </w:pPr>
      <w:r>
        <w:t xml:space="preserve">You interact with any feature of the Service, including the web dashboard, scheduled jobs, and the Audrey Teams bot.</w:t>
      </w:r>
    </w:p>
    <w:p>
      <w:pPr>
        <w:pStyle w:val="Compact"/>
        <w:numPr>
          <w:ilvl w:val="0"/>
          <w:numId w:val="1002"/>
        </w:numPr>
      </w:pPr>
      <w:r>
        <w:t xml:space="preserve">Your data is processed by our Sub-processors on our behalf.</w:t>
      </w:r>
    </w:p>
    <w:p>
      <w:pPr>
        <w:pStyle w:val="FirstParagraph"/>
      </w:pPr>
      <w:r>
        <w:t xml:space="preserve">This Policy does not cover:</w:t>
      </w:r>
    </w:p>
    <w:p>
      <w:pPr>
        <w:pStyle w:val="Compact"/>
        <w:numPr>
          <w:ilvl w:val="0"/>
          <w:numId w:val="1003"/>
        </w:numPr>
      </w:pPr>
      <w:r>
        <w:t xml:space="preserve">Microsoft’s processing of your data within your M365 tenant — refer to Microsoft’s privacy documentation.</w:t>
      </w:r>
    </w:p>
    <w:p>
      <w:pPr>
        <w:pStyle w:val="Compact"/>
        <w:numPr>
          <w:ilvl w:val="0"/>
          <w:numId w:val="1003"/>
        </w:numPr>
      </w:pPr>
      <w:r>
        <w:t xml:space="preserve">Third-party services you may access via links from the Service.</w:t>
      </w:r>
    </w:p>
    <w:bookmarkEnd w:id="11"/>
    <w:bookmarkStart w:id="17" w:name="personal-data-we-collect"/>
    <w:p>
      <w:pPr>
        <w:pStyle w:val="Heading1"/>
      </w:pPr>
      <w:r>
        <w:t xml:space="preserve">4. Personal Data We Collect</w:t>
      </w:r>
    </w:p>
    <w:p>
      <w:pPr>
        <w:pStyle w:val="FirstParagraph"/>
      </w:pPr>
      <w:r>
        <w:t xml:space="preserve">When you authenticate via Microsoft OAuth 2.0 and grant the requested permissions, we access and process the following categories of Personal Data.</w:t>
      </w:r>
    </w:p>
    <w:bookmarkStart w:id="12" w:name="account-data"/>
    <w:p>
      <w:pPr>
        <w:pStyle w:val="Heading2"/>
      </w:pPr>
      <w:r>
        <w:t xml:space="preserve">4.1 Account Data</w:t>
      </w:r>
    </w:p>
    <w:p>
      <w:pPr>
        <w:pStyle w:val="FirstParagraph"/>
      </w:pPr>
      <w:r>
        <w:t xml:space="preserve">Your name, email address, and profile photograph as provided by your Microsoft account.</w:t>
      </w:r>
    </w:p>
    <w:bookmarkEnd w:id="12"/>
    <w:bookmarkStart w:id="13" w:name="communication-data"/>
    <w:p>
      <w:pPr>
        <w:pStyle w:val="Heading2"/>
      </w:pPr>
      <w:r>
        <w:t xml:space="preserve">4.2 Communication Data</w:t>
      </w:r>
    </w:p>
    <w:p>
      <w:pPr>
        <w:pStyle w:val="FirstParagraph"/>
      </w:pPr>
      <w:r>
        <w:t xml:space="preserve">Email messages in your Outlook inbox and sent folder; 1:1 Microsoft Teams chat history with the Audrey assistant bot.</w:t>
      </w:r>
    </w:p>
    <w:bookmarkEnd w:id="13"/>
    <w:bookmarkStart w:id="14" w:name="calendar-data"/>
    <w:p>
      <w:pPr>
        <w:pStyle w:val="Heading2"/>
      </w:pPr>
      <w:r>
        <w:t xml:space="preserve">4.3 Calendar Data</w:t>
      </w:r>
    </w:p>
    <w:p>
      <w:pPr>
        <w:pStyle w:val="FirstParagraph"/>
      </w:pPr>
      <w:r>
        <w:t xml:space="preserve">Calendar events, attendee information, and meeting metadata.</w:t>
      </w:r>
    </w:p>
    <w:bookmarkEnd w:id="14"/>
    <w:bookmarkStart w:id="15" w:name="file-data"/>
    <w:p>
      <w:pPr>
        <w:pStyle w:val="Heading2"/>
      </w:pPr>
      <w:r>
        <w:t xml:space="preserve">4.4 File Data</w:t>
      </w:r>
    </w:p>
    <w:p>
      <w:pPr>
        <w:pStyle w:val="FirstParagraph"/>
      </w:pPr>
      <w:r>
        <w:t xml:space="preserve">OneDrive files you have explicitly authorized for access, primarily meeting recordings.</w:t>
      </w:r>
    </w:p>
    <w:bookmarkEnd w:id="15"/>
    <w:bookmarkStart w:id="16" w:name="service-usage-data"/>
    <w:p>
      <w:pPr>
        <w:pStyle w:val="Heading2"/>
      </w:pPr>
      <w:r>
        <w:t xml:space="preserve">4.5 Service Usage Data</w:t>
      </w:r>
    </w:p>
    <w:p>
      <w:pPr>
        <w:pStyle w:val="FirstParagraph"/>
      </w:pPr>
      <w:r>
        <w:t xml:space="preserve">Logs of feature interactions, error events, timing metrics, and other operational telemetry. This category does not include the content of your communications.</w:t>
      </w:r>
    </w:p>
    <w:p>
      <w:pPr>
        <w:pStyle w:val="BodyText"/>
      </w:pPr>
      <w:r>
        <w:t xml:space="preserve">We do not collect, process, or store passwords or other authentication credentials. All authentication is performed by Microsoft.</w:t>
      </w:r>
    </w:p>
    <w:bookmarkEnd w:id="16"/>
    <w:bookmarkEnd w:id="17"/>
    <w:bookmarkStart w:id="22" w:name="how-and-why-we-use-personal-data"/>
    <w:p>
      <w:pPr>
        <w:pStyle w:val="Heading1"/>
      </w:pPr>
      <w:r>
        <w:t xml:space="preserve">5. How and Why We Use Personal Data</w:t>
      </w:r>
    </w:p>
    <w:p>
      <w:pPr>
        <w:pStyle w:val="FirstParagraph"/>
      </w:pPr>
      <w:r>
        <w:t xml:space="preserve">We use the Personal Data described in Section 4 for the following purposes:</w:t>
      </w:r>
    </w:p>
    <w:bookmarkStart w:id="18" w:name="service-delivery"/>
    <w:p>
      <w:pPr>
        <w:pStyle w:val="Heading2"/>
      </w:pPr>
      <w:r>
        <w:t xml:space="preserve">5.1 Service Delivery</w:t>
      </w:r>
    </w:p>
    <w:p>
      <w:pPr>
        <w:pStyle w:val="FirstParagraph"/>
      </w:pPr>
      <w:r>
        <w:t xml:space="preserve">To operate the five AI assistant modules: (i) daily executive briefing; (ii) email triage and draft reply generation; (iii) meeting recording transcription and summarization; (iv) relationship intelligence based on communication patterns; and (v) expense and receipt capture.</w:t>
      </w:r>
    </w:p>
    <w:bookmarkEnd w:id="18"/>
    <w:bookmarkStart w:id="19" w:name="service-operation-and-improvement"/>
    <w:p>
      <w:pPr>
        <w:pStyle w:val="Heading2"/>
      </w:pPr>
      <w:r>
        <w:t xml:space="preserve">5.2 Service Operation and Improvement</w:t>
      </w:r>
    </w:p>
    <w:p>
      <w:pPr>
        <w:pStyle w:val="FirstParagraph"/>
      </w:pPr>
      <w:r>
        <w:t xml:space="preserve">To monitor service health, diagnose errors, and improve the Service.</w:t>
      </w:r>
    </w:p>
    <w:bookmarkEnd w:id="19"/>
    <w:bookmarkStart w:id="20" w:name="communication"/>
    <w:p>
      <w:pPr>
        <w:pStyle w:val="Heading2"/>
      </w:pPr>
      <w:r>
        <w:t xml:space="preserve">5.3 Communication</w:t>
      </w:r>
    </w:p>
    <w:p>
      <w:pPr>
        <w:pStyle w:val="FirstParagraph"/>
      </w:pPr>
      <w:r>
        <w:t xml:space="preserve">To send service-related communications, including updates, security notices, and (with your consent) feature announcements.</w:t>
      </w:r>
    </w:p>
    <w:bookmarkEnd w:id="20"/>
    <w:bookmarkStart w:id="21" w:name="legal-compliance"/>
    <w:p>
      <w:pPr>
        <w:pStyle w:val="Heading2"/>
      </w:pPr>
      <w:r>
        <w:t xml:space="preserve">5.4 Legal Compliance</w:t>
      </w:r>
    </w:p>
    <w:p>
      <w:pPr>
        <w:pStyle w:val="FirstParagraph"/>
      </w:pPr>
      <w:r>
        <w:t xml:space="preserve">To comply with applicable laws and respond to lawful requests from public authorities.</w:t>
      </w:r>
    </w:p>
    <w:p>
      <w:pPr>
        <w:pStyle w:val="BodyText"/>
      </w:pPr>
      <w:r>
        <w:t xml:space="preserve">We do not:</w:t>
      </w:r>
    </w:p>
    <w:p>
      <w:pPr>
        <w:pStyle w:val="Compact"/>
        <w:numPr>
          <w:ilvl w:val="0"/>
          <w:numId w:val="1004"/>
        </w:numPr>
      </w:pPr>
      <w:r>
        <w:t xml:space="preserve">Use your Personal Data to train artificial intelligence models.</w:t>
      </w:r>
    </w:p>
    <w:p>
      <w:pPr>
        <w:pStyle w:val="Compact"/>
        <w:numPr>
          <w:ilvl w:val="0"/>
          <w:numId w:val="1004"/>
        </w:numPr>
      </w:pPr>
      <w:r>
        <w:t xml:space="preserve">Sell your Personal Data.</w:t>
      </w:r>
    </w:p>
    <w:p>
      <w:pPr>
        <w:pStyle w:val="Compact"/>
        <w:numPr>
          <w:ilvl w:val="0"/>
          <w:numId w:val="1004"/>
        </w:numPr>
      </w:pPr>
      <w:r>
        <w:t xml:space="preserve">Share your Personal Data with advertisers or marketers.</w:t>
      </w:r>
    </w:p>
    <w:bookmarkEnd w:id="21"/>
    <w:bookmarkEnd w:id="22"/>
    <w:bookmarkStart w:id="23" w:name="legal-bases-for-processing"/>
    <w:p>
      <w:pPr>
        <w:pStyle w:val="Heading1"/>
      </w:pPr>
      <w:r>
        <w:t xml:space="preserve">6. Legal Bases for Processing</w:t>
      </w:r>
    </w:p>
    <w:p>
      <w:pPr>
        <w:pStyle w:val="FirstParagraph"/>
      </w:pPr>
      <w:r>
        <w:t xml:space="preserve">Where the General Data Protection Regulation (</w:t>
      </w:r>
      <w:r>
        <w:t xml:space="preserve">“GDPR”</w:t>
      </w:r>
      <w:r>
        <w:t xml:space="preserve">) applies, we rely on the following legal bases for Processing:</w:t>
      </w:r>
    </w:p>
    <w:p>
      <w:pPr>
        <w:pStyle w:val="Compact"/>
        <w:numPr>
          <w:ilvl w:val="0"/>
          <w:numId w:val="1005"/>
        </w:numPr>
      </w:pPr>
      <w:r>
        <w:rPr>
          <w:b/>
          <w:bCs/>
        </w:rPr>
        <w:t xml:space="preserve">Performance of a Contract</w:t>
      </w:r>
      <w:r>
        <w:t xml:space="preserve"> </w:t>
      </w:r>
      <w:r>
        <w:t xml:space="preserve">— to deliver the Service you have requested.</w:t>
      </w:r>
    </w:p>
    <w:p>
      <w:pPr>
        <w:pStyle w:val="Compact"/>
        <w:numPr>
          <w:ilvl w:val="0"/>
          <w:numId w:val="1005"/>
        </w:numPr>
      </w:pPr>
      <w:r>
        <w:rPr>
          <w:b/>
          <w:bCs/>
        </w:rPr>
        <w:t xml:space="preserve">Legitimate Interests</w:t>
      </w:r>
      <w:r>
        <w:t xml:space="preserve"> </w:t>
      </w:r>
      <w:r>
        <w:t xml:space="preserve">— to monitor, secure, and improve the Service, where such interests are not overridden by your rights.</w:t>
      </w:r>
    </w:p>
    <w:p>
      <w:pPr>
        <w:pStyle w:val="Compact"/>
        <w:numPr>
          <w:ilvl w:val="0"/>
          <w:numId w:val="1005"/>
        </w:numPr>
      </w:pPr>
      <w:r>
        <w:rPr>
          <w:b/>
          <w:bCs/>
        </w:rPr>
        <w:t xml:space="preserve">Consent</w:t>
      </w:r>
      <w:r>
        <w:t xml:space="preserve"> </w:t>
      </w:r>
      <w:r>
        <w:t xml:space="preserve">— for any Processing not otherwise covered. You may withdraw consent at any time.</w:t>
      </w:r>
    </w:p>
    <w:p>
      <w:pPr>
        <w:pStyle w:val="Compact"/>
        <w:numPr>
          <w:ilvl w:val="0"/>
          <w:numId w:val="1005"/>
        </w:numPr>
      </w:pPr>
      <w:r>
        <w:rPr>
          <w:b/>
          <w:bCs/>
        </w:rPr>
        <w:t xml:space="preserve">Legal Obligation</w:t>
      </w:r>
      <w:r>
        <w:t xml:space="preserve"> </w:t>
      </w:r>
      <w:r>
        <w:t xml:space="preserve">— where required by applicable law.</w:t>
      </w:r>
    </w:p>
    <w:bookmarkEnd w:id="23"/>
    <w:bookmarkStart w:id="24" w:name="X492f7fd83360b511c76859a2ddc506df15d09c5"/>
    <w:p>
      <w:pPr>
        <w:pStyle w:val="Heading1"/>
      </w:pPr>
      <w:r>
        <w:t xml:space="preserve">7. How We Share Personal Data (Sub-processors)</w:t>
      </w:r>
    </w:p>
    <w:p>
      <w:pPr>
        <w:pStyle w:val="FirstParagraph"/>
      </w:pPr>
      <w:r>
        <w:t xml:space="preserve">We share the minimum Personal Data necessary with the following Sub-processors. Each Sub-processor is bound by a written data processing agreement that imposes confidentiality and security obligations consistent with this Policy.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Sub-processor</w:t>
            </w:r>
          </w:p>
        </w:tc>
        <w:tc>
          <w:tcPr/>
          <w:p>
            <w:pPr>
              <w:pStyle w:val="Compact"/>
            </w:pPr>
            <w:r>
              <w:t xml:space="preserve">Purpose</w:t>
            </w:r>
          </w:p>
        </w:tc>
        <w:tc>
          <w:tcPr/>
          <w:p>
            <w:pPr>
              <w:pStyle w:val="Compact"/>
            </w:pPr>
            <w:r>
              <w:t xml:space="preserve">Data Categories</w:t>
            </w:r>
          </w:p>
        </w:tc>
        <w:tc>
          <w:tcPr/>
          <w:p>
            <w:pPr>
              <w:pStyle w:val="Compact"/>
            </w:pPr>
            <w:r>
              <w:t xml:space="preserve">Location</w:t>
            </w:r>
          </w:p>
        </w:tc>
      </w:tr>
      <w:tr>
        <w:tc>
          <w:tcPr/>
          <w:p>
            <w:pPr>
              <w:pStyle w:val="Compact"/>
            </w:pPr>
            <w:r>
              <w:t xml:space="preserve">Microsoft Graph API</w:t>
            </w:r>
          </w:p>
        </w:tc>
        <w:tc>
          <w:tcPr/>
          <w:p>
            <w:pPr>
              <w:pStyle w:val="Compact"/>
            </w:pPr>
            <w:r>
              <w:t xml:space="preserve">OAuth authentication; access to your M365 data per your consent</w:t>
            </w:r>
          </w:p>
        </w:tc>
        <w:tc>
          <w:tcPr/>
          <w:p>
            <w:pPr>
              <w:pStyle w:val="Compact"/>
            </w:pPr>
            <w:r>
              <w:t xml:space="preserve">All categories in Section 4</w:t>
            </w:r>
          </w:p>
        </w:tc>
        <w:tc>
          <w:tcPr/>
          <w:p>
            <w:pPr>
              <w:pStyle w:val="Compact"/>
            </w:pPr>
            <w:r>
              <w:t xml:space="preserve">Customer’s M365 tenant region</w:t>
            </w:r>
          </w:p>
        </w:tc>
      </w:tr>
      <w:tr>
        <w:tc>
          <w:tcPr/>
          <w:p>
            <w:pPr>
              <w:pStyle w:val="Compact"/>
            </w:pPr>
            <w:r>
              <w:t xml:space="preserve">Google Gemini API</w:t>
            </w:r>
          </w:p>
        </w:tc>
        <w:tc>
          <w:tcPr/>
          <w:p>
            <w:pPr>
              <w:pStyle w:val="Compact"/>
            </w:pPr>
            <w:r>
              <w:t xml:space="preserve">AI processing of text, audio, and video content</w:t>
            </w:r>
          </w:p>
        </w:tc>
        <w:tc>
          <w:tcPr/>
          <w:p>
            <w:pPr>
              <w:pStyle w:val="Compact"/>
            </w:pPr>
            <w:r>
              <w:t xml:space="preserve">Communication Data, File Data (in transit only; not retained for model training under the paid API)</w:t>
            </w:r>
          </w:p>
        </w:tc>
        <w:tc>
          <w:tcPr/>
          <w:p>
            <w:pPr>
              <w:pStyle w:val="Compact"/>
            </w:pPr>
            <w:r>
              <w:t xml:space="preserve">United States</w:t>
            </w:r>
          </w:p>
        </w:tc>
      </w:tr>
      <w:tr>
        <w:tc>
          <w:tcPr/>
          <w:p>
            <w:pPr>
              <w:pStyle w:val="Compact"/>
            </w:pPr>
            <w:r>
              <w:t xml:space="preserve">Railway, Inc.</w:t>
            </w:r>
          </w:p>
        </w:tc>
        <w:tc>
          <w:tcPr/>
          <w:p>
            <w:pPr>
              <w:pStyle w:val="Compact"/>
            </w:pPr>
            <w:r>
              <w:t xml:space="preserve">Application hosting and persistent storage</w:t>
            </w:r>
          </w:p>
        </w:tc>
        <w:tc>
          <w:tcPr/>
          <w:p>
            <w:pPr>
              <w:pStyle w:val="Compact"/>
            </w:pPr>
            <w:r>
              <w:t xml:space="preserve">All categories, at rest</w:t>
            </w:r>
          </w:p>
        </w:tc>
        <w:tc>
          <w:tcPr/>
          <w:p>
            <w:pPr>
              <w:pStyle w:val="Compact"/>
            </w:pPr>
            <w:r>
              <w:t xml:space="preserve">US-east region</w:t>
            </w:r>
          </w:p>
        </w:tc>
      </w:tr>
    </w:tbl>
    <w:p>
      <w:pPr>
        <w:pStyle w:val="BodyText"/>
      </w:pPr>
      <w:r>
        <w:t xml:space="preserve">A current Sub-processor list is maintained at the URL provided in Section 15. We will provide not less than thirty (30) days’ notice prior to engaging any new Sub-processor or materially changing the role of an existing one.</w:t>
      </w:r>
    </w:p>
    <w:bookmarkEnd w:id="24"/>
    <w:bookmarkStart w:id="25" w:name="Xedcaf1e529dbd291e6ef4dafa9382c492558b2f"/>
    <w:p>
      <w:pPr>
        <w:pStyle w:val="Heading1"/>
      </w:pPr>
      <w:r>
        <w:t xml:space="preserve">8. Data Location and International Transfers</w:t>
      </w:r>
    </w:p>
    <w:p>
      <w:pPr>
        <w:pStyle w:val="FirstParagraph"/>
      </w:pPr>
      <w:r>
        <w:t xml:space="preserve">Personal Data is stored at rest in the United States (US-east region) on Railway, Inc.’s infrastructure. Personal Data in transit may pass through additional jurisdictions as part of routine network operations.</w:t>
      </w:r>
    </w:p>
    <w:p>
      <w:pPr>
        <w:pStyle w:val="BodyText"/>
      </w:pPr>
      <w:r>
        <w:t xml:space="preserve">Where Personal Data is transferred internationally, we rely on appropriate safeguards, including Standard Contractual Clauses approved by the European Commission and adequacy decisions where applicable.</w:t>
      </w:r>
    </w:p>
    <w:p>
      <w:pPr>
        <w:pStyle w:val="BodyText"/>
      </w:pPr>
      <w:r>
        <w:t xml:space="preserve">If you require Personal Data to be stored in a specific region, please contact us about our BYOC tier.</w:t>
      </w:r>
    </w:p>
    <w:bookmarkEnd w:id="25"/>
    <w:bookmarkStart w:id="26" w:name="data-retention"/>
    <w:p>
      <w:pPr>
        <w:pStyle w:val="Heading1"/>
      </w:pPr>
      <w:r>
        <w:t xml:space="preserve">9. Data Retention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Retention Period</w:t>
            </w:r>
          </w:p>
        </w:tc>
      </w:tr>
      <w:tr>
        <w:tc>
          <w:tcPr/>
          <w:p>
            <w:pPr>
              <w:pStyle w:val="Compact"/>
            </w:pPr>
            <w:r>
              <w:t xml:space="preserve">Account Data and User Content</w:t>
            </w:r>
          </w:p>
        </w:tc>
        <w:tc>
          <w:tcPr/>
          <w:p>
            <w:pPr>
              <w:pStyle w:val="Compact"/>
            </w:pPr>
            <w:r>
              <w:t xml:space="preserve">For the duration of your Account</w:t>
            </w:r>
          </w:p>
        </w:tc>
      </w:tr>
      <w:tr>
        <w:tc>
          <w:tcPr/>
          <w:p>
            <w:pPr>
              <w:pStyle w:val="Compact"/>
            </w:pPr>
            <w:r>
              <w:t xml:space="preserve">Account Data and User Content after deletion request</w:t>
            </w:r>
          </w:p>
        </w:tc>
        <w:tc>
          <w:tcPr/>
          <w:p>
            <w:pPr>
              <w:pStyle w:val="Compact"/>
            </w:pPr>
            <w:r>
              <w:t xml:space="preserve">Removed from production within seven (7) days</w:t>
            </w:r>
          </w:p>
        </w:tc>
      </w:tr>
      <w:tr>
        <w:tc>
          <w:tcPr/>
          <w:p>
            <w:pPr>
              <w:pStyle w:val="Compact"/>
            </w:pPr>
            <w:r>
              <w:t xml:space="preserve">Backup copies containing deleted data</w:t>
            </w:r>
          </w:p>
        </w:tc>
        <w:tc>
          <w:tcPr/>
          <w:p>
            <w:pPr>
              <w:pStyle w:val="Compact"/>
            </w:pPr>
            <w:r>
              <w:t xml:space="preserve">Removed within thirty (30) days of account deletion</w:t>
            </w:r>
          </w:p>
        </w:tc>
      </w:tr>
      <w:tr>
        <w:tc>
          <w:tcPr/>
          <w:p>
            <w:pPr>
              <w:pStyle w:val="Compact"/>
            </w:pPr>
            <w:r>
              <w:t xml:space="preserve">Service Logs (PII-redacted)</w:t>
            </w:r>
          </w:p>
        </w:tc>
        <w:tc>
          <w:tcPr/>
          <w:p>
            <w:pPr>
              <w:pStyle w:val="Compact"/>
            </w:pPr>
            <w:r>
              <w:t xml:space="preserve">Thirty (30) days</w:t>
            </w:r>
          </w:p>
        </w:tc>
      </w:tr>
      <w:tr>
        <w:tc>
          <w:tcPr/>
          <w:p>
            <w:pPr>
              <w:pStyle w:val="Compact"/>
            </w:pPr>
            <w:r>
              <w:t xml:space="preserve">Anonymized aggregate metrics</w:t>
            </w:r>
          </w:p>
        </w:tc>
        <w:tc>
          <w:tcPr/>
          <w:p>
            <w:pPr>
              <w:pStyle w:val="Compact"/>
            </w:pPr>
            <w:r>
              <w:t xml:space="preserve">Indefinitely</w:t>
            </w:r>
          </w:p>
        </w:tc>
      </w:tr>
    </w:tbl>
    <w:p>
      <w:pPr>
        <w:pStyle w:val="BodyText"/>
      </w:pPr>
      <w:r>
        <w:t xml:space="preserve">Where law requires longer retention (for example, in response to a lawful order), we will retain the affected Personal Data only for as long as necessary to comply.</w:t>
      </w:r>
    </w:p>
    <w:bookmarkEnd w:id="26"/>
    <w:bookmarkStart w:id="27" w:name="your-rights"/>
    <w:p>
      <w:pPr>
        <w:pStyle w:val="Heading1"/>
      </w:pPr>
      <w:r>
        <w:t xml:space="preserve">10. Your Rights</w:t>
      </w:r>
    </w:p>
    <w:p>
      <w:pPr>
        <w:pStyle w:val="FirstParagraph"/>
      </w:pPr>
      <w:r>
        <w:t xml:space="preserve">Subject to applicable law, you have the right to:</w:t>
      </w:r>
    </w:p>
    <w:p>
      <w:pPr>
        <w:pStyle w:val="Compact"/>
        <w:numPr>
          <w:ilvl w:val="0"/>
          <w:numId w:val="1006"/>
        </w:numPr>
      </w:pPr>
      <w:r>
        <w:rPr>
          <w:b/>
          <w:bCs/>
        </w:rPr>
        <w:t xml:space="preserve">Access</w:t>
      </w:r>
      <w:r>
        <w:t xml:space="preserve"> </w:t>
      </w:r>
      <w:r>
        <w:t xml:space="preserve">the Personal Data we hold about you.</w:t>
      </w:r>
    </w:p>
    <w:p>
      <w:pPr>
        <w:pStyle w:val="Compact"/>
        <w:numPr>
          <w:ilvl w:val="0"/>
          <w:numId w:val="1006"/>
        </w:numPr>
      </w:pPr>
      <w:r>
        <w:rPr>
          <w:b/>
          <w:bCs/>
        </w:rPr>
        <w:t xml:space="preserve">Rectify</w:t>
      </w:r>
      <w:r>
        <w:t xml:space="preserve"> </w:t>
      </w:r>
      <w:r>
        <w:t xml:space="preserve">inaccurate or incomplete Personal Data.</w:t>
      </w:r>
    </w:p>
    <w:p>
      <w:pPr>
        <w:pStyle w:val="Compact"/>
        <w:numPr>
          <w:ilvl w:val="0"/>
          <w:numId w:val="1006"/>
        </w:numPr>
      </w:pPr>
      <w:r>
        <w:rPr>
          <w:b/>
          <w:bCs/>
        </w:rPr>
        <w:t xml:space="preserve">Erase</w:t>
      </w:r>
      <w:r>
        <w:t xml:space="preserve"> </w:t>
      </w:r>
      <w:r>
        <w:t xml:space="preserve">your Personal Data (the</w:t>
      </w:r>
      <w:r>
        <w:t xml:space="preserve"> </w:t>
      </w:r>
      <w:r>
        <w:t xml:space="preserve">“right to be forgotten”</w:t>
      </w:r>
      <w:r>
        <w:t xml:space="preserve">).</w:t>
      </w:r>
    </w:p>
    <w:p>
      <w:pPr>
        <w:pStyle w:val="Compact"/>
        <w:numPr>
          <w:ilvl w:val="0"/>
          <w:numId w:val="1006"/>
        </w:numPr>
      </w:pPr>
      <w:r>
        <w:rPr>
          <w:b/>
          <w:bCs/>
        </w:rPr>
        <w:t xml:space="preserve">Restrict</w:t>
      </w:r>
      <w:r>
        <w:t xml:space="preserve"> </w:t>
      </w:r>
      <w:r>
        <w:t xml:space="preserve">Processing of your Personal Data.</w:t>
      </w:r>
    </w:p>
    <w:p>
      <w:pPr>
        <w:pStyle w:val="Compact"/>
        <w:numPr>
          <w:ilvl w:val="0"/>
          <w:numId w:val="1006"/>
        </w:numPr>
      </w:pPr>
      <w:r>
        <w:rPr>
          <w:b/>
          <w:bCs/>
        </w:rPr>
        <w:t xml:space="preserve">Data Portability</w:t>
      </w:r>
      <w:r>
        <w:t xml:space="preserve"> </w:t>
      </w:r>
      <w:r>
        <w:t xml:space="preserve">— receive a copy of your Personal Data in a structured, commonly used, machine-readable format.</w:t>
      </w:r>
    </w:p>
    <w:p>
      <w:pPr>
        <w:pStyle w:val="Compact"/>
        <w:numPr>
          <w:ilvl w:val="0"/>
          <w:numId w:val="1006"/>
        </w:numPr>
      </w:pPr>
      <w:r>
        <w:rPr>
          <w:b/>
          <w:bCs/>
        </w:rPr>
        <w:t xml:space="preserve">Object</w:t>
      </w:r>
      <w:r>
        <w:t xml:space="preserve"> </w:t>
      </w:r>
      <w:r>
        <w:t xml:space="preserve">to Processing based on our legitimate interests.</w:t>
      </w:r>
    </w:p>
    <w:p>
      <w:pPr>
        <w:pStyle w:val="Compact"/>
        <w:numPr>
          <w:ilvl w:val="0"/>
          <w:numId w:val="1006"/>
        </w:numPr>
      </w:pPr>
      <w:r>
        <w:rPr>
          <w:b/>
          <w:bCs/>
        </w:rPr>
        <w:t xml:space="preserve">Withdraw Consent</w:t>
      </w:r>
      <w:r>
        <w:t xml:space="preserve"> </w:t>
      </w:r>
      <w:r>
        <w:t xml:space="preserve">at any time where Processing is based on consent.</w:t>
      </w:r>
    </w:p>
    <w:p>
      <w:pPr>
        <w:pStyle w:val="Compact"/>
        <w:numPr>
          <w:ilvl w:val="0"/>
          <w:numId w:val="1006"/>
        </w:numPr>
      </w:pPr>
      <w:r>
        <w:rPr>
          <w:b/>
          <w:bCs/>
        </w:rPr>
        <w:t xml:space="preserve">Lodge a Complaint</w:t>
      </w:r>
      <w:r>
        <w:t xml:space="preserve"> </w:t>
      </w:r>
      <w:r>
        <w:t xml:space="preserve">with a supervisory authority in your jurisdiction.</w:t>
      </w:r>
    </w:p>
    <w:p>
      <w:pPr>
        <w:pStyle w:val="FirstParagraph"/>
      </w:pPr>
      <w:r>
        <w:t xml:space="preserve">To exercise any of these rights, please contact us using the details in Section 15. You may also delete your Account at any time through the Service settings.</w:t>
      </w:r>
    </w:p>
    <w:p>
      <w:pPr>
        <w:pStyle w:val="BodyText"/>
      </w:pPr>
      <w:r>
        <w:t xml:space="preserve">We respond to verified rights requests within thirty (30) days of receipt.</w:t>
      </w:r>
    </w:p>
    <w:bookmarkEnd w:id="27"/>
    <w:bookmarkStart w:id="28" w:name="security-measures"/>
    <w:p>
      <w:pPr>
        <w:pStyle w:val="Heading1"/>
      </w:pPr>
      <w:r>
        <w:t xml:space="preserve">11. Security Measures</w:t>
      </w:r>
    </w:p>
    <w:p>
      <w:pPr>
        <w:pStyle w:val="FirstParagraph"/>
      </w:pPr>
      <w:r>
        <w:t xml:space="preserve">We maintain technical and organizational measures appropriate to the nature of the Personal Data we process, including:</w:t>
      </w:r>
    </w:p>
    <w:p>
      <w:pPr>
        <w:pStyle w:val="Compact"/>
        <w:numPr>
          <w:ilvl w:val="0"/>
          <w:numId w:val="1007"/>
        </w:numPr>
      </w:pPr>
      <w:r>
        <w:t xml:space="preserve">TLS 1.3 encryption for all data in transit.</w:t>
      </w:r>
    </w:p>
    <w:p>
      <w:pPr>
        <w:pStyle w:val="Compact"/>
        <w:numPr>
          <w:ilvl w:val="0"/>
          <w:numId w:val="1007"/>
        </w:numPr>
      </w:pPr>
      <w:r>
        <w:t xml:space="preserve">AES-256 encryption for all data at rest.</w:t>
      </w:r>
    </w:p>
    <w:p>
      <w:pPr>
        <w:pStyle w:val="Compact"/>
        <w:numPr>
          <w:ilvl w:val="0"/>
          <w:numId w:val="1007"/>
        </w:numPr>
      </w:pPr>
      <w:r>
        <w:t xml:space="preserve">Strict per-Account data isolation, structurally enforced by our application design (cross-Account access is not possible through the application interface).</w:t>
      </w:r>
    </w:p>
    <w:p>
      <w:pPr>
        <w:pStyle w:val="Compact"/>
        <w:numPr>
          <w:ilvl w:val="0"/>
          <w:numId w:val="1007"/>
        </w:numPr>
      </w:pPr>
      <w:r>
        <w:t xml:space="preserve">Microsoft OAuth-based authentication; no password storage.</w:t>
      </w:r>
    </w:p>
    <w:p>
      <w:pPr>
        <w:pStyle w:val="Compact"/>
        <w:numPr>
          <w:ilvl w:val="0"/>
          <w:numId w:val="1007"/>
        </w:numPr>
      </w:pPr>
      <w:r>
        <w:t xml:space="preserve">Internal access restricted on a need-to-know basis.</w:t>
      </w:r>
    </w:p>
    <w:p>
      <w:pPr>
        <w:pStyle w:val="Compact"/>
        <w:numPr>
          <w:ilvl w:val="0"/>
          <w:numId w:val="1007"/>
        </w:numPr>
      </w:pPr>
      <w:r>
        <w:t xml:space="preserve">Regular security review, change management, and incident response procedures.</w:t>
      </w:r>
    </w:p>
    <w:p>
      <w:pPr>
        <w:pStyle w:val="FirstParagraph"/>
      </w:pPr>
      <w:r>
        <w:t xml:space="preserve">A full Security Overview is available to customers and their security teams upon request.</w:t>
      </w:r>
    </w:p>
    <w:bookmarkEnd w:id="28"/>
    <w:bookmarkStart w:id="29" w:name="cookies-and-tracking"/>
    <w:p>
      <w:pPr>
        <w:pStyle w:val="Heading1"/>
      </w:pPr>
      <w:r>
        <w:t xml:space="preserve">12. Cookies and Tracking</w:t>
      </w:r>
    </w:p>
    <w:p>
      <w:pPr>
        <w:pStyle w:val="FirstParagraph"/>
      </w:pPr>
      <w:r>
        <w:t xml:space="preserve">The Service uses a single HTTP-only, Secure session cookie for authentication. We do not use third-party tracking, advertising, or analytics cookies.</w:t>
      </w:r>
    </w:p>
    <w:bookmarkEnd w:id="29"/>
    <w:bookmarkStart w:id="30" w:name="children"/>
    <w:p>
      <w:pPr>
        <w:pStyle w:val="Heading1"/>
      </w:pPr>
      <w:r>
        <w:t xml:space="preserve">13. Children</w:t>
      </w:r>
    </w:p>
    <w:p>
      <w:pPr>
        <w:pStyle w:val="FirstParagraph"/>
      </w:pPr>
      <w:r>
        <w:t xml:space="preserve">The Service is not directed to children under sixteen (16) years of age, and we do not knowingly collect Personal Data from children. If we learn that we have collected Personal Data from a child, we will delete it promptly.</w:t>
      </w:r>
    </w:p>
    <w:bookmarkEnd w:id="30"/>
    <w:bookmarkStart w:id="31" w:name="changes-to-this-policy"/>
    <w:p>
      <w:pPr>
        <w:pStyle w:val="Heading1"/>
      </w:pPr>
      <w:r>
        <w:t xml:space="preserve">14. Changes to This Policy</w:t>
      </w:r>
    </w:p>
    <w:p>
      <w:pPr>
        <w:pStyle w:val="FirstParagraph"/>
      </w:pPr>
      <w:r>
        <w:t xml:space="preserve">We may update this Policy from time to time. Material changes will be communicated by email at least fourteen (14) days prior to taking effect, and the</w:t>
      </w:r>
      <w:r>
        <w:t xml:space="preserve"> </w:t>
      </w:r>
      <w:r>
        <w:t xml:space="preserve">“Last Updated”</w:t>
      </w:r>
      <w:r>
        <w:t xml:space="preserve"> </w:t>
      </w:r>
      <w:r>
        <w:t xml:space="preserve">date at the top of this Policy will reflect the most recent revision.</w:t>
      </w:r>
    </w:p>
    <w:bookmarkEnd w:id="31"/>
    <w:bookmarkStart w:id="32" w:name="contact-us"/>
    <w:p>
      <w:pPr>
        <w:pStyle w:val="Heading1"/>
      </w:pPr>
      <w:r>
        <w:t xml:space="preserve">15. Contact Us</w:t>
      </w:r>
    </w:p>
    <w:p>
      <w:pPr>
        <w:pStyle w:val="FirstParagraph"/>
      </w:pPr>
      <w:r>
        <w:t xml:space="preserve">For privacy questions, data subject requests, or to report a concern, please contact us at:</w:t>
      </w:r>
    </w:p>
    <w:p>
      <w:pPr>
        <w:pStyle w:val="BodyText"/>
      </w:pPr>
      <w:r>
        <w:rPr>
          <w:b/>
          <w:bCs/>
        </w:rPr>
        <w:t xml:space="preserve">[COMPANY NAME]</w:t>
      </w:r>
    </w:p>
    <w:p>
      <w:pPr>
        <w:pStyle w:val="BodyText"/>
      </w:pPr>
      <w:r>
        <w:t xml:space="preserve">[STREET ADDRESS]</w:t>
      </w:r>
      <w:r>
        <w:br/>
      </w:r>
      <w:r>
        <w:t xml:space="preserve">[CITY, REGION, POSTAL CODE]</w:t>
      </w:r>
      <w:r>
        <w:br/>
      </w:r>
      <w:r>
        <w:t xml:space="preserve">[COUNTRY]</w:t>
      </w:r>
    </w:p>
    <w:p>
      <w:pPr>
        <w:pStyle w:val="BodyText"/>
      </w:pPr>
      <w:r>
        <w:t xml:space="preserve">Email: [PRIVACY@COMPANY.COM]</w:t>
      </w:r>
      <w:r>
        <w:br/>
      </w:r>
      <w:r>
        <w:t xml:space="preserve">Web: [WWW.COMPANY.COM/PRIVACY]</w:t>
      </w:r>
    </w:p>
    <w:p>
      <w:r>
        <w:pict>
          <v:rect style="width:0;height:1.5pt" o:hralign="center" o:hrstd="t" o:hr="t"/>
        </w:pict>
      </w:r>
    </w:p>
    <w:p>
      <w:pPr>
        <w:pStyle w:val="FirstParagraph"/>
      </w:pPr>
      <w:r>
        <w:rPr>
          <w:i/>
          <w:iCs/>
        </w:rPr>
        <w:t xml:space="preserve">This Privacy Policy is provided as a beta-stage operational document. It has not been reviewed by external legal counsel. The Company recommends a formal legal review prior to using this document in connection with commercial agreements.</w:t>
      </w:r>
    </w:p>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CEO AI Platform — Privacy Policy</dc:title>
  <dc:creator/>
  <cp:keywords/>
  <dcterms:created xsi:type="dcterms:W3CDTF">2026-06-09T07:38:11Z</dcterms:created>
  <dcterms:modified xsi:type="dcterms:W3CDTF">2026-06-09T07:38:11Z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Effective Date: [DATE] | Last Updated: [DATE] | Version: 1.0</vt:lpwstr>
  </property>
  <property fmtid="{D5CDD505-2E9C-101B-9397-08002B2CF9AE}" pid="3" name="subtitle">
    <vt:lpwstr>SaaS Tier</vt:lpwstr>
  </property>
</Properties>
</file>