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Terms of Service</w:t>
      </w:r>
    </w:p>
    <w:p>
      <w:pPr>
        <w:pStyle w:val="Subtitle"/>
      </w:pPr>
      <w:r>
        <w:t xml:space="preserve">SaaS Tier</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t xml:space="preserve">These Terms of Service (</w:t>
      </w:r>
      <w:r>
        <w:t xml:space="preserve">“Terms”</w:t>
      </w:r>
      <w:r>
        <w:t xml:space="preserve">) form a binding legal agreement between [COMPANY NAME] (</w:t>
      </w:r>
      <w:r>
        <w:t xml:space="preserve">“Company”</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and the entity or individual that accesses the Service (</w:t>
      </w:r>
      <w:r>
        <w:t xml:space="preserve">“Customer”</w:t>
      </w:r>
      <w:r>
        <w:t xml:space="preserve">,</w:t>
      </w:r>
      <w:r>
        <w:t xml:space="preserve"> </w:t>
      </w:r>
      <w:r>
        <w:t xml:space="preserve">“you”</w:t>
      </w:r>
      <w:r>
        <w:t xml:space="preserve">, or</w:t>
      </w:r>
      <w:r>
        <w:t xml:space="preserve"> </w:t>
      </w:r>
      <w:r>
        <w:t xml:space="preserve">“your”</w:t>
      </w:r>
      <w:r>
        <w:t xml:space="preserve">). They govern access to and use of the CEO AI Platform (the</w:t>
      </w:r>
      <w:r>
        <w:t xml:space="preserve"> </w:t>
      </w:r>
      <w:r>
        <w:t xml:space="preserve">“Service”</w:t>
      </w:r>
      <w:r>
        <w:t xml:space="preserve">) under our Software-as-a-Service (</w:t>
      </w:r>
      <w:r>
        <w:t xml:space="preserve">“SaaS”</w:t>
      </w:r>
      <w:r>
        <w:t xml:space="preserve">) tier.</w:t>
      </w:r>
    </w:p>
    <w:p>
      <w:pPr>
        <w:pStyle w:val="BodyText"/>
      </w:pPr>
      <w:r>
        <w:t xml:space="preserve">By accessing the Service or creating an Account, you agree to be bound by these Terms. If you enter into these Terms on behalf of an organization, you represent that you have the authority to do so.</w:t>
      </w:r>
    </w:p>
    <w:p>
      <w:pPr>
        <w:pStyle w:val="BodyText"/>
      </w:pPr>
      <w:r>
        <w:t xml:space="preserve">These Terms apply to the SaaS-tier deployment only. The BYOC and CPDP tiers are governed by separate written agreements.</w:t>
      </w:r>
    </w:p>
    <w:bookmarkEnd w:id="9"/>
    <w:bookmarkStart w:id="10" w:name="definitions"/>
    <w:p>
      <w:pPr>
        <w:pStyle w:val="Heading1"/>
      </w:pPr>
      <w:r>
        <w:t xml:space="preserve">2. Definitions</w:t>
      </w:r>
    </w:p>
    <w:p>
      <w:pPr>
        <w:pStyle w:val="Compact"/>
        <w:numPr>
          <w:ilvl w:val="0"/>
          <w:numId w:val="1001"/>
        </w:numPr>
      </w:pPr>
      <w:r>
        <w:rPr>
          <w:b/>
          <w:bCs/>
        </w:rPr>
        <w:t xml:space="preserve">“Account”</w:t>
      </w:r>
      <w:r>
        <w:t xml:space="preserve"> </w:t>
      </w:r>
      <w:r>
        <w:t xml:space="preserve">means a Customer’s registered access to the Service, created via Microsoft authentication.</w:t>
      </w:r>
    </w:p>
    <w:p>
      <w:pPr>
        <w:pStyle w:val="Compact"/>
        <w:numPr>
          <w:ilvl w:val="0"/>
          <w:numId w:val="1001"/>
        </w:numPr>
      </w:pPr>
      <w:r>
        <w:rPr>
          <w:b/>
          <w:bCs/>
        </w:rPr>
        <w:t xml:space="preserve">“AI Output”</w:t>
      </w:r>
      <w:r>
        <w:t xml:space="preserve"> </w:t>
      </w:r>
      <w:r>
        <w:t xml:space="preserve">means any content, suggestion, summary, or other output produced by the Service using artificial intelligence.</w:t>
      </w:r>
    </w:p>
    <w:p>
      <w:pPr>
        <w:pStyle w:val="Compact"/>
        <w:numPr>
          <w:ilvl w:val="0"/>
          <w:numId w:val="1001"/>
        </w:numPr>
      </w:pPr>
      <w:r>
        <w:rPr>
          <w:b/>
          <w:bCs/>
        </w:rPr>
        <w:t xml:space="preserve">“Authorized User”</w:t>
      </w:r>
      <w:r>
        <w:t xml:space="preserve"> </w:t>
      </w:r>
      <w:r>
        <w:t xml:space="preserve">means an individual permitted by Customer to access the Service under Customer’s Account.</w:t>
      </w:r>
    </w:p>
    <w:p>
      <w:pPr>
        <w:pStyle w:val="Compact"/>
        <w:numPr>
          <w:ilvl w:val="0"/>
          <w:numId w:val="1001"/>
        </w:numPr>
      </w:pPr>
      <w:r>
        <w:rPr>
          <w:b/>
          <w:bCs/>
        </w:rPr>
        <w:t xml:space="preserve">“Confidential Information”</w:t>
      </w:r>
      <w:r>
        <w:t xml:space="preserve"> </w:t>
      </w:r>
      <w:r>
        <w:t xml:space="preserve">has the meaning given in Section 14.</w:t>
      </w:r>
    </w:p>
    <w:p>
      <w:pPr>
        <w:pStyle w:val="Compact"/>
        <w:numPr>
          <w:ilvl w:val="0"/>
          <w:numId w:val="1001"/>
        </w:numPr>
      </w:pPr>
      <w:r>
        <w:rPr>
          <w:b/>
          <w:bCs/>
        </w:rPr>
        <w:t xml:space="preserve">“Customer Data”</w:t>
      </w:r>
      <w:r>
        <w:t xml:space="preserve"> </w:t>
      </w:r>
      <w:r>
        <w:t xml:space="preserve">means data submitted by Customer to, or processed by, the Service.</w:t>
      </w:r>
    </w:p>
    <w:p>
      <w:pPr>
        <w:pStyle w:val="Compact"/>
        <w:numPr>
          <w:ilvl w:val="0"/>
          <w:numId w:val="1001"/>
        </w:numPr>
      </w:pPr>
      <w:r>
        <w:rPr>
          <w:b/>
          <w:bCs/>
        </w:rPr>
        <w:t xml:space="preserve">“Sub-processor”</w:t>
      </w:r>
      <w:r>
        <w:t xml:space="preserve"> </w:t>
      </w:r>
      <w:r>
        <w:t xml:space="preserve">has the meaning given in the Privacy Policy.</w:t>
      </w:r>
    </w:p>
    <w:bookmarkEnd w:id="10"/>
    <w:bookmarkStart w:id="11" w:name="service-description"/>
    <w:p>
      <w:pPr>
        <w:pStyle w:val="Heading1"/>
      </w:pPr>
      <w:r>
        <w:t xml:space="preserve">3. Service Description</w:t>
      </w:r>
    </w:p>
    <w:p>
      <w:pPr>
        <w:pStyle w:val="FirstParagraph"/>
      </w:pPr>
      <w:r>
        <w:t xml:space="preserve">The Service is an artificial intelligence assistant for business executives that, when connected to Customer’s Microsoft 365 account, provides:</w:t>
      </w:r>
    </w:p>
    <w:p>
      <w:pPr>
        <w:pStyle w:val="Compact"/>
        <w:numPr>
          <w:ilvl w:val="0"/>
          <w:numId w:val="1002"/>
        </w:numPr>
      </w:pPr>
      <w:r>
        <w:t xml:space="preserve">Daily executive briefing.</w:t>
      </w:r>
    </w:p>
    <w:p>
      <w:pPr>
        <w:pStyle w:val="Compact"/>
        <w:numPr>
          <w:ilvl w:val="0"/>
          <w:numId w:val="1002"/>
        </w:numPr>
      </w:pPr>
      <w:r>
        <w:t xml:space="preserve">Email triage and draft reply generation.</w:t>
      </w:r>
    </w:p>
    <w:p>
      <w:pPr>
        <w:pStyle w:val="Compact"/>
        <w:numPr>
          <w:ilvl w:val="0"/>
          <w:numId w:val="1002"/>
        </w:numPr>
      </w:pPr>
      <w:r>
        <w:t xml:space="preserve">Meeting recording transcription and summarization.</w:t>
      </w:r>
    </w:p>
    <w:p>
      <w:pPr>
        <w:pStyle w:val="Compact"/>
        <w:numPr>
          <w:ilvl w:val="0"/>
          <w:numId w:val="1002"/>
        </w:numPr>
      </w:pPr>
      <w:r>
        <w:t xml:space="preserve">Relationship intelligence based on communication patterns.</w:t>
      </w:r>
    </w:p>
    <w:p>
      <w:pPr>
        <w:pStyle w:val="Compact"/>
        <w:numPr>
          <w:ilvl w:val="0"/>
          <w:numId w:val="1002"/>
        </w:numPr>
      </w:pPr>
      <w:r>
        <w:t xml:space="preserve">Expense and receipt capture.</w:t>
      </w:r>
    </w:p>
    <w:p>
      <w:pPr>
        <w:pStyle w:val="FirstParagraph"/>
      </w:pPr>
      <w:r>
        <w:t xml:space="preserve">Output is delivered via a web dashboard and Microsoft Teams.</w:t>
      </w:r>
    </w:p>
    <w:bookmarkEnd w:id="11"/>
    <w:bookmarkStart w:id="12" w:name="account-registration-and-eligibility"/>
    <w:p>
      <w:pPr>
        <w:pStyle w:val="Heading1"/>
      </w:pPr>
      <w:r>
        <w:t xml:space="preserve">4. Account Registration and Eligibility</w:t>
      </w:r>
    </w:p>
    <w:p>
      <w:pPr>
        <w:pStyle w:val="FirstParagraph"/>
      </w:pPr>
      <w:r>
        <w:t xml:space="preserve">To use the Service, Customer must:</w:t>
      </w:r>
    </w:p>
    <w:p>
      <w:pPr>
        <w:pStyle w:val="Compact"/>
        <w:numPr>
          <w:ilvl w:val="0"/>
          <w:numId w:val="1003"/>
        </w:numPr>
      </w:pPr>
      <w:r>
        <w:t xml:space="preserve">Be at least sixteen (16) years of age.</w:t>
      </w:r>
    </w:p>
    <w:p>
      <w:pPr>
        <w:pStyle w:val="Compact"/>
        <w:numPr>
          <w:ilvl w:val="0"/>
          <w:numId w:val="1003"/>
        </w:numPr>
      </w:pPr>
      <w:r>
        <w:t xml:space="preserve">Authenticate using a valid Microsoft 365 account.</w:t>
      </w:r>
    </w:p>
    <w:p>
      <w:pPr>
        <w:pStyle w:val="Compact"/>
        <w:numPr>
          <w:ilvl w:val="0"/>
          <w:numId w:val="1003"/>
        </w:numPr>
      </w:pPr>
      <w:r>
        <w:t xml:space="preserve">Provide accurate registration information.</w:t>
      </w:r>
    </w:p>
    <w:p>
      <w:pPr>
        <w:pStyle w:val="Compact"/>
        <w:numPr>
          <w:ilvl w:val="0"/>
          <w:numId w:val="1003"/>
        </w:numPr>
      </w:pPr>
      <w:r>
        <w:t xml:space="preserve">Maintain the security of the authenticated Microsoft account.</w:t>
      </w:r>
    </w:p>
    <w:p>
      <w:pPr>
        <w:pStyle w:val="FirstParagraph"/>
      </w:pPr>
      <w:r>
        <w:t xml:space="preserve">Customer is responsible for all activity that occurs under its Account.</w:t>
      </w:r>
    </w:p>
    <w:bookmarkEnd w:id="12"/>
    <w:bookmarkStart w:id="13" w:name="license-grant"/>
    <w:p>
      <w:pPr>
        <w:pStyle w:val="Heading1"/>
      </w:pPr>
      <w:r>
        <w:t xml:space="preserve">5. License Grant</w:t>
      </w:r>
    </w:p>
    <w:p>
      <w:pPr>
        <w:pStyle w:val="FirstParagraph"/>
      </w:pPr>
      <w:r>
        <w:t xml:space="preserve">Subject to these Terms and Customer’s compliance with them, Company grants Customer a limited, non-exclusive, non-transferable, non-sublicensable, revocable license to access and use the Service for Customer’s internal business purposes during the Term.</w:t>
      </w:r>
    </w:p>
    <w:p>
      <w:pPr>
        <w:pStyle w:val="BodyText"/>
      </w:pPr>
      <w:r>
        <w:t xml:space="preserve">Customer shall not:</w:t>
      </w:r>
    </w:p>
    <w:p>
      <w:pPr>
        <w:pStyle w:val="Compact"/>
        <w:numPr>
          <w:ilvl w:val="0"/>
          <w:numId w:val="1004"/>
        </w:numPr>
      </w:pPr>
    </w:p>
    <w:p>
      <w:pPr>
        <w:pStyle w:val="Compact"/>
        <w:numPr>
          <w:ilvl w:val="1"/>
          <w:numId w:val="1005"/>
        </w:numPr>
      </w:pPr>
      <w:r>
        <w:t xml:space="preserve">reproduce, distribute, modify, or create derivative works of the Service;</w:t>
      </w:r>
    </w:p>
    <w:p>
      <w:pPr>
        <w:pStyle w:val="Compact"/>
        <w:numPr>
          <w:ilvl w:val="0"/>
          <w:numId w:val="1004"/>
        </w:numPr>
      </w:pPr>
    </w:p>
    <w:p>
      <w:pPr>
        <w:pStyle w:val="Compact"/>
        <w:numPr>
          <w:ilvl w:val="1"/>
          <w:numId w:val="1006"/>
        </w:numPr>
      </w:pPr>
      <w:r>
        <w:t xml:space="preserve">reverse-engineer, decompile, disassemble, or attempt to derive source code or AI prompts from the Service, except to the extent such activity is expressly permitted by applicable law;</w:t>
      </w:r>
    </w:p>
    <w:p>
      <w:pPr>
        <w:pStyle w:val="Compact"/>
        <w:numPr>
          <w:ilvl w:val="0"/>
          <w:numId w:val="1004"/>
        </w:numPr>
      </w:pPr>
    </w:p>
    <w:p>
      <w:pPr>
        <w:pStyle w:val="Compact"/>
        <w:numPr>
          <w:ilvl w:val="1"/>
          <w:numId w:val="1007"/>
        </w:numPr>
      </w:pPr>
      <w:r>
        <w:t xml:space="preserve">sublicense, rent, lease, sell, or otherwise commercially exploit the Service;</w:t>
      </w:r>
    </w:p>
    <w:p>
      <w:pPr>
        <w:pStyle w:val="Compact"/>
        <w:numPr>
          <w:ilvl w:val="0"/>
          <w:numId w:val="1004"/>
        </w:numPr>
      </w:pPr>
    </w:p>
    <w:p>
      <w:pPr>
        <w:pStyle w:val="Compact"/>
        <w:numPr>
          <w:ilvl w:val="1"/>
          <w:numId w:val="1008"/>
        </w:numPr>
      </w:pPr>
      <w:r>
        <w:t xml:space="preserve">use the Service to build a competing product or service; or</w:t>
      </w:r>
    </w:p>
    <w:p>
      <w:pPr>
        <w:pStyle w:val="Compact"/>
        <w:numPr>
          <w:ilvl w:val="0"/>
          <w:numId w:val="1004"/>
        </w:numPr>
      </w:pPr>
    </w:p>
    <w:p>
      <w:pPr>
        <w:pStyle w:val="Compact"/>
        <w:numPr>
          <w:ilvl w:val="1"/>
          <w:numId w:val="1009"/>
        </w:numPr>
      </w:pPr>
      <w:r>
        <w:t xml:space="preserve">remove or alter any proprietary notices.</w:t>
      </w:r>
    </w:p>
    <w:bookmarkEnd w:id="13"/>
    <w:bookmarkStart w:id="14" w:name="acceptable-use"/>
    <w:p>
      <w:pPr>
        <w:pStyle w:val="Heading1"/>
      </w:pPr>
      <w:r>
        <w:t xml:space="preserve">6. Acceptable Use</w:t>
      </w:r>
    </w:p>
    <w:p>
      <w:pPr>
        <w:pStyle w:val="FirstParagraph"/>
      </w:pPr>
      <w:r>
        <w:t xml:space="preserve">Customer agrees not to use the Service to:</w:t>
      </w:r>
    </w:p>
    <w:p>
      <w:pPr>
        <w:pStyle w:val="Compact"/>
        <w:numPr>
          <w:ilvl w:val="0"/>
          <w:numId w:val="1010"/>
        </w:numPr>
      </w:pPr>
      <w:r>
        <w:t xml:space="preserve">Violate any applicable law or regulation.</w:t>
      </w:r>
    </w:p>
    <w:p>
      <w:pPr>
        <w:pStyle w:val="Compact"/>
        <w:numPr>
          <w:ilvl w:val="0"/>
          <w:numId w:val="1010"/>
        </w:numPr>
      </w:pPr>
      <w:r>
        <w:t xml:space="preserve">Impersonate any person or entity, or misrepresent affiliation.</w:t>
      </w:r>
    </w:p>
    <w:p>
      <w:pPr>
        <w:pStyle w:val="Compact"/>
        <w:numPr>
          <w:ilvl w:val="0"/>
          <w:numId w:val="1010"/>
        </w:numPr>
      </w:pPr>
      <w:r>
        <w:t xml:space="preserve">Process data for which Customer does not have authority to share with the Service.</w:t>
      </w:r>
    </w:p>
    <w:p>
      <w:pPr>
        <w:pStyle w:val="Compact"/>
        <w:numPr>
          <w:ilvl w:val="0"/>
          <w:numId w:val="1010"/>
        </w:numPr>
      </w:pPr>
      <w:r>
        <w:t xml:space="preserve">Upload malicious software or engage in any activity that could disrupt the Service.</w:t>
      </w:r>
    </w:p>
    <w:p>
      <w:pPr>
        <w:pStyle w:val="Compact"/>
        <w:numPr>
          <w:ilvl w:val="0"/>
          <w:numId w:val="1010"/>
        </w:numPr>
      </w:pPr>
      <w:r>
        <w:t xml:space="preserve">Attempt to gain unauthorized access to any account or system.</w:t>
      </w:r>
    </w:p>
    <w:bookmarkEnd w:id="14"/>
    <w:bookmarkStart w:id="15" w:name="customer-responsibilities"/>
    <w:p>
      <w:pPr>
        <w:pStyle w:val="Heading1"/>
      </w:pPr>
      <w:r>
        <w:t xml:space="preserve">7. Customer Responsibilities</w:t>
      </w:r>
    </w:p>
    <w:p>
      <w:pPr>
        <w:pStyle w:val="FirstParagraph"/>
      </w:pPr>
      <w:r>
        <w:t xml:space="preserve">Customer is responsible for:</w:t>
      </w:r>
    </w:p>
    <w:p>
      <w:pPr>
        <w:pStyle w:val="Compact"/>
        <w:numPr>
          <w:ilvl w:val="0"/>
          <w:numId w:val="1011"/>
        </w:numPr>
      </w:pPr>
      <w:r>
        <w:t xml:space="preserve">Safeguarding the credentials of its Microsoft 365 account.</w:t>
      </w:r>
    </w:p>
    <w:p>
      <w:pPr>
        <w:pStyle w:val="Compact"/>
        <w:numPr>
          <w:ilvl w:val="0"/>
          <w:numId w:val="1011"/>
        </w:numPr>
      </w:pPr>
      <w:r>
        <w:t xml:space="preserve">The scope of permissions granted to the Service via OAuth consent.</w:t>
      </w:r>
    </w:p>
    <w:p>
      <w:pPr>
        <w:pStyle w:val="Compact"/>
        <w:numPr>
          <w:ilvl w:val="0"/>
          <w:numId w:val="1011"/>
        </w:numPr>
      </w:pPr>
      <w:r>
        <w:t xml:space="preserve">Ensuring that Customer has the necessary authority to share, with the Service, any data the Service accesses on Customer’s behalf (including communications with third parties).</w:t>
      </w:r>
    </w:p>
    <w:p>
      <w:pPr>
        <w:pStyle w:val="Compact"/>
        <w:numPr>
          <w:ilvl w:val="0"/>
          <w:numId w:val="1011"/>
        </w:numPr>
      </w:pPr>
      <w:r>
        <w:t xml:space="preserve">Compliance with all laws applicable to Customer’s use of the Service.</w:t>
      </w:r>
    </w:p>
    <w:bookmarkEnd w:id="15"/>
    <w:bookmarkStart w:id="16" w:name="service-availability"/>
    <w:p>
      <w:pPr>
        <w:pStyle w:val="Heading1"/>
      </w:pPr>
      <w:r>
        <w:t xml:space="preserve">8. Service Availability</w:t>
      </w:r>
    </w:p>
    <w:p>
      <w:pPr>
        <w:pStyle w:val="FirstParagraph"/>
      </w:pPr>
      <w:r>
        <w:t xml:space="preserve">The Service is provided on a commercially reasonable, best-effort basis during the beta period. Company does not warrant any specific uptime percentage. Availability may be impacted by:</w:t>
      </w:r>
    </w:p>
    <w:p>
      <w:pPr>
        <w:pStyle w:val="Compact"/>
        <w:numPr>
          <w:ilvl w:val="0"/>
          <w:numId w:val="1012"/>
        </w:numPr>
      </w:pPr>
      <w:r>
        <w:t xml:space="preserve">Planned maintenance, for which Company will provide reasonable advance notice.</w:t>
      </w:r>
    </w:p>
    <w:p>
      <w:pPr>
        <w:pStyle w:val="Compact"/>
        <w:numPr>
          <w:ilvl w:val="0"/>
          <w:numId w:val="1012"/>
        </w:numPr>
      </w:pPr>
      <w:r>
        <w:t xml:space="preserve">Unplanned outages of the Service or of any Sub-processor.</w:t>
      </w:r>
    </w:p>
    <w:p>
      <w:pPr>
        <w:pStyle w:val="Compact"/>
        <w:numPr>
          <w:ilvl w:val="0"/>
          <w:numId w:val="1012"/>
        </w:numPr>
      </w:pPr>
      <w:r>
        <w:t xml:space="preserve">Internet, hosting infrastructure, or third-party service disruptions outside Company’s control.</w:t>
      </w:r>
    </w:p>
    <w:bookmarkEnd w:id="16"/>
    <w:bookmarkStart w:id="17" w:name="beta-service-pricing"/>
    <w:p>
      <w:pPr>
        <w:pStyle w:val="Heading1"/>
      </w:pPr>
      <w:r>
        <w:t xml:space="preserve">9. Beta Service; Pricing</w:t>
      </w:r>
    </w:p>
    <w:p>
      <w:pPr>
        <w:pStyle w:val="FirstParagraph"/>
      </w:pPr>
      <w:r>
        <w:t xml:space="preserve">The Service is currently provided on a beta basis at no charge. Company reserves the right to introduce pricing in the future upon not less than thirty (30) days’ written notice. Customer may terminate its Account at any time before paid use begins.</w:t>
      </w:r>
    </w:p>
    <w:bookmarkEnd w:id="17"/>
    <w:bookmarkStart w:id="22" w:name="term-and-termination"/>
    <w:p>
      <w:pPr>
        <w:pStyle w:val="Heading1"/>
      </w:pPr>
      <w:r>
        <w:t xml:space="preserve">10. Term and Termination</w:t>
      </w:r>
    </w:p>
    <w:bookmarkStart w:id="18" w:name="term"/>
    <w:p>
      <w:pPr>
        <w:pStyle w:val="Heading2"/>
      </w:pPr>
      <w:r>
        <w:t xml:space="preserve">10.1 Term</w:t>
      </w:r>
    </w:p>
    <w:p>
      <w:pPr>
        <w:pStyle w:val="FirstParagraph"/>
      </w:pPr>
      <w:r>
        <w:t xml:space="preserve">These Terms commence upon Customer’s first access to the Service and remain in effect until terminated as provided herein.</w:t>
      </w:r>
    </w:p>
    <w:bookmarkEnd w:id="18"/>
    <w:bookmarkStart w:id="19" w:name="termination-by-customer"/>
    <w:p>
      <w:pPr>
        <w:pStyle w:val="Heading2"/>
      </w:pPr>
      <w:r>
        <w:t xml:space="preserve">10.2 Termination by Customer</w:t>
      </w:r>
    </w:p>
    <w:p>
      <w:pPr>
        <w:pStyle w:val="FirstParagraph"/>
      </w:pPr>
      <w:r>
        <w:t xml:space="preserve">Customer may terminate these Terms at any time by deleting its Account through the Service or by contacting Company in writing.</w:t>
      </w:r>
    </w:p>
    <w:bookmarkEnd w:id="19"/>
    <w:bookmarkStart w:id="20" w:name="termination-by-company"/>
    <w:p>
      <w:pPr>
        <w:pStyle w:val="Heading2"/>
      </w:pPr>
      <w:r>
        <w:t xml:space="preserve">10.3 Termination by Company</w:t>
      </w:r>
    </w:p>
    <w:p>
      <w:pPr>
        <w:pStyle w:val="FirstParagraph"/>
      </w:pPr>
      <w:r>
        <w:t xml:space="preserve">Company may suspend or terminate Customer’s access to the Service for:</w:t>
      </w:r>
    </w:p>
    <w:p>
      <w:pPr>
        <w:pStyle w:val="Compact"/>
        <w:numPr>
          <w:ilvl w:val="0"/>
          <w:numId w:val="1013"/>
        </w:numPr>
      </w:pPr>
      <w:r>
        <w:t xml:space="preserve">material breach of these Terms;</w:t>
      </w:r>
    </w:p>
    <w:p>
      <w:pPr>
        <w:pStyle w:val="Compact"/>
        <w:numPr>
          <w:ilvl w:val="0"/>
          <w:numId w:val="1013"/>
        </w:numPr>
      </w:pPr>
      <w:r>
        <w:t xml:space="preserve">suspected abuse, illegal activity, or violation of Acceptable Use;</w:t>
      </w:r>
    </w:p>
    <w:p>
      <w:pPr>
        <w:pStyle w:val="Compact"/>
        <w:numPr>
          <w:ilvl w:val="0"/>
          <w:numId w:val="1013"/>
        </w:numPr>
      </w:pPr>
      <w:r>
        <w:t xml:space="preserve">as required by law or governmental action; or</w:t>
      </w:r>
    </w:p>
    <w:p>
      <w:pPr>
        <w:pStyle w:val="Compact"/>
        <w:numPr>
          <w:ilvl w:val="0"/>
          <w:numId w:val="1013"/>
        </w:numPr>
      </w:pPr>
      <w:r>
        <w:t xml:space="preserve">with thirty (30) days’ written notice, for convenience.</w:t>
      </w:r>
    </w:p>
    <w:bookmarkEnd w:id="20"/>
    <w:bookmarkStart w:id="21" w:name="effect-of-termination"/>
    <w:p>
      <w:pPr>
        <w:pStyle w:val="Heading2"/>
      </w:pPr>
      <w:r>
        <w:t xml:space="preserve">10.4 Effect of Termination</w:t>
      </w:r>
    </w:p>
    <w:p>
      <w:pPr>
        <w:pStyle w:val="FirstParagraph"/>
      </w:pPr>
      <w:r>
        <w:t xml:space="preserve">Upon termination, Customer’s data is deleted in accordance with the Privacy Policy. Sections that by their nature should survive termination (including without limitation Sections 11, 12, 13, 14, and 15) shall survive.</w:t>
      </w:r>
    </w:p>
    <w:bookmarkEnd w:id="21"/>
    <w:bookmarkEnd w:id="22"/>
    <w:bookmarkStart w:id="23" w:name="disclaimers"/>
    <w:p>
      <w:pPr>
        <w:pStyle w:val="Heading1"/>
      </w:pPr>
      <w:r>
        <w:t xml:space="preserve">11. Disclaimers</w:t>
      </w:r>
    </w:p>
    <w:p>
      <w:pPr>
        <w:pStyle w:val="FirstParagraph"/>
      </w:pPr>
      <w:r>
        <w:t xml:space="preserve">The Service incorporates generative artificial intelligence. AI Output may be inaccurate, incomplete, or misleading. Customer is solely responsible for reviewing AI Output before relying on it.</w:t>
      </w:r>
    </w:p>
    <w:p>
      <w:pPr>
        <w:pStyle w:val="BodyText"/>
      </w:pPr>
      <w:r>
        <w:t xml:space="preserve">THE SERVICE IS PROVIDED</w:t>
      </w:r>
      <w:r>
        <w:t xml:space="preserve"> </w:t>
      </w:r>
      <w:r>
        <w:t xml:space="preserve">“AS IS”</w:t>
      </w:r>
      <w:r>
        <w:t xml:space="preserve"> </w:t>
      </w:r>
      <w:r>
        <w:t xml:space="preserve">AND</w:t>
      </w:r>
      <w:r>
        <w:t xml:space="preserve"> </w:t>
      </w:r>
      <w:r>
        <w:t xml:space="preserve">“AS AVAILABLE.”</w:t>
      </w:r>
      <w:r>
        <w:t xml:space="preserve"> </w:t>
      </w:r>
      <w:r>
        <w:t xml:space="preserve">TO THE MAXIMUM EXTENT PERMITTED BY LAW, COMPANY DISCLAIMS ALL WARRANTIES, WHETHER EXPRESS, IMPLIED, OR STATUTORY, INCLUDING WITHOUT LIMITATION WARRANTIES OF MERCHANTABILITY, FITNESS FOR A PARTICULAR PURPOSE, NON-INFRINGEMENT, AND ANY WARRANTY ARISING FROM COURSE OF DEALING OR USAGE OF TRADE.</w:t>
      </w:r>
    </w:p>
    <w:bookmarkEnd w:id="23"/>
    <w:bookmarkStart w:id="24" w:name="limitation-of-liability"/>
    <w:p>
      <w:pPr>
        <w:pStyle w:val="Heading1"/>
      </w:pPr>
      <w:r>
        <w:t xml:space="preserve">12. Limitation of Liability</w:t>
      </w:r>
    </w:p>
    <w:p>
      <w:pPr>
        <w:pStyle w:val="FirstParagraph"/>
      </w:pPr>
      <w:r>
        <w:t xml:space="preserve">TO THE MAXIMUM EXTENT PERMITTED BY LAW, IN NO EVENT WILL COMPANY BE LIABLE FOR ANY INDIRECT, INCIDENTAL, SPECIAL, CONSEQUENTIAL, EXEMPLARY, OR PUNITIVE DAMAGES, OR LOST PROFITS, REVENUES, DATA, OR BUSINESS OPPORTUNITIES, ARISING OUT OF OR RELATING TO THESE TERMS, EVEN IF ADVISED OF THE POSSIBILITY OF SUCH DAMAGES.</w:t>
      </w:r>
    </w:p>
    <w:p>
      <w:pPr>
        <w:pStyle w:val="BodyText"/>
      </w:pPr>
      <w:r>
        <w:t xml:space="preserve">COMPANY’S TOTAL CUMULATIVE LIABILITY UNDER THESE TERMS SHALL NOT EXCEED THE FEES PAID BY CUSTOMER TO COMPANY IN THE TWELVE (12) MONTHS IMMEDIATELY PRECEDING THE EVENT GIVING RISE TO THE CLAIM. DURING THE BETA PERIOD, NO FEES ARE CHARGED; COMPANY’S TOTAL LIABILITY IS ACCORDINGLY ZERO FOR EVENTS OCCURRING DURING THE BETA PERIOD.</w:t>
      </w:r>
    </w:p>
    <w:bookmarkEnd w:id="24"/>
    <w:bookmarkStart w:id="25" w:name="indemnification"/>
    <w:p>
      <w:pPr>
        <w:pStyle w:val="Heading1"/>
      </w:pPr>
      <w:r>
        <w:t xml:space="preserve">13. Indemnification</w:t>
      </w:r>
    </w:p>
    <w:p>
      <w:pPr>
        <w:pStyle w:val="FirstParagraph"/>
      </w:pPr>
      <w:r>
        <w:t xml:space="preserve">Customer shall defend, indemnify, and hold harmless Company and its officers, directors, employees, and agents from and against any claims, liabilities, damages, losses, and expenses (including reasonable attorneys’ fees) arising out of or connected with: (a) Customer’s misuse of the Service; (b) Customer’s breach of these Terms; or (c) Customer’s violation of any applicable law or the rights of any third party.</w:t>
      </w:r>
    </w:p>
    <w:bookmarkEnd w:id="25"/>
    <w:bookmarkStart w:id="26" w:name="confidentiality"/>
    <w:p>
      <w:pPr>
        <w:pStyle w:val="Heading1"/>
      </w:pPr>
      <w:r>
        <w:t xml:space="preserve">14. Confidentiality</w:t>
      </w:r>
    </w:p>
    <w:p>
      <w:pPr>
        <w:pStyle w:val="FirstParagraph"/>
      </w:pPr>
      <w:r>
        <w:t xml:space="preserve">Each party may receive non-public information of the other party identified as confidential or that a reasonable person would understand to be confidential (</w:t>
      </w:r>
      <w:r>
        <w:t xml:space="preserve">“Confidential Information”</w:t>
      </w:r>
      <w:r>
        <w:t xml:space="preserve">). Each party shall: (i) protect the other’s Confidential Information with the same degree of care it uses to protect its own confidential information, but not less than reasonable care; (ii) use Confidential Information only as necessary to perform under these Terms; and (iii) not disclose Confidential Information to any third party except as required by law (with reasonable advance notice to the disclosing party where lawful).</w:t>
      </w:r>
    </w:p>
    <w:bookmarkEnd w:id="26"/>
    <w:bookmarkStart w:id="27" w:name="governing-law-and-dispute-resolution"/>
    <w:p>
      <w:pPr>
        <w:pStyle w:val="Heading1"/>
      </w:pPr>
      <w:r>
        <w:t xml:space="preserve">15. Governing Law and Dispute Resolution</w:t>
      </w:r>
    </w:p>
    <w:p>
      <w:pPr>
        <w:pStyle w:val="FirstParagraph"/>
      </w:pPr>
      <w:r>
        <w:t xml:space="preserve">These Terms are governed by the laws of [JURISDICTION], without regard to its conflict-of-laws principles. The parties consent to the exclusive jurisdiction of the courts located in [JURISDICTION] for any dispute arising under these Terms.</w:t>
      </w:r>
    </w:p>
    <w:bookmarkEnd w:id="27"/>
    <w:bookmarkStart w:id="28" w:name="changes-to-these-terms"/>
    <w:p>
      <w:pPr>
        <w:pStyle w:val="Heading1"/>
      </w:pPr>
      <w:r>
        <w:t xml:space="preserve">16. Changes to These Terms</w:t>
      </w:r>
    </w:p>
    <w:p>
      <w:pPr>
        <w:pStyle w:val="FirstParagraph"/>
      </w:pPr>
      <w:r>
        <w:t xml:space="preserve">Company may modify these Terms from time to time. Material modifications will be communicated to Customer at least fourteen (14) days before they take effect. Continued use of the Service after the effective date constitutes acceptance.</w:t>
      </w:r>
    </w:p>
    <w:bookmarkEnd w:id="28"/>
    <w:bookmarkStart w:id="34" w:name="general-provisions"/>
    <w:p>
      <w:pPr>
        <w:pStyle w:val="Heading1"/>
      </w:pPr>
      <w:r>
        <w:t xml:space="preserve">17. General Provisions</w:t>
      </w:r>
    </w:p>
    <w:bookmarkStart w:id="29" w:name="entire-agreement"/>
    <w:p>
      <w:pPr>
        <w:pStyle w:val="Heading2"/>
      </w:pPr>
      <w:r>
        <w:t xml:space="preserve">17.1 Entire Agreement</w:t>
      </w:r>
    </w:p>
    <w:p>
      <w:pPr>
        <w:pStyle w:val="FirstParagraph"/>
      </w:pPr>
      <w:r>
        <w:t xml:space="preserve">These Terms, together with the Privacy Policy and the Sub-processor List, constitute the entire agreement between the parties with respect to the Service.</w:t>
      </w:r>
    </w:p>
    <w:bookmarkEnd w:id="29"/>
    <w:bookmarkStart w:id="30" w:name="severability"/>
    <w:p>
      <w:pPr>
        <w:pStyle w:val="Heading2"/>
      </w:pPr>
      <w:r>
        <w:t xml:space="preserve">17.2 Severability</w:t>
      </w:r>
    </w:p>
    <w:p>
      <w:pPr>
        <w:pStyle w:val="FirstParagraph"/>
      </w:pPr>
      <w:r>
        <w:t xml:space="preserve">If any provision of these Terms is held unenforceable, the remaining provisions shall remain in full force and effect.</w:t>
      </w:r>
    </w:p>
    <w:bookmarkEnd w:id="30"/>
    <w:bookmarkStart w:id="31" w:name="waiver"/>
    <w:p>
      <w:pPr>
        <w:pStyle w:val="Heading2"/>
      </w:pPr>
      <w:r>
        <w:t xml:space="preserve">17.3 Waiver</w:t>
      </w:r>
    </w:p>
    <w:p>
      <w:pPr>
        <w:pStyle w:val="FirstParagraph"/>
      </w:pPr>
      <w:r>
        <w:t xml:space="preserve">No failure to enforce any provision shall constitute a waiver of that provision.</w:t>
      </w:r>
    </w:p>
    <w:bookmarkEnd w:id="31"/>
    <w:bookmarkStart w:id="32" w:name="assignment"/>
    <w:p>
      <w:pPr>
        <w:pStyle w:val="Heading2"/>
      </w:pPr>
      <w:r>
        <w:t xml:space="preserve">17.4 Assignment</w:t>
      </w:r>
    </w:p>
    <w:p>
      <w:pPr>
        <w:pStyle w:val="FirstParagraph"/>
      </w:pPr>
      <w:r>
        <w:t xml:space="preserve">Customer may not assign these Terms without Company’s prior written consent. Company may assign these Terms in connection with a merger, acquisition, or sale of substantially all of its assets.</w:t>
      </w:r>
    </w:p>
    <w:bookmarkEnd w:id="32"/>
    <w:bookmarkStart w:id="33" w:name="notices"/>
    <w:p>
      <w:pPr>
        <w:pStyle w:val="Heading2"/>
      </w:pPr>
      <w:r>
        <w:t xml:space="preserve">17.5 Notices</w:t>
      </w:r>
    </w:p>
    <w:p>
      <w:pPr>
        <w:pStyle w:val="FirstParagraph"/>
      </w:pPr>
      <w:r>
        <w:t xml:space="preserve">Notices to Company must be sent to the address in Section 18. Notices to Customer will be sent to the email address associated with the Account.</w:t>
      </w:r>
    </w:p>
    <w:bookmarkEnd w:id="33"/>
    <w:bookmarkEnd w:id="34"/>
    <w:bookmarkStart w:id="35" w:name="contact"/>
    <w:p>
      <w:pPr>
        <w:pStyle w:val="Heading1"/>
      </w:pPr>
      <w:r>
        <w:t xml:space="preserve">18. Contact</w:t>
      </w:r>
    </w:p>
    <w:p>
      <w:pPr>
        <w:pStyle w:val="FirstParagraph"/>
      </w:pPr>
      <w:r>
        <w:rPr>
          <w:b/>
          <w:bCs/>
        </w:rPr>
        <w:t xml:space="preserve">[COMPANY NAME]</w:t>
      </w:r>
    </w:p>
    <w:p>
      <w:pPr>
        <w:pStyle w:val="BodyText"/>
      </w:pPr>
      <w:r>
        <w:t xml:space="preserve">[STREET ADDRESS]</w:t>
      </w:r>
      <w:r>
        <w:br/>
      </w:r>
      <w:r>
        <w:t xml:space="preserve">[CITY, REGION, POSTAL CODE]</w:t>
      </w:r>
      <w:r>
        <w:br/>
      </w:r>
      <w:r>
        <w:t xml:space="preserve">[COUNTRY]</w:t>
      </w:r>
    </w:p>
    <w:p>
      <w:pPr>
        <w:pStyle w:val="BodyText"/>
      </w:pPr>
      <w:r>
        <w:t xml:space="preserve">Email: [LEGAL@COMPANY.COM]</w:t>
      </w:r>
    </w:p>
    <w:p>
      <w:r>
        <w:pict>
          <v:rect style="width:0;height:1.5pt" o:hralign="center" o:hrstd="t" o:hr="t"/>
        </w:pict>
      </w:r>
    </w:p>
    <w:p>
      <w:pPr>
        <w:pStyle w:val="FirstParagraph"/>
      </w:pPr>
      <w:r>
        <w:rPr>
          <w:i/>
          <w:iCs/>
        </w:rPr>
        <w:t xml:space="preserve">These Terms of Service are provided as a beta-stage operational document. They have not been reviewed by external legal counsel. The Company recommends formal legal review prior to use in connection with commercial agreements.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Terms of Service</dc:title>
  <dc:creator/>
  <cp:keywords/>
  <dcterms:created xsi:type="dcterms:W3CDTF">2026-06-09T07:47:25Z</dcterms:created>
  <dcterms:modified xsi:type="dcterms:W3CDTF">2026-06-09T07:47:25Z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SaaS Tier</vt:lpwstr>
  </property>
</Properties>
</file>