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1-PRC-0001 — Process Design Criteria</w:t>
      </w:r>
    </w:p>
    <w:p>
      <w:pPr>
        <w:pStyle w:val="Heading2"/>
      </w:pPr>
      <w:r>
        <w:t>1. Document Information</w:t>
      </w:r>
    </w:p>
    <w:tbl>
      <w:tblPr>
        <w:tblStyle w:val="TableGrid"/>
        <w:tblW w:type="auto" w:w="0"/>
        <w:tblLook w:firstColumn="1" w:firstRow="1" w:lastColumn="0" w:lastRow="0" w:noHBand="0" w:noVBand="1" w:val="04A0"/>
      </w:tblPr>
      <w:tblGrid>
        <w:gridCol w:w="4320"/>
        <w:gridCol w:w="4320"/>
      </w:tblGrid>
      <w:tr>
        <w:tc>
          <w:tcPr>
            <w:tcW w:type="dxa" w:w="4320"/>
          </w:tcPr>
          <w:p>
            <w:r>
              <w:rPr>
                <w:b/>
              </w:rPr>
              <w:t>Field</w:t>
            </w:r>
          </w:p>
        </w:tc>
        <w:tc>
          <w:tcPr>
            <w:tcW w:type="dxa" w:w="4320"/>
          </w:tcPr>
          <w:p>
            <w:r>
              <w:rPr>
                <w:b/>
              </w:rPr>
              <w:t>Value</w:t>
            </w:r>
          </w:p>
        </w:tc>
      </w:tr>
      <w:tr>
        <w:tc>
          <w:tcPr>
            <w:tcW w:type="dxa" w:w="4320"/>
          </w:tcPr>
          <w:p>
            <w:r>
              <w:t>Document ID</w:t>
            </w:r>
          </w:p>
        </w:tc>
        <w:tc>
          <w:tcPr>
            <w:tcW w:type="dxa" w:w="4320"/>
          </w:tcPr>
          <w:p>
            <w:r>
              <w:t>1-PRC-0001</w:t>
            </w:r>
          </w:p>
        </w:tc>
      </w:tr>
      <w:tr>
        <w:tc>
          <w:tcPr>
            <w:tcW w:type="dxa" w:w="4320"/>
          </w:tcPr>
          <w:p>
            <w:r>
              <w:t>Title</w:t>
            </w:r>
          </w:p>
        </w:tc>
        <w:tc>
          <w:tcPr>
            <w:tcW w:type="dxa" w:w="4320"/>
          </w:tcPr>
          <w:p>
            <w:r>
              <w:t>Process Design Criteria</w:t>
            </w:r>
          </w:p>
        </w:tc>
      </w:tr>
      <w:tr>
        <w:tc>
          <w:tcPr>
            <w:tcW w:type="dxa" w:w="4320"/>
          </w:tcPr>
          <w:p>
            <w:r>
              <w:t>Project</w:t>
            </w:r>
          </w:p>
        </w:tc>
        <w:tc>
          <w:tcPr>
            <w:tcW w:type="dxa" w:w="4320"/>
          </w:tcPr>
          <w:p>
            <w:r>
              <w:t>MEG Transfer Pump Skid</w:t>
            </w:r>
          </w:p>
        </w:tc>
      </w:tr>
      <w:tr>
        <w:tc>
          <w:tcPr>
            <w:tcW w:type="dxa" w:w="4320"/>
          </w:tcPr>
          <w:p>
            <w:r>
              <w:t>Client</w:t>
            </w:r>
          </w:p>
        </w:tc>
        <w:tc>
          <w:tcPr>
            <w:tcW w:type="dxa" w:w="4320"/>
          </w:tcPr>
          <w:p>
            <w:r>
              <w:t>B Star Chemetics</w:t>
            </w:r>
          </w:p>
        </w:tc>
      </w:tr>
      <w:tr>
        <w:tc>
          <w:tcPr>
            <w:tcW w:type="dxa" w:w="4320"/>
          </w:tcPr>
          <w:p>
            <w:r>
              <w:t>Location</w:t>
            </w:r>
          </w:p>
        </w:tc>
        <w:tc>
          <w:tcPr>
            <w:tcW w:type="dxa" w:w="4320"/>
          </w:tcPr>
          <w:p>
            <w:r>
              <w:t>Sarnia, Ontario, Canada</w:t>
            </w:r>
          </w:p>
        </w:tc>
      </w:tr>
      <w:tr>
        <w:tc>
          <w:tcPr>
            <w:tcW w:type="dxa" w:w="4320"/>
          </w:tcPr>
          <w:p>
            <w:r>
              <w:t>Revision</w:t>
            </w:r>
          </w:p>
        </w:tc>
        <w:tc>
          <w:tcPr>
            <w:tcW w:type="dxa" w:w="4320"/>
          </w:tcPr>
          <w:p>
            <w:r>
              <w:t>R0</w:t>
            </w:r>
          </w:p>
        </w:tc>
      </w:tr>
      <w:tr>
        <w:tc>
          <w:tcPr>
            <w:tcW w:type="dxa" w:w="4320"/>
          </w:tcPr>
          <w:p>
            <w:r>
              <w:t>Date</w:t>
            </w:r>
          </w:p>
        </w:tc>
        <w:tc>
          <w:tcPr>
            <w:tcW w:type="dxa" w:w="4320"/>
          </w:tcPr>
          <w:p>
            <w:r>
              <w:t>2023-10-27</w:t>
            </w:r>
          </w:p>
        </w:tc>
      </w:tr>
      <w:tr>
        <w:tc>
          <w:tcPr>
            <w:tcW w:type="dxa" w:w="4320"/>
          </w:tcPr>
          <w:p>
            <w:r>
              <w:t>Prepared By</w:t>
            </w:r>
          </w:p>
        </w:tc>
        <w:tc>
          <w:tcPr>
            <w:tcW w:type="dxa" w:w="4320"/>
          </w:tcPr>
          <w:p>
            <w:r>
              <w:t>Process Engineer</w:t>
            </w:r>
          </w:p>
        </w:tc>
      </w:tr>
    </w:tbl>
    <w:p>
      <w:pPr>
        <w:pStyle w:val="Heading2"/>
      </w:pPr>
      <w:r>
        <w:t>2. Scope</w:t>
      </w:r>
    </w:p>
    <w:p>
      <w:r>
        <w:t>This document defines the process design criteria for the Monoethylene Glycol (MEG) Transfer Pump Skid project at B Star Chemetics' Sarnia facility. It consolidates critical fluid data, design conditions, design basis, and risk considerations to guide the detailed engineering, equipment specification, and procurement phases of the project. The purpose is to ensure all subsequent design activities are consistent with the established process requirements.</w:t>
      </w:r>
    </w:p>
    <w:p>
      <w:pPr>
        <w:pStyle w:val="Heading2"/>
      </w:pPr>
      <w:r>
        <w:t>3. Fluid Data</w:t>
      </w:r>
    </w:p>
    <w:p>
      <w:pPr>
        <w:pStyle w:val="Heading3"/>
      </w:pPr>
      <w:r>
        <w:t>Fluid Code</w:t>
      </w:r>
    </w:p>
    <w:p>
      <w:r>
        <w:t>MEG</w:t>
      </w:r>
    </w:p>
    <w:p>
      <w:pPr>
        <w:pStyle w:val="Heading3"/>
      </w:pPr>
      <w:r>
        <w:t>Physical Properties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Property</w:t>
            </w:r>
          </w:p>
        </w:tc>
        <w:tc>
          <w:tcPr>
            <w:tcW w:type="dxa" w:w="2160"/>
          </w:tcPr>
          <w:p>
            <w:r>
              <w:rPr>
                <w:b/>
              </w:rPr>
              <w:t>Value</w:t>
            </w:r>
          </w:p>
        </w:tc>
        <w:tc>
          <w:tcPr>
            <w:tcW w:type="dxa" w:w="2160"/>
          </w:tcPr>
          <w:p>
            <w:r>
              <w:rPr>
                <w:b/>
              </w:rPr>
              <w:t>Unit</w:t>
            </w:r>
          </w:p>
        </w:tc>
        <w:tc>
          <w:tcPr>
            <w:tcW w:type="dxa" w:w="2160"/>
          </w:tcPr>
          <w:p>
            <w:r>
              <w:rPr>
                <w:b/>
              </w:rPr>
              <w:t>Source</w:t>
            </w:r>
          </w:p>
        </w:tc>
      </w:tr>
      <w:tr>
        <w:tc>
          <w:tcPr>
            <w:tcW w:type="dxa" w:w="2160"/>
          </w:tcPr>
          <w:p>
            <w:r>
              <w:t>Fluid</w:t>
            </w:r>
          </w:p>
        </w:tc>
        <w:tc>
          <w:tcPr>
            <w:tcW w:type="dxa" w:w="2160"/>
          </w:tcPr>
          <w:p>
            <w:r>
              <w:t>Monoethylene Glycol</w:t>
            </w:r>
          </w:p>
        </w:tc>
        <w:tc>
          <w:tcPr>
            <w:tcW w:type="dxa" w:w="2160"/>
          </w:tcPr>
          <w:p>
            <w:r/>
          </w:p>
        </w:tc>
        <w:tc>
          <w:tcPr>
            <w:tcW w:type="dxa" w:w="2160"/>
          </w:tcPr>
          <w:p>
            <w:r>
              <w:t>1-LST-0002</w:t>
            </w:r>
          </w:p>
        </w:tc>
      </w:tr>
      <w:tr>
        <w:tc>
          <w:tcPr>
            <w:tcW w:type="dxa" w:w="2160"/>
          </w:tcPr>
          <w:p>
            <w:r>
              <w:t>Concentration</w:t>
            </w:r>
          </w:p>
        </w:tc>
        <w:tc>
          <w:tcPr>
            <w:tcW w:type="dxa" w:w="2160"/>
          </w:tcPr>
          <w:p>
            <w:r>
              <w:t>95% by weight</w:t>
            </w:r>
          </w:p>
        </w:tc>
        <w:tc>
          <w:tcPr>
            <w:tcW w:type="dxa" w:w="2160"/>
          </w:tcPr>
          <w:p>
            <w:r/>
          </w:p>
        </w:tc>
        <w:tc>
          <w:tcPr>
            <w:tcW w:type="dxa" w:w="2160"/>
          </w:tcPr>
          <w:p>
            <w:r>
              <w:t>1-LST-0002</w:t>
            </w:r>
          </w:p>
        </w:tc>
      </w:tr>
      <w:tr>
        <w:tc>
          <w:tcPr>
            <w:tcW w:type="dxa" w:w="2160"/>
          </w:tcPr>
          <w:p>
            <w:r>
              <w:t>Density</w:t>
            </w:r>
          </w:p>
        </w:tc>
        <w:tc>
          <w:tcPr>
            <w:tcW w:type="dxa" w:w="2160"/>
          </w:tcPr>
          <w:p>
            <w:r>
              <w:t>1095</w:t>
            </w:r>
          </w:p>
        </w:tc>
        <w:tc>
          <w:tcPr>
            <w:tcW w:type="dxa" w:w="2160"/>
          </w:tcPr>
          <w:p>
            <w:r>
              <w:t>kg/m³</w:t>
            </w:r>
          </w:p>
        </w:tc>
        <w:tc>
          <w:tcPr>
            <w:tcW w:type="dxa" w:w="2160"/>
          </w:tcPr>
          <w:p>
            <w:r>
              <w:t>1-LST-0002</w:t>
            </w:r>
          </w:p>
        </w:tc>
      </w:tr>
      <w:tr>
        <w:tc>
          <w:tcPr>
            <w:tcW w:type="dxa" w:w="2160"/>
          </w:tcPr>
          <w:p>
            <w:r>
              <w:t>Specific Gravity (SG)</w:t>
            </w:r>
          </w:p>
        </w:tc>
        <w:tc>
          <w:tcPr>
            <w:tcW w:type="dxa" w:w="2160"/>
          </w:tcPr>
          <w:p>
            <w:r>
              <w:t>1.095</w:t>
            </w:r>
          </w:p>
        </w:tc>
        <w:tc>
          <w:tcPr>
            <w:tcW w:type="dxa" w:w="2160"/>
          </w:tcPr>
          <w:p>
            <w:r/>
          </w:p>
        </w:tc>
        <w:tc>
          <w:tcPr>
            <w:tcW w:type="dxa" w:w="2160"/>
          </w:tcPr>
          <w:p>
            <w:r>
              <w:t>1-LST-0002</w:t>
            </w:r>
          </w:p>
        </w:tc>
      </w:tr>
      <w:tr>
        <w:tc>
          <w:tcPr>
            <w:tcW w:type="dxa" w:w="2160"/>
          </w:tcPr>
          <w:p>
            <w:r>
              <w:t>Viscosity</w:t>
            </w:r>
          </w:p>
        </w:tc>
        <w:tc>
          <w:tcPr>
            <w:tcW w:type="dxa" w:w="2160"/>
          </w:tcPr>
          <w:p>
            <w:r>
              <w:t>2.5</w:t>
            </w:r>
          </w:p>
        </w:tc>
        <w:tc>
          <w:tcPr>
            <w:tcW w:type="dxa" w:w="2160"/>
          </w:tcPr>
          <w:p>
            <w:r>
              <w:t>mPa·s</w:t>
            </w:r>
          </w:p>
        </w:tc>
        <w:tc>
          <w:tcPr>
            <w:tcW w:type="dxa" w:w="2160"/>
          </w:tcPr>
          <w:p>
            <w:r>
              <w:t>1-LST-0002</w:t>
            </w:r>
          </w:p>
        </w:tc>
      </w:tr>
      <w:tr>
        <w:tc>
          <w:tcPr>
            <w:tcW w:type="dxa" w:w="2160"/>
          </w:tcPr>
          <w:p>
            <w:r>
              <w:t>Vapour Pressure at 65°C</w:t>
            </w:r>
          </w:p>
        </w:tc>
        <w:tc>
          <w:tcPr>
            <w:tcW w:type="dxa" w:w="2160"/>
          </w:tcPr>
          <w:p>
            <w:r>
              <w:t>0.2</w:t>
            </w:r>
          </w:p>
        </w:tc>
        <w:tc>
          <w:tcPr>
            <w:tcW w:type="dxa" w:w="2160"/>
          </w:tcPr>
          <w:p>
            <w:r>
              <w:t>kPa</w:t>
            </w:r>
          </w:p>
        </w:tc>
        <w:tc>
          <w:tcPr>
            <w:tcW w:type="dxa" w:w="2160"/>
          </w:tcPr>
          <w:p>
            <w:r>
              <w:t>1-LST-0002</w:t>
            </w:r>
          </w:p>
        </w:tc>
      </w:tr>
    </w:tbl>
    <w:p>
      <w:pPr>
        <w:pStyle w:val="Heading3"/>
      </w:pPr>
      <w:r>
        <w:t>Engineering Significance</w:t>
      </w:r>
    </w:p>
    <w:p>
      <w:r>
        <w:t>Monoethylene Glycol (MEG) at 95% by weight is the process fluid. The fluid is classified as non-corrosive, which simplifies material selection. Its low viscosity (2.5 mPa·s) is typical for centrifugal pump applications, and the very low vapour pressure (0.2 kPa at 65°C) suggests a low intrinsic risk of cavitation from the fluid's volatility, provided adequate Net Positive Suction Head Available (NPSHa) is maintained. The high density (1095 kg/m³) will influence pump head and power requirements.</w:t>
      </w:r>
    </w:p>
    <w:p>
      <w:pPr>
        <w:pStyle w:val="Heading2"/>
      </w:pPr>
      <w:r>
        <w:t>4. Design Conditions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Parameter</w:t>
            </w:r>
          </w:p>
        </w:tc>
        <w:tc>
          <w:tcPr>
            <w:tcW w:type="dxa" w:w="2160"/>
          </w:tcPr>
          <w:p>
            <w:r>
              <w:rPr>
                <w:b/>
              </w:rPr>
              <w:t>Value</w:t>
            </w:r>
          </w:p>
        </w:tc>
        <w:tc>
          <w:tcPr>
            <w:tcW w:type="dxa" w:w="2160"/>
          </w:tcPr>
          <w:p>
            <w:r>
              <w:rPr>
                <w:b/>
              </w:rPr>
              <w:t>Unit</w:t>
            </w:r>
          </w:p>
        </w:tc>
        <w:tc>
          <w:tcPr>
            <w:tcW w:type="dxa" w:w="2160"/>
          </w:tcPr>
          <w:p>
            <w:r>
              <w:rPr>
                <w:b/>
              </w:rPr>
              <w:t>Notes</w:t>
            </w:r>
          </w:p>
        </w:tc>
      </w:tr>
      <w:tr>
        <w:tc>
          <w:tcPr>
            <w:tcW w:type="dxa" w:w="2160"/>
          </w:tcPr>
          <w:p>
            <w:r>
              <w:t>Normal Flow</w:t>
            </w:r>
          </w:p>
        </w:tc>
        <w:tc>
          <w:tcPr>
            <w:tcW w:type="dxa" w:w="2160"/>
          </w:tcPr>
          <w:p>
            <w:r>
              <w:t>45</w:t>
            </w:r>
          </w:p>
        </w:tc>
        <w:tc>
          <w:tcPr>
            <w:tcW w:type="dxa" w:w="2160"/>
          </w:tcPr>
          <w:p>
            <w:r>
              <w:t>m³/h</w:t>
            </w:r>
          </w:p>
        </w:tc>
        <w:tc>
          <w:tcPr>
            <w:tcW w:type="dxa" w:w="2160"/>
          </w:tcPr>
          <w:p>
            <w:r/>
          </w:p>
        </w:tc>
      </w:tr>
      <w:tr>
        <w:tc>
          <w:tcPr>
            <w:tcW w:type="dxa" w:w="2160"/>
          </w:tcPr>
          <w:p>
            <w:r>
              <w:t>Rated Flow</w:t>
            </w:r>
          </w:p>
        </w:tc>
        <w:tc>
          <w:tcPr>
            <w:tcW w:type="dxa" w:w="2160"/>
          </w:tcPr>
          <w:p>
            <w:r>
              <w:t>54.0</w:t>
            </w:r>
          </w:p>
        </w:tc>
        <w:tc>
          <w:tcPr>
            <w:tcW w:type="dxa" w:w="2160"/>
          </w:tcPr>
          <w:p>
            <w:r>
              <w:t>m³/h</w:t>
            </w:r>
          </w:p>
        </w:tc>
        <w:tc>
          <w:tcPr>
            <w:tcW w:type="dxa" w:w="2160"/>
          </w:tcPr>
          <w:p>
            <w:r>
              <w:t>20% margin over normal flow</w:t>
            </w:r>
          </w:p>
        </w:tc>
      </w:tr>
      <w:tr>
        <w:tc>
          <w:tcPr>
            <w:tcW w:type="dxa" w:w="2160"/>
          </w:tcPr>
          <w:p>
            <w:r>
              <w:t>Design Pressure</w:t>
            </w:r>
          </w:p>
        </w:tc>
        <w:tc>
          <w:tcPr>
            <w:tcW w:type="dxa" w:w="2160"/>
          </w:tcPr>
          <w:p>
            <w:r>
              <w:t>10</w:t>
            </w:r>
          </w:p>
        </w:tc>
        <w:tc>
          <w:tcPr>
            <w:tcW w:type="dxa" w:w="2160"/>
          </w:tcPr>
          <w:p>
            <w:r>
              <w:t>bar</w:t>
            </w:r>
          </w:p>
        </w:tc>
        <w:tc>
          <w:tcPr>
            <w:tcW w:type="dxa" w:w="2160"/>
          </w:tcPr>
          <w:p>
            <w:r/>
          </w:p>
        </w:tc>
      </w:tr>
      <w:tr>
        <w:tc>
          <w:tcPr>
            <w:tcW w:type="dxa" w:w="2160"/>
          </w:tcPr>
          <w:p>
            <w:r>
              <w:t>Design Temperature</w:t>
            </w:r>
          </w:p>
        </w:tc>
        <w:tc>
          <w:tcPr>
            <w:tcW w:type="dxa" w:w="2160"/>
          </w:tcPr>
          <w:p>
            <w:r>
              <w:t>65</w:t>
            </w:r>
          </w:p>
        </w:tc>
        <w:tc>
          <w:tcPr>
            <w:tcW w:type="dxa" w:w="2160"/>
          </w:tcPr>
          <w:p>
            <w:r>
              <w:t>°C</w:t>
            </w:r>
          </w:p>
        </w:tc>
        <w:tc>
          <w:tcPr>
            <w:tcW w:type="dxa" w:w="2160"/>
          </w:tcPr>
          <w:p>
            <w:r/>
          </w:p>
        </w:tc>
      </w:tr>
      <w:tr>
        <w:tc>
          <w:tcPr>
            <w:tcW w:type="dxa" w:w="2160"/>
          </w:tcPr>
          <w:p>
            <w:r>
              <w:t>Pressure Class</w:t>
            </w:r>
          </w:p>
        </w:tc>
        <w:tc>
          <w:tcPr>
            <w:tcW w:type="dxa" w:w="2160"/>
          </w:tcPr>
          <w:p>
            <w:r>
              <w:t>PN10</w:t>
            </w:r>
          </w:p>
        </w:tc>
        <w:tc>
          <w:tcPr>
            <w:tcW w:type="dxa" w:w="2160"/>
          </w:tcPr>
          <w:p>
            <w:r/>
          </w:p>
        </w:tc>
        <w:tc>
          <w:tcPr>
            <w:tcW w:type="dxa" w:w="2160"/>
          </w:tcPr>
          <w:p>
            <w:r>
              <w:t>Derived from Design Pressure</w:t>
            </w:r>
          </w:p>
        </w:tc>
      </w:tr>
    </w:tbl>
    <w:p>
      <w:pPr>
        <w:pStyle w:val="Heading2"/>
      </w:pPr>
      <w:r>
        <w:t>5. Design Basis</w:t>
      </w:r>
    </w:p>
    <w:p>
      <w:pPr>
        <w:pStyle w:val="ListBullet"/>
      </w:pPr>
      <w:r>
        <w:t xml:space="preserve">  Flow Margin: A 20% margin has been applied to the normal flow rate to determine the rated flow rate (45 m³/h normal flow + 20% = 54.0 m³/h rated flow). This margin is consistent with company standard practice as referenced in 4-PDS-XXXX-R1 (Template Brine Ion Exchange Pkg).xls, providing operational flexibility and accounting for potential future throughput increases or system uncertainties.</w:t>
      </w:r>
    </w:p>
    <w:p>
      <w:pPr>
        <w:pStyle w:val="ListBullet"/>
      </w:pPr>
      <w:r>
        <w:t xml:space="preserve">  Corrosion Allowance: A corrosion allowance of 1.5 mm is specified for all wetted parts. This value is derived from 5-LST-0003, which outlines standard corrosion allowances for various services and materials.</w:t>
      </w:r>
    </w:p>
    <w:p>
      <w:pPr>
        <w:pStyle w:val="ListBullet"/>
      </w:pPr>
      <w:r>
        <w:t xml:space="preserve">  Material Selection Rationale: As the 'corrosive_fluid' flag is not active for Monoethylene Glycol (MEG), there are no specific corrosive material requirements indicated. Standard engineering materials suitable for MEG service at the specified design temperature and pressure, and compatible with the 1.5 mm corrosion allowance, shall be selected.</w:t>
      </w:r>
    </w:p>
    <w:p>
      <w:pPr>
        <w:pStyle w:val="ListBullet"/>
      </w:pPr>
      <w:r>
        <w:t xml:space="preserve">  Pressure Test Requirements: There is no mandatory hydrostatic test requirement indicated by an active 'high_pressure' flag. Standard industry practice for pressure testing, in accordance with applicable codes and standards, will be applied to ensure system integrity.</w:t>
      </w:r>
    </w:p>
    <w:p>
      <w:pPr>
        <w:pStyle w:val="Heading2"/>
      </w:pPr>
      <w:r>
        <w:t>6. Risk Considerations</w:t>
      </w:r>
    </w:p>
    <w:p>
      <w:r>
        <w:t>No active risk flags have been identified for this project at this stage.</w:t>
      </w:r>
    </w:p>
    <w:p>
      <w:pPr>
        <w:pStyle w:val="Heading2"/>
      </w:pPr>
      <w:r>
        <w:t>7. References</w:t>
      </w:r>
    </w:p>
    <w:p>
      <w:pPr>
        <w:pStyle w:val="ListBullet"/>
      </w:pPr>
      <w:r>
        <w:t xml:space="preserve">  1-LST-0002 — Fluid List</w:t>
      </w:r>
    </w:p>
    <w:p>
      <w:pPr>
        <w:pStyle w:val="ListBullet"/>
      </w:pPr>
      <w:r>
        <w:t xml:space="preserve">  4-PDS-XXXX-R1 (Template Brine Ion Exchange Pkg).xls — Process Data Sheet Template</w:t>
      </w:r>
    </w:p>
    <w:p>
      <w:pPr>
        <w:pStyle w:val="ListBullet"/>
      </w:pPr>
      <w:r>
        <w:t xml:space="preserve">  5-LST-0003 — Corrosion Allowance List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