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0-PRC-2003 — Project Execution Plan</w:t>
      </w:r>
    </w:p>
    <w:p>
      <w:pPr>
        <w:pStyle w:val="Heading2"/>
      </w:pPr>
      <w:r>
        <w:t>1.0 Document Information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ID</w:t>
            </w:r>
          </w:p>
        </w:tc>
        <w:tc>
          <w:tcPr>
            <w:tcW w:type="dxa" w:w="4320"/>
          </w:tcPr>
          <w:p>
            <w:r>
              <w:t>0-PRC-2003</w:t>
            </w:r>
          </w:p>
        </w:tc>
      </w:tr>
      <w:tr>
        <w:tc>
          <w:tcPr>
            <w:tcW w:type="dxa" w:w="4320"/>
          </w:tcPr>
          <w:p>
            <w:r>
              <w:t>Title</w:t>
            </w:r>
          </w:p>
        </w:tc>
        <w:tc>
          <w:tcPr>
            <w:tcW w:type="dxa" w:w="4320"/>
          </w:tcPr>
          <w:p>
            <w:r>
              <w:t>Project Execution Plan</w:t>
            </w:r>
          </w:p>
        </w:tc>
      </w:tr>
      <w:tr>
        <w:tc>
          <w:tcPr>
            <w:tcW w:type="dxa" w:w="4320"/>
          </w:tcPr>
          <w:p>
            <w:r>
              <w:t>Type</w:t>
            </w:r>
          </w:p>
        </w:tc>
        <w:tc>
          <w:tcPr>
            <w:tcW w:type="dxa" w:w="4320"/>
          </w:tcPr>
          <w:p>
            <w:r>
              <w:t>PRC (Project Administration)</w:t>
            </w:r>
          </w:p>
        </w:tc>
      </w:tr>
      <w:tr>
        <w:tc>
          <w:tcPr>
            <w:tcW w:type="dxa" w:w="4320"/>
          </w:tcPr>
          <w:p>
            <w:r>
              <w:t>Author</w:t>
            </w:r>
          </w:p>
        </w:tc>
        <w:tc>
          <w:tcPr>
            <w:tcW w:type="dxa" w:w="4320"/>
          </w:tcPr>
          <w:p>
            <w:r>
              <w:t>Project Manager</w:t>
            </w:r>
          </w:p>
        </w:tc>
      </w:tr>
      <w:tr>
        <w:tc>
          <w:tcPr>
            <w:tcW w:type="dxa" w:w="4320"/>
          </w:tcPr>
          <w:p>
            <w:r>
              <w:t>Issue Date</w:t>
            </w:r>
          </w:p>
        </w:tc>
        <w:tc>
          <w:tcPr>
            <w:tcW w:type="dxa" w:w="4320"/>
          </w:tcPr>
          <w:p>
            <w:r>
              <w:t>2026-03-28</w:t>
            </w:r>
          </w:p>
        </w:tc>
      </w:tr>
      <w:tr>
        <w:tc>
          <w:tcPr>
            <w:tcW w:type="dxa" w:w="4320"/>
          </w:tcPr>
          <w:p>
            <w:r>
              <w:t>Due Date</w:t>
            </w:r>
          </w:p>
        </w:tc>
        <w:tc>
          <w:tcPr>
            <w:tcW w:type="dxa" w:w="4320"/>
          </w:tcPr>
          <w:p>
            <w:r>
              <w:t>2026-03-28</w:t>
            </w:r>
          </w:p>
        </w:tc>
      </w:tr>
      <w:tr>
        <w:tc>
          <w:tcPr>
            <w:tcW w:type="dxa" w:w="4320"/>
          </w:tcPr>
          <w:p>
            <w:r>
              <w:t>Version</w:t>
            </w:r>
          </w:p>
        </w:tc>
        <w:tc>
          <w:tcPr>
            <w:tcW w:type="dxa" w:w="4320"/>
          </w:tcPr>
          <w:p>
            <w:r>
              <w:t>1.0</w:t>
            </w:r>
          </w:p>
        </w:tc>
      </w:tr>
    </w:tbl>
    <w:p>
      <w:pPr>
        <w:pStyle w:val="Heading2"/>
      </w:pPr>
      <w:r>
        <w:t>2.0 Introduction and Purpose</w:t>
      </w:r>
    </w:p>
    <w:p>
      <w:r>
        <w:t>This Project Execution Plan (PEP) is a formal engineering project deliverable, part of Project Administration (WBS 0-2). It outlines the comprehensive plan for the execution of the MEG Transfer Pump Skid project, detailing the strategies, processes, and procedures to be followed to ensure successful delivery within the defined scope, schedule, and budget. This document serves as a foundational reference for all project stakeholders, providing clarity on roles, responsibilities, and key project parameters.</w:t>
      </w:r>
    </w:p>
    <w:p>
      <w:pPr>
        <w:pStyle w:val="Heading2"/>
      </w:pPr>
      <w:r>
        <w:t>3.0 Project Overview</w:t>
      </w:r>
    </w:p>
    <w:p>
      <w:pPr>
        <w:pStyle w:val="Heading3"/>
      </w:pPr>
      <w:r>
        <w:t>3.1 Project Identification</w:t>
      </w:r>
    </w:p>
    <w:p>
      <w:pPr>
        <w:pStyle w:val="ListBullet"/>
      </w:pPr>
      <w:r>
        <w:t xml:space="preserve">  Project Name: MEG Transfer Pump Skid</w:t>
      </w:r>
    </w:p>
    <w:p>
      <w:pPr>
        <w:pStyle w:val="ListBullet"/>
      </w:pPr>
      <w:r>
        <w:t xml:space="preserve">  Client: B Star Chemetics</w:t>
      </w:r>
    </w:p>
    <w:p>
      <w:pPr>
        <w:pStyle w:val="ListBullet"/>
      </w:pPr>
      <w:r>
        <w:t xml:space="preserve">  Location: Sarnia, Canada</w:t>
      </w:r>
    </w:p>
    <w:p>
      <w:pPr>
        <w:pStyle w:val="ListBullet"/>
      </w:pPr>
      <w:r>
        <w:t xml:space="preserve">  Project End Date: 2026-08-01</w:t>
      </w:r>
    </w:p>
    <w:p>
      <w:pPr>
        <w:pStyle w:val="Heading3"/>
      </w:pPr>
      <w:r>
        <w:t>3.2 Project Scope Summary</w:t>
      </w:r>
    </w:p>
    <w:p>
      <w:r>
        <w:t>The MEG Transfer Pump Skid project involves the engineering, procurement, and construction (EPC) of a skid-mounted horizontal centrifugal pump system. This system is designed for the transfer of Monoethylene Glycol (MEG) at specified operating conditions, ensuring reliable and safe operation for the client's facility in Sarnia, Canada.</w:t>
      </w:r>
    </w:p>
    <w:p>
      <w:pPr>
        <w:pStyle w:val="Heading3"/>
      </w:pPr>
      <w:r>
        <w:t>3.3 Key Project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Unit</w:t>
            </w:r>
          </w:p>
        </w:tc>
      </w:tr>
      <w:tr>
        <w:tc>
          <w:tcPr>
            <w:tcW w:type="dxa" w:w="2880"/>
          </w:tcPr>
          <w:p>
            <w:r>
              <w:t>Equipment</w:t>
            </w:r>
          </w:p>
        </w:tc>
        <w:tc>
          <w:tcPr>
            <w:tcW w:type="dxa" w:w="2880"/>
          </w:tcPr>
          <w:p>
            <w:r>
              <w:t>Horizontal Centrifugal Pump</w:t>
            </w:r>
          </w:p>
        </w:tc>
        <w:tc>
          <w:tcPr>
            <w:tcW w:type="dxa" w:w="2880"/>
          </w:tcPr>
          <w:p>
            <w:r/>
          </w:p>
        </w:tc>
      </w:tr>
      <w:tr>
        <w:tc>
          <w:tcPr>
            <w:tcW w:type="dxa" w:w="2880"/>
          </w:tcPr>
          <w:p>
            <w:r>
              <w:t>Fluid</w:t>
            </w:r>
          </w:p>
        </w:tc>
        <w:tc>
          <w:tcPr>
            <w:tcW w:type="dxa" w:w="2880"/>
          </w:tcPr>
          <w:p>
            <w:r>
              <w:t>Monoethylene Glycol (MEG), 95% by weight</w:t>
            </w:r>
          </w:p>
        </w:tc>
        <w:tc>
          <w:tcPr>
            <w:tcW w:type="dxa" w:w="2880"/>
          </w:tcPr>
          <w:p>
            <w:r/>
          </w:p>
        </w:tc>
      </w:tr>
      <w:tr>
        <w:tc>
          <w:tcPr>
            <w:tcW w:type="dxa" w:w="2880"/>
          </w:tcPr>
          <w:p>
            <w:r>
              <w:t>Flow Rate</w:t>
            </w:r>
          </w:p>
        </w:tc>
        <w:tc>
          <w:tcPr>
            <w:tcW w:type="dxa" w:w="2880"/>
          </w:tcPr>
          <w:p>
            <w:r>
              <w:t>45</w:t>
            </w:r>
          </w:p>
        </w:tc>
        <w:tc>
          <w:tcPr>
            <w:tcW w:type="dxa" w:w="2880"/>
          </w:tcPr>
          <w:p>
            <w:r>
              <w:t>m³/h</w:t>
            </w:r>
          </w:p>
        </w:tc>
      </w:tr>
      <w:tr>
        <w:tc>
          <w:tcPr>
            <w:tcW w:type="dxa" w:w="2880"/>
          </w:tcPr>
          <w:p>
            <w:r>
              <w:t>Design Pressure</w:t>
            </w:r>
          </w:p>
        </w:tc>
        <w:tc>
          <w:tcPr>
            <w:tcW w:type="dxa" w:w="2880"/>
          </w:tcPr>
          <w:p>
            <w:r>
              <w:t>10</w:t>
            </w:r>
          </w:p>
        </w:tc>
        <w:tc>
          <w:tcPr>
            <w:tcW w:type="dxa" w:w="2880"/>
          </w:tcPr>
          <w:p>
            <w:r>
              <w:t>bar</w:t>
            </w:r>
          </w:p>
        </w:tc>
      </w:tr>
      <w:tr>
        <w:tc>
          <w:tcPr>
            <w:tcW w:type="dxa" w:w="2880"/>
          </w:tcPr>
          <w:p>
            <w:r>
              <w:t>Design Temperature</w:t>
            </w:r>
          </w:p>
        </w:tc>
        <w:tc>
          <w:tcPr>
            <w:tcW w:type="dxa" w:w="2880"/>
          </w:tcPr>
          <w:p>
            <w:r>
              <w:t>65</w:t>
            </w:r>
          </w:p>
        </w:tc>
        <w:tc>
          <w:tcPr>
            <w:tcW w:type="dxa" w:w="2880"/>
          </w:tcPr>
          <w:p>
            <w:r>
              <w:t>°C</w:t>
            </w:r>
          </w:p>
        </w:tc>
      </w:tr>
    </w:tbl>
    <w:p>
      <w:pPr>
        <w:pStyle w:val="Heading2"/>
      </w:pPr>
      <w:r>
        <w:t>4.0 Project Objectives</w:t>
      </w:r>
    </w:p>
    <w:p>
      <w:r>
        <w:t>The primary objectives of the MEG Transfer Pump Skid project are to:</w:t>
      </w:r>
    </w:p>
    <w:p>
      <w:pPr>
        <w:pStyle w:val="ListBullet"/>
      </w:pPr>
      <w:r>
        <w:t xml:space="preserve">  Deliver a fully functional and compliant MEG transfer pump skid system as per client specifications and industry standards.</w:t>
      </w:r>
    </w:p>
    <w:p>
      <w:pPr>
        <w:pStyle w:val="ListBullet"/>
      </w:pPr>
      <w:r>
        <w:t xml:space="preserve">  Complete the project within the agreed schedule, targeting a Project End Date of 2026-08-01.</w:t>
      </w:r>
    </w:p>
    <w:p>
      <w:pPr>
        <w:pStyle w:val="ListBullet"/>
      </w:pPr>
      <w:r>
        <w:t xml:space="preserve">  Manage project costs effectively to remain within the approved budget.</w:t>
      </w:r>
    </w:p>
    <w:p>
      <w:pPr>
        <w:pStyle w:val="ListBullet"/>
      </w:pPr>
      <w:r>
        <w:t xml:space="preserve">  Ensure all engineering deliverables meet the required quality standards.</w:t>
      </w:r>
    </w:p>
    <w:p>
      <w:pPr>
        <w:pStyle w:val="ListBullet"/>
      </w:pPr>
      <w:r>
        <w:t xml:space="preserve">  Maintain a safe working environment throughout all project phases.</w:t>
      </w:r>
    </w:p>
    <w:p>
      <w:pPr>
        <w:pStyle w:val="Heading2"/>
      </w:pPr>
      <w:r>
        <w:t>5.0 Project Organization and Responsibilities</w:t>
      </w:r>
    </w:p>
    <w:p>
      <w:r>
        <w:t>The project organization structure defines the roles and responsibilities of key personnel involved in the project. The Project Manager holds overall accountability for project success, supported by dedicated engineering disciplines.</w:t>
      </w:r>
    </w:p>
    <w:p>
      <w:pPr>
        <w:pStyle w:val="Heading3"/>
      </w:pPr>
      <w:r>
        <w:t>5.1 Key Personnel and Disciplines</w:t>
      </w:r>
    </w:p>
    <w:p>
      <w:pPr>
        <w:pStyle w:val="ListBullet"/>
      </w:pPr>
      <w:r>
        <w:t xml:space="preserve">  Project Manager (PM): Overall project planning, execution, control, and closeout. Primary point of contact for the client.</w:t>
      </w:r>
    </w:p>
    <w:p>
      <w:pPr>
        <w:pStyle w:val="ListBullet"/>
      </w:pPr>
      <w:r>
        <w:t xml:space="preserve">  Process Engineer: Responsible for process design, calculations, and criteria development.</w:t>
      </w:r>
    </w:p>
    <w:p>
      <w:pPr>
        <w:pStyle w:val="ListBullet"/>
      </w:pPr>
      <w:r>
        <w:t xml:space="preserve">  Mechanical Engineer: Responsible for pump specifications, calculations, data sheets, and equipment requirements.</w:t>
      </w:r>
    </w:p>
    <w:p>
      <w:pPr>
        <w:pStyle w:val="Heading2"/>
      </w:pPr>
      <w:r>
        <w:t>6.0 Project Schedule</w:t>
      </w:r>
    </w:p>
    <w:p>
      <w:r>
        <w:t>The detailed project schedule, outlining all major milestones, activities, and their durations, is documented separately. This Project Execution Plan adheres to the timelines established in the Project Schedule.</w:t>
      </w:r>
    </w:p>
    <w:p>
      <w:pPr>
        <w:pStyle w:val="ListBullet"/>
      </w:pPr>
      <w:r>
        <w:t xml:space="preserve">  Reference Document: 0-DAT-3001.0 — Project Schedule (Due: 2026-03-28)</w:t>
      </w:r>
    </w:p>
    <w:p>
      <w:pPr>
        <w:pStyle w:val="Heading2"/>
      </w:pPr>
      <w:r>
        <w:t>7.0 Document Control and Deliverables</w:t>
      </w:r>
    </w:p>
    <w:p>
      <w:r>
        <w:t>All project documentation will be managed in accordance with established document control procedures. The following table lists the key deliverables for this project, including their IDs, responsible parties, and due dates.</w:t>
      </w:r>
    </w:p>
    <w:p>
      <w:pPr>
        <w:pStyle w:val="Heading3"/>
      </w:pPr>
      <w:r>
        <w:t>7.1 Full Document Register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Responsible</w:t>
            </w:r>
          </w:p>
        </w:tc>
        <w:tc>
          <w:tcPr>
            <w:tcW w:type="dxa" w:w="2160"/>
          </w:tcPr>
          <w:p>
            <w:r>
              <w:rPr>
                <w:b/>
              </w:rPr>
              <w:t>Due Date</w:t>
            </w:r>
          </w:p>
        </w:tc>
        <w:tc>
          <w:tcPr>
            <w:tcW w:type="dxa" w:w="2160"/>
          </w:tcPr>
          <w:p>
            <w:r>
              <w:rPr>
                <w:b/>
              </w:rPr>
              <w:t>Title</w:t>
            </w:r>
          </w:p>
        </w:tc>
      </w:tr>
      <w:tr>
        <w:tc>
          <w:tcPr>
            <w:tcW w:type="dxa" w:w="2160"/>
          </w:tcPr>
          <w:p>
            <w:r>
              <w:t>0-LST-0001</w:t>
            </w:r>
          </w:p>
        </w:tc>
        <w:tc>
          <w:tcPr>
            <w:tcW w:type="dxa" w:w="2160"/>
          </w:tcPr>
          <w:p>
            <w:r>
              <w:t>PM</w:t>
            </w:r>
          </w:p>
        </w:tc>
        <w:tc>
          <w:tcPr>
            <w:tcW w:type="dxa" w:w="2160"/>
          </w:tcPr>
          <w:p>
            <w:r>
              <w:t>2026-03-14</w:t>
            </w:r>
          </w:p>
        </w:tc>
        <w:tc>
          <w:tcPr>
            <w:tcW w:type="dxa" w:w="2160"/>
          </w:tcPr>
          <w:p>
            <w:r>
              <w:t>Document Register</w:t>
            </w:r>
          </w:p>
        </w:tc>
      </w:tr>
      <w:tr>
        <w:tc>
          <w:tcPr>
            <w:tcW w:type="dxa" w:w="2160"/>
          </w:tcPr>
          <w:p>
            <w:r>
              <w:t>0-PRC-2003</w:t>
            </w:r>
          </w:p>
        </w:tc>
        <w:tc>
          <w:tcPr>
            <w:tcW w:type="dxa" w:w="2160"/>
          </w:tcPr>
          <w:p>
            <w:r>
              <w:t>PM</w:t>
            </w:r>
          </w:p>
        </w:tc>
        <w:tc>
          <w:tcPr>
            <w:tcW w:type="dxa" w:w="2160"/>
          </w:tcPr>
          <w:p>
            <w:r>
              <w:t>2026-03-28</w:t>
            </w:r>
          </w:p>
        </w:tc>
        <w:tc>
          <w:tcPr>
            <w:tcW w:type="dxa" w:w="2160"/>
          </w:tcPr>
          <w:p>
            <w:r>
              <w:t>Project Execution Plan</w:t>
            </w:r>
          </w:p>
        </w:tc>
      </w:tr>
      <w:tr>
        <w:tc>
          <w:tcPr>
            <w:tcW w:type="dxa" w:w="2160"/>
          </w:tcPr>
          <w:p>
            <w:r>
              <w:t>0-DAT-3001.0</w:t>
            </w:r>
          </w:p>
        </w:tc>
        <w:tc>
          <w:tcPr>
            <w:tcW w:type="dxa" w:w="2160"/>
          </w:tcPr>
          <w:p>
            <w:r>
              <w:t>PM</w:t>
            </w:r>
          </w:p>
        </w:tc>
        <w:tc>
          <w:tcPr>
            <w:tcW w:type="dxa" w:w="2160"/>
          </w:tcPr>
          <w:p>
            <w:r>
              <w:t>2026-03-28</w:t>
            </w:r>
          </w:p>
        </w:tc>
        <w:tc>
          <w:tcPr>
            <w:tcW w:type="dxa" w:w="2160"/>
          </w:tcPr>
          <w:p>
            <w:r>
              <w:t>Project Schedule</w:t>
            </w:r>
          </w:p>
        </w:tc>
      </w:tr>
      <w:tr>
        <w:tc>
          <w:tcPr>
            <w:tcW w:type="dxa" w:w="2160"/>
          </w:tcPr>
          <w:p>
            <w:r>
              <w:t>1-PRC-0001</w:t>
            </w:r>
          </w:p>
        </w:tc>
        <w:tc>
          <w:tcPr>
            <w:tcW w:type="dxa" w:w="2160"/>
          </w:tcPr>
          <w:p>
            <w:r>
              <w:t>Process Engineer</w:t>
            </w:r>
          </w:p>
        </w:tc>
        <w:tc>
          <w:tcPr>
            <w:tcW w:type="dxa" w:w="2160"/>
          </w:tcPr>
          <w:p>
            <w:r>
              <w:t>2026-06-20</w:t>
            </w:r>
          </w:p>
        </w:tc>
        <w:tc>
          <w:tcPr>
            <w:tcW w:type="dxa" w:w="2160"/>
          </w:tcPr>
          <w:p>
            <w:r>
              <w:t>Process Design Criteria</w:t>
            </w:r>
          </w:p>
        </w:tc>
      </w:tr>
      <w:tr>
        <w:tc>
          <w:tcPr>
            <w:tcW w:type="dxa" w:w="2160"/>
          </w:tcPr>
          <w:p>
            <w:r>
              <w:t>1-CAL-XXXX</w:t>
            </w:r>
          </w:p>
        </w:tc>
        <w:tc>
          <w:tcPr>
            <w:tcW w:type="dxa" w:w="2160"/>
          </w:tcPr>
          <w:p>
            <w:r>
              <w:t>Process Engineer</w:t>
            </w:r>
          </w:p>
        </w:tc>
        <w:tc>
          <w:tcPr>
            <w:tcW w:type="dxa" w:w="2160"/>
          </w:tcPr>
          <w:p>
            <w:r>
              <w:t>2026-05-09</w:t>
            </w:r>
          </w:p>
        </w:tc>
        <w:tc>
          <w:tcPr>
            <w:tcW w:type="dxa" w:w="2160"/>
          </w:tcPr>
          <w:p>
            <w:r>
              <w:t>Process Calculations</w:t>
            </w:r>
          </w:p>
        </w:tc>
      </w:tr>
      <w:tr>
        <w:tc>
          <w:tcPr>
            <w:tcW w:type="dxa" w:w="2160"/>
          </w:tcPr>
          <w:p>
            <w:r>
              <w:t>4-PRC-0007</w:t>
            </w:r>
          </w:p>
        </w:tc>
        <w:tc>
          <w:tcPr>
            <w:tcW w:type="dxa" w:w="2160"/>
          </w:tcPr>
          <w:p>
            <w:r>
              <w:t>Mechanical Engineer</w:t>
            </w:r>
          </w:p>
        </w:tc>
        <w:tc>
          <w:tcPr>
            <w:tcW w:type="dxa" w:w="2160"/>
          </w:tcPr>
          <w:p>
            <w:r>
              <w:t>2026-04-25</w:t>
            </w:r>
          </w:p>
        </w:tc>
        <w:tc>
          <w:tcPr>
            <w:tcW w:type="dxa" w:w="2160"/>
          </w:tcPr>
          <w:p>
            <w:r>
              <w:t>Pump Calculation Procedure</w:t>
            </w:r>
          </w:p>
        </w:tc>
      </w:tr>
      <w:tr>
        <w:tc>
          <w:tcPr>
            <w:tcW w:type="dxa" w:w="2160"/>
          </w:tcPr>
          <w:p>
            <w:r>
              <w:t>4-CAL-0001</w:t>
            </w:r>
          </w:p>
        </w:tc>
        <w:tc>
          <w:tcPr>
            <w:tcW w:type="dxa" w:w="2160"/>
          </w:tcPr>
          <w:p>
            <w:r>
              <w:t>Mechanical Engineer</w:t>
            </w:r>
          </w:p>
        </w:tc>
        <w:tc>
          <w:tcPr>
            <w:tcW w:type="dxa" w:w="2160"/>
          </w:tcPr>
          <w:p>
            <w:r>
              <w:t>2026-07-11</w:t>
            </w:r>
          </w:p>
        </w:tc>
        <w:tc>
          <w:tcPr>
            <w:tcW w:type="dxa" w:w="2160"/>
          </w:tcPr>
          <w:p>
            <w:r>
              <w:t>Pump Calculations</w:t>
            </w:r>
          </w:p>
        </w:tc>
      </w:tr>
      <w:tr>
        <w:tc>
          <w:tcPr>
            <w:tcW w:type="dxa" w:w="2160"/>
          </w:tcPr>
          <w:p>
            <w:r>
              <w:t>4-DST-XXXX</w:t>
            </w:r>
          </w:p>
        </w:tc>
        <w:tc>
          <w:tcPr>
            <w:tcW w:type="dxa" w:w="2160"/>
          </w:tcPr>
          <w:p>
            <w:r>
              <w:t>Mechanical Engineer</w:t>
            </w:r>
          </w:p>
        </w:tc>
        <w:tc>
          <w:tcPr>
            <w:tcW w:type="dxa" w:w="2160"/>
          </w:tcPr>
          <w:p>
            <w:r>
              <w:t>2026-06-06</w:t>
            </w:r>
          </w:p>
        </w:tc>
        <w:tc>
          <w:tcPr>
            <w:tcW w:type="dxa" w:w="2160"/>
          </w:tcPr>
          <w:p>
            <w:r>
              <w:t>Pump Data Sheets</w:t>
            </w:r>
          </w:p>
        </w:tc>
      </w:tr>
      <w:tr>
        <w:tc>
          <w:tcPr>
            <w:tcW w:type="dxa" w:w="2160"/>
          </w:tcPr>
          <w:p>
            <w:r>
              <w:t>4-SPC-0002</w:t>
            </w:r>
          </w:p>
        </w:tc>
        <w:tc>
          <w:tcPr>
            <w:tcW w:type="dxa" w:w="2160"/>
          </w:tcPr>
          <w:p>
            <w:r>
              <w:t>Mechanical Engineer</w:t>
            </w:r>
          </w:p>
        </w:tc>
        <w:tc>
          <w:tcPr>
            <w:tcW w:type="dxa" w:w="2160"/>
          </w:tcPr>
          <w:p>
            <w:r>
              <w:t>2026-07-18</w:t>
            </w:r>
          </w:p>
        </w:tc>
        <w:tc>
          <w:tcPr>
            <w:tcW w:type="dxa" w:w="2160"/>
          </w:tcPr>
          <w:p>
            <w:r>
              <w:t>Horizontal Centrifugal Pumps</w:t>
            </w:r>
          </w:p>
        </w:tc>
      </w:tr>
      <w:tr>
        <w:tc>
          <w:tcPr>
            <w:tcW w:type="dxa" w:w="2160"/>
          </w:tcPr>
          <w:p>
            <w:r>
              <w:t>4-SPC-0001</w:t>
            </w:r>
          </w:p>
        </w:tc>
        <w:tc>
          <w:tcPr>
            <w:tcW w:type="dxa" w:w="2160"/>
          </w:tcPr>
          <w:p>
            <w:r>
              <w:t>Mechanical Engineer</w:t>
            </w:r>
          </w:p>
        </w:tc>
        <w:tc>
          <w:tcPr>
            <w:tcW w:type="dxa" w:w="2160"/>
          </w:tcPr>
          <w:p>
            <w:r>
              <w:t>2026-06-20</w:t>
            </w:r>
          </w:p>
        </w:tc>
        <w:tc>
          <w:tcPr>
            <w:tcW w:type="dxa" w:w="2160"/>
          </w:tcPr>
          <w:p>
            <w:r>
              <w:t>General Equipment Requirements</w:t>
            </w:r>
          </w:p>
        </w:tc>
      </w:tr>
      <w:tr>
        <w:tc>
          <w:tcPr>
            <w:tcW w:type="dxa" w:w="2160"/>
          </w:tcPr>
          <w:p>
            <w:r>
              <w:t>4-TAB-XXXX</w:t>
            </w:r>
          </w:p>
        </w:tc>
        <w:tc>
          <w:tcPr>
            <w:tcW w:type="dxa" w:w="2160"/>
          </w:tcPr>
          <w:p>
            <w:r>
              <w:t>Mechanical Engineer</w:t>
            </w:r>
          </w:p>
        </w:tc>
        <w:tc>
          <w:tcPr>
            <w:tcW w:type="dxa" w:w="2160"/>
          </w:tcPr>
          <w:p>
            <w:r>
              <w:t>2026-07-25</w:t>
            </w:r>
          </w:p>
        </w:tc>
        <w:tc>
          <w:tcPr>
            <w:tcW w:type="dxa" w:w="2160"/>
          </w:tcPr>
          <w:p>
            <w:r>
              <w:t>Equipment Bid Tabulations</w:t>
            </w:r>
          </w:p>
        </w:tc>
      </w:tr>
    </w:tbl>
    <w:p>
      <w:pPr>
        <w:pStyle w:val="Heading2"/>
      </w:pPr>
      <w:r>
        <w:t>8.0 Risk Management</w:t>
      </w:r>
    </w:p>
    <w:p>
      <w:r>
        <w:t>Project risks will be continuously identified, assessed, and mitigated throughout the project lifecycle. A dedicated risk register will be maintained and reviewed regularly.</w:t>
      </w:r>
    </w:p>
    <w:p>
      <w:pPr>
        <w:pStyle w:val="ListBullet"/>
      </w:pPr>
      <w:r>
        <w:t xml:space="preserve">  Current Status: No active risk flags have been identified at the time of this document's issuance.</w:t>
      </w:r>
    </w:p>
    <w:p>
      <w:pPr>
        <w:pStyle w:val="Heading2"/>
      </w:pPr>
      <w:r>
        <w:t>9.0 Quality Management</w:t>
      </w:r>
    </w:p>
    <w:p>
      <w:r>
        <w:t>The project will adhere to the company's Quality Management System (QMS) to ensure all deliverables and processes meet the required standards. This includes quality planning, assurance, and control activities across all project phases.</w:t>
      </w:r>
    </w:p>
    <w:p>
      <w:pPr>
        <w:pStyle w:val="Heading2"/>
      </w:pPr>
      <w:r>
        <w:t>10.0 Procurement and Subcontract Activities</w:t>
      </w:r>
    </w:p>
    <w:p>
      <w:r>
        <w:t>Procurement and subcontracting activities will be managed to ensure timely acquisition of materials, equipment, and services, adhering to project specifications and budget. This section aligns with the Project Management and Engineering (HEADER ONLY) and Procurement &amp; Subcontract Activities (HEADER ONLY) guidelines from 0-LST-4008.</w:t>
      </w:r>
    </w:p>
    <w:p>
      <w:pPr>
        <w:pStyle w:val="Heading3"/>
      </w:pPr>
      <w:r>
        <w:t>10.1 Procurement Strategy</w:t>
      </w:r>
    </w:p>
    <w:p>
      <w:r>
        <w:t>The procurement strategy will focus on identifying qualified vendors, competitive bidding, and robust contract management. This includes:</w:t>
      </w:r>
    </w:p>
    <w:p>
      <w:pPr>
        <w:pStyle w:val="ListBullet"/>
      </w:pPr>
      <w:r>
        <w:t xml:space="preserve">  Project Management: Overall oversight and coordination of all procurement activities.</w:t>
      </w:r>
    </w:p>
    <w:p>
      <w:pPr>
        <w:pStyle w:val="ListBullet"/>
      </w:pPr>
      <w:r>
        <w:t xml:space="preserve">  Process Engineering: Technical review of vendor proposals for process compliance.</w:t>
      </w:r>
    </w:p>
    <w:p>
      <w:pPr>
        <w:pStyle w:val="ListBullet"/>
      </w:pPr>
      <w:r>
        <w:t xml:space="preserve">  Mechanical &amp; Equipment Engineering (Including Material Engineering): Technical review of vendor proposals for mechanical and material compliance, and specification development.</w:t>
      </w:r>
    </w:p>
    <w:p>
      <w:pPr>
        <w:pStyle w:val="ListBullet"/>
      </w:pPr>
      <w:r>
        <w:t xml:space="preserve">  Instrumentation/Control: Technical input and review for instrumentation and control system components.</w:t>
      </w:r>
    </w:p>
    <w:p>
      <w:pPr>
        <w:pStyle w:val="Heading3"/>
      </w:pPr>
      <w:r>
        <w:t>10.2 Subcontracts</w:t>
      </w:r>
    </w:p>
    <w:p>
      <w:r>
        <w:t>Subcontracting will be utilized for specialized services or fabrication as required, managed under the "Subcontracts (HEADER ONLY)" guideline from 0-LST-4008. All subcontracts will be managed in accordance with company policies and project requirements.</w:t>
      </w:r>
    </w:p>
    <w:p>
      <w:pPr>
        <w:pStyle w:val="ListBullet"/>
      </w:pPr>
      <w:r>
        <w:t xml:space="preserve">  Relevant Disciplines: Process Engineering, Mechanical &amp; Equipment Engineering (Including Material Engineering), and Instrumentation/Control will provide technical input and oversight for relevant subcontracted scopes.</w:t>
      </w:r>
    </w:p>
    <w:p>
      <w:pPr>
        <w:pStyle w:val="Heading3"/>
      </w:pPr>
      <w:r>
        <w:t>10.3 Expediting</w:t>
      </w:r>
    </w:p>
    <w:p>
      <w:r>
        <w:t>Expediting activities will be implemented to ensure that critical equipment and materials are delivered on schedule, preventing delays to the project timeline, as per the "Expediting (HEADER ONLY)" guideline from 0-LST-4008.</w:t>
      </w:r>
    </w:p>
    <w:p>
      <w:pPr>
        <w:pStyle w:val="ListBullet"/>
      </w:pPr>
      <w:r>
        <w:t xml:space="preserve">  Expediting Focus Areas:</w:t>
      </w:r>
    </w:p>
    <w:p>
      <w:pPr>
        <w:pStyle w:val="ListBullet"/>
      </w:pPr>
      <w:r>
        <w:t xml:space="preserve">  Process Engineering: Expediting of process-critical components and documentation.</w:t>
      </w:r>
    </w:p>
    <w:p>
      <w:pPr>
        <w:pStyle w:val="ListBullet"/>
      </w:pPr>
      <w:r>
        <w:t xml:space="preserve">  Mechanical &amp; Equipment Engineering (Including Material Engineering): Expediting of the horizontal centrifugal pump and associated mechanical equipment.</w:t>
      </w:r>
    </w:p>
    <w:p>
      <w:pPr>
        <w:pStyle w:val="ListBullet"/>
      </w:pPr>
      <w:r>
        <w:t xml:space="preserve">  Instrumentation/Control: Expediting of instrumentation and control system components.</w:t>
      </w:r>
    </w:p>
    <w:p>
      <w:pPr>
        <w:pStyle w:val="Heading2"/>
      </w:pPr>
      <w:r>
        <w:t>11.0 Health, Safety, and Environment (HSE)</w:t>
      </w:r>
    </w:p>
    <w:p>
      <w:r>
        <w:t>HSE is paramount for this project. All activities will be conducted in strict compliance with applicable HSE regulations, client requirements, and company policies. A project-specific HSE plan will be developed and implemented to ensure a safe working environment and minimize environmental impact.</w:t>
      </w:r>
    </w:p>
    <w:p>
      <w:pPr>
        <w:pStyle w:val="Heading2"/>
      </w:pPr>
      <w:r>
        <w:t>12.0 Project Closeout</w:t>
      </w:r>
    </w:p>
    <w:p>
      <w:r>
        <w:t>Project closeout activities will commence upon mechanical completion and commissioning. This phase will include final documentation handover, financial closeout, contract closure, and a lessons learned review to capture insights for future projects.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