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1170"/>
        <w:gridCol w:w="3330"/>
        <w:gridCol w:w="1710"/>
        <w:gridCol w:w="1710"/>
        <w:gridCol w:w="1620"/>
        <w:tblGridChange w:id="0">
          <w:tblGrid>
            <w:gridCol w:w="540"/>
            <w:gridCol w:w="1170"/>
            <w:gridCol w:w="3330"/>
            <w:gridCol w:w="1710"/>
            <w:gridCol w:w="1710"/>
            <w:gridCol w:w="1620"/>
          </w:tblGrid>
        </w:tblGridChange>
      </w:tblGrid>
      <w:tr>
        <w:trPr>
          <w:cantSplit w:val="0"/>
          <w:tblHeader w:val="0"/>
        </w:trPr>
        <w:tc>
          <w:tcPr>
            <w:tcBorders>
              <w:top w:color="000000" w:space="0" w:sz="0" w:val="nil"/>
              <w:left w:color="000000" w:space="0" w:sz="4" w:val="single"/>
              <w:bottom w:color="000000" w:space="0" w:sz="4" w:val="single"/>
            </w:tcBorders>
            <w:vAlign w:val="top"/>
          </w:tcPr>
          <w:p w:rsidR="00000000" w:rsidDel="00000000" w:rsidP="00000000" w:rsidRDefault="00000000" w:rsidRPr="00000000" w14:paraId="00000002">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Rev:</w:t>
            </w:r>
          </w:p>
        </w:tc>
        <w:tc>
          <w:tcPr>
            <w:tcBorders>
              <w:top w:color="000000" w:space="0" w:sz="0" w:val="nil"/>
              <w:bottom w:color="000000" w:space="0" w:sz="4" w:val="single"/>
            </w:tcBorders>
            <w:vAlign w:val="top"/>
          </w:tcPr>
          <w:p w:rsidR="00000000" w:rsidDel="00000000" w:rsidP="00000000" w:rsidRDefault="00000000" w:rsidRPr="00000000" w14:paraId="00000003">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Date:</w:t>
            </w:r>
          </w:p>
        </w:tc>
        <w:tc>
          <w:tcPr>
            <w:tcBorders>
              <w:top w:color="000000" w:space="0" w:sz="0" w:val="nil"/>
              <w:bottom w:color="000000" w:space="0" w:sz="4" w:val="single"/>
            </w:tcBorders>
            <w:vAlign w:val="top"/>
          </w:tcPr>
          <w:p w:rsidR="00000000" w:rsidDel="00000000" w:rsidP="00000000" w:rsidRDefault="00000000" w:rsidRPr="00000000" w14:paraId="00000004">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Status:</w:t>
            </w:r>
          </w:p>
        </w:tc>
        <w:tc>
          <w:tcPr>
            <w:tcBorders>
              <w:top w:color="000000" w:space="0" w:sz="0" w:val="nil"/>
              <w:bottom w:color="000000" w:space="0" w:sz="4" w:val="single"/>
            </w:tcBorders>
            <w:vAlign w:val="top"/>
          </w:tcPr>
          <w:p w:rsidR="00000000" w:rsidDel="00000000" w:rsidP="00000000" w:rsidRDefault="00000000" w:rsidRPr="00000000" w14:paraId="00000005">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Prepared By:</w:t>
            </w:r>
          </w:p>
        </w:tc>
        <w:tc>
          <w:tcPr>
            <w:tcBorders>
              <w:top w:color="000000" w:space="0" w:sz="0" w:val="nil"/>
              <w:bottom w:color="000000" w:space="0" w:sz="4" w:val="single"/>
            </w:tcBorders>
            <w:vAlign w:val="top"/>
          </w:tcPr>
          <w:p w:rsidR="00000000" w:rsidDel="00000000" w:rsidP="00000000" w:rsidRDefault="00000000" w:rsidRPr="00000000" w14:paraId="00000006">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Checked By:</w:t>
            </w:r>
          </w:p>
        </w:tc>
        <w:tc>
          <w:tcPr>
            <w:tcBorders>
              <w:top w:color="000000" w:space="0" w:sz="0" w:val="nil"/>
              <w:bottom w:color="000000" w:space="0" w:sz="4" w:val="single"/>
              <w:right w:color="000000" w:space="0" w:sz="4" w:val="single"/>
            </w:tcBorders>
            <w:vAlign w:val="top"/>
          </w:tcPr>
          <w:p w:rsidR="00000000" w:rsidDel="00000000" w:rsidP="00000000" w:rsidRDefault="00000000" w:rsidRPr="00000000" w14:paraId="00000007">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Approved By:</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8">
            <w:pPr>
              <w:tabs>
                <w:tab w:val="left" w:leader="none" w:pos="2754"/>
              </w:tabs>
              <w:spacing w:before="20" w:lineRule="auto"/>
              <w:ind w:left="0" w:right="0" w:firstLine="0"/>
              <w:jc w:val="center"/>
              <w:rPr>
                <w:sz w:val="20"/>
                <w:szCs w:val="20"/>
                <w:vertAlign w:val="baseline"/>
              </w:rPr>
            </w:pPr>
            <w:r w:rsidDel="00000000" w:rsidR="00000000" w:rsidRPr="00000000">
              <w:rPr>
                <w:sz w:val="20"/>
                <w:szCs w:val="20"/>
                <w:vertAlign w:val="baseline"/>
                <w:rtl w:val="0"/>
              </w:rPr>
              <w:t xml:space="preserve">1</w:t>
            </w:r>
          </w:p>
        </w:tc>
        <w:tc>
          <w:tcPr>
            <w:tcBorders>
              <w:top w:color="000000" w:space="0" w:sz="4" w:val="single"/>
              <w:bottom w:color="000000" w:space="0" w:sz="4" w:val="single"/>
            </w:tcBorders>
            <w:vAlign w:val="top"/>
          </w:tcPr>
          <w:p w:rsidR="00000000" w:rsidDel="00000000" w:rsidP="00000000" w:rsidRDefault="00000000" w:rsidRPr="00000000" w14:paraId="00000009">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A">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B">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C">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0D">
            <w:pPr>
              <w:tabs>
                <w:tab w:val="left" w:leader="none" w:pos="2754"/>
              </w:tabs>
              <w:spacing w:before="20" w:lineRule="auto"/>
              <w:ind w:left="0" w:right="-144" w:firstLine="0"/>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E">
            <w:pPr>
              <w:tabs>
                <w:tab w:val="left" w:leader="none" w:pos="2754"/>
              </w:tabs>
              <w:spacing w:before="20" w:lineRule="auto"/>
              <w:ind w:left="0" w:right="0" w:firstLine="0"/>
              <w:jc w:val="center"/>
              <w:rPr>
                <w:sz w:val="20"/>
                <w:szCs w:val="20"/>
                <w:vertAlign w:val="baseline"/>
              </w:rPr>
            </w:pPr>
            <w:r w:rsidDel="00000000" w:rsidR="00000000" w:rsidRPr="00000000">
              <w:rPr>
                <w:sz w:val="20"/>
                <w:szCs w:val="20"/>
                <w:vertAlign w:val="baseline"/>
                <w:rtl w:val="0"/>
              </w:rPr>
              <w:t xml:space="preserve">0</w:t>
            </w:r>
          </w:p>
        </w:tc>
        <w:tc>
          <w:tcPr>
            <w:tcBorders>
              <w:top w:color="000000" w:space="0" w:sz="4" w:val="single"/>
              <w:bottom w:color="000000" w:space="0" w:sz="4" w:val="single"/>
            </w:tcBorders>
            <w:vAlign w:val="top"/>
          </w:tcPr>
          <w:p w:rsidR="00000000" w:rsidDel="00000000" w:rsidP="00000000" w:rsidRDefault="00000000" w:rsidRPr="00000000" w14:paraId="0000000F">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0">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1">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2">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3">
            <w:pPr>
              <w:tabs>
                <w:tab w:val="left" w:leader="none" w:pos="2754"/>
              </w:tabs>
              <w:spacing w:before="20" w:lineRule="auto"/>
              <w:ind w:left="0" w:right="-144" w:firstLine="0"/>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4">
            <w:pPr>
              <w:tabs>
                <w:tab w:val="left" w:leader="none" w:pos="2754"/>
              </w:tabs>
              <w:spacing w:before="20" w:lineRule="auto"/>
              <w:ind w:left="0" w:right="0" w:firstLine="0"/>
              <w:jc w:val="center"/>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5">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6">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7">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8">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left" w:leader="none" w:pos="2754"/>
              </w:tabs>
              <w:spacing w:before="20" w:lineRule="auto"/>
              <w:ind w:left="0" w:right="-144" w:firstLine="0"/>
              <w:rPr>
                <w:sz w:val="20"/>
                <w:szCs w:val="20"/>
                <w:vertAlign w:val="baseline"/>
              </w:rPr>
            </w:pPr>
            <w:r w:rsidDel="00000000" w:rsidR="00000000" w:rsidRPr="00000000">
              <w:rPr>
                <w:rtl w:val="0"/>
              </w:rPr>
            </w:r>
          </w:p>
        </w:tc>
      </w:tr>
    </w:tbl>
    <w:p w:rsidR="00000000" w:rsidDel="00000000" w:rsidP="00000000" w:rsidRDefault="00000000" w:rsidRPr="00000000" w14:paraId="0000001A">
      <w:pPr>
        <w:tabs>
          <w:tab w:val="left" w:leader="none" w:pos="2754"/>
        </w:tabs>
        <w:ind w:left="0" w:firstLine="0"/>
        <w:rPr>
          <w:sz w:val="2"/>
          <w:szCs w:val="2"/>
          <w:vertAlign w:val="baseline"/>
        </w:rPr>
      </w:pPr>
      <w:r w:rsidDel="00000000" w:rsidR="00000000" w:rsidRPr="00000000">
        <w:rPr>
          <w:rtl w:val="0"/>
        </w:rPr>
      </w:r>
    </w:p>
    <w:p w:rsidR="00000000" w:rsidDel="00000000" w:rsidP="00000000" w:rsidRDefault="00000000" w:rsidRPr="00000000" w14:paraId="0000001B">
      <w:pPr>
        <w:tabs>
          <w:tab w:val="left" w:leader="none" w:pos="2754"/>
        </w:tabs>
        <w:ind w:left="0" w:firstLine="0"/>
        <w:rPr>
          <w:sz w:val="16"/>
          <w:szCs w:val="16"/>
          <w:vertAlign w:val="baseline"/>
        </w:rPr>
      </w:pPr>
      <w:r w:rsidDel="00000000" w:rsidR="00000000" w:rsidRPr="00000000">
        <w:rPr>
          <w:rtl w:val="0"/>
        </w:rPr>
      </w:r>
    </w:p>
    <w:p w:rsidR="00000000" w:rsidDel="00000000" w:rsidP="00000000" w:rsidRDefault="00000000" w:rsidRPr="00000000" w14:paraId="0000001C">
      <w:pPr>
        <w:pStyle w:val="Heading1"/>
        <w:numPr>
          <w:ilvl w:val="0"/>
          <w:numId w:val="2"/>
        </w:numPr>
        <w:tabs>
          <w:tab w:val="left" w:leader="none" w:pos="2754"/>
        </w:tabs>
        <w:ind w:left="720" w:hanging="720"/>
        <w:rPr>
          <w:vertAlign w:val="baseline"/>
        </w:rPr>
      </w:pPr>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1D">
      <w:pPr>
        <w:tabs>
          <w:tab w:val="left" w:leader="none" w:pos="2754"/>
        </w:tabs>
        <w:ind w:firstLine="720"/>
        <w:rPr>
          <w:vertAlign w:val="baseline"/>
        </w:rPr>
      </w:pPr>
      <w:r w:rsidDel="00000000" w:rsidR="00000000" w:rsidRPr="00000000">
        <w:rPr>
          <w:vertAlign w:val="baseline"/>
          <w:rtl w:val="0"/>
        </w:rPr>
        <w:t xml:space="preserve">This specification defines the general requirements for the design, fabrication and supply of horizontal centrifugal pumps </w:t>
      </w:r>
    </w:p>
    <w:p w:rsidR="00000000" w:rsidDel="00000000" w:rsidP="00000000" w:rsidRDefault="00000000" w:rsidRPr="00000000" w14:paraId="0000001E">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1F">
      <w:pPr>
        <w:pStyle w:val="Heading1"/>
        <w:numPr>
          <w:ilvl w:val="0"/>
          <w:numId w:val="2"/>
        </w:numPr>
        <w:tabs>
          <w:tab w:val="left" w:leader="none" w:pos="2754"/>
        </w:tabs>
        <w:ind w:left="720" w:hanging="720"/>
        <w:rPr>
          <w:vertAlign w:val="baseline"/>
        </w:rPr>
      </w:pPr>
      <w:bookmarkStart w:colFirst="0" w:colLast="0" w:name="_heading=h.xadx3y1e8ynm" w:id="0"/>
      <w:bookmarkEnd w:id="0"/>
      <w:r w:rsidDel="00000000" w:rsidR="00000000" w:rsidRPr="00000000">
        <w:rPr>
          <w:b w:val="1"/>
          <w:bCs w:val="1"/>
          <w:vertAlign w:val="baseline"/>
          <w:rtl w:val="0"/>
        </w:rPr>
        <w:t xml:space="preserve">Scope</w:t>
      </w:r>
      <w:r w:rsidDel="00000000" w:rsidR="00000000" w:rsidRPr="00000000">
        <w:rPr>
          <w:rtl w:val="0"/>
        </w:rPr>
      </w:r>
    </w:p>
    <w:p w:rsidR="00000000" w:rsidDel="00000000" w:rsidP="00000000" w:rsidRDefault="00000000" w:rsidRPr="00000000" w14:paraId="00000020">
      <w:pPr>
        <w:tabs>
          <w:tab w:val="left" w:leader="none" w:pos="2754"/>
        </w:tabs>
        <w:ind w:firstLine="720"/>
        <w:rPr>
          <w:vertAlign w:val="baseline"/>
        </w:rPr>
      </w:pPr>
      <w:r w:rsidDel="00000000" w:rsidR="00000000" w:rsidRPr="00000000">
        <w:rPr>
          <w:vertAlign w:val="baseline"/>
          <w:rtl w:val="0"/>
        </w:rPr>
        <w:t xml:space="preserve">The Vendor will supply the equipment fully assembled with all items required for a complete functional unit including the following major components: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Pump wet end and power end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Mechanical seal complete with seal guard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coupling complete with coupling guard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Baseplate</w:t>
      </w:r>
    </w:p>
    <w:p w:rsidR="00000000" w:rsidDel="00000000" w:rsidP="00000000" w:rsidRDefault="00000000" w:rsidRPr="00000000" w14:paraId="00000026">
      <w:pPr>
        <w:tabs>
          <w:tab w:val="left" w:leader="none" w:pos="2754"/>
        </w:tabs>
        <w:ind w:left="0" w:firstLine="0"/>
        <w:rPr>
          <w:vertAlign w:val="baseline"/>
        </w:rPr>
      </w:pPr>
      <w:r w:rsidDel="00000000" w:rsidR="00000000" w:rsidRPr="00000000">
        <w:rPr>
          <w:rtl w:val="0"/>
        </w:rPr>
      </w:r>
    </w:p>
    <w:p w:rsidR="00000000" w:rsidDel="00000000" w:rsidP="00000000" w:rsidRDefault="00000000" w:rsidRPr="00000000" w14:paraId="00000027">
      <w:pPr>
        <w:pStyle w:val="Heading1"/>
        <w:numPr>
          <w:ilvl w:val="0"/>
          <w:numId w:val="2"/>
        </w:numPr>
        <w:tabs>
          <w:tab w:val="left" w:leader="none" w:pos="2754"/>
        </w:tabs>
        <w:ind w:left="720" w:hanging="720"/>
        <w:rPr>
          <w:vertAlign w:val="baseline"/>
        </w:rPr>
      </w:pPr>
      <w:r w:rsidDel="00000000" w:rsidR="00000000" w:rsidRPr="00000000">
        <w:rPr>
          <w:b w:val="1"/>
          <w:bCs w:val="1"/>
          <w:vertAlign w:val="baseline"/>
          <w:rtl w:val="0"/>
        </w:rPr>
        <w:t xml:space="preserve">Process Requirements</w:t>
      </w:r>
      <w:r w:rsidDel="00000000" w:rsidR="00000000" w:rsidRPr="00000000">
        <w:rPr>
          <w:rtl w:val="0"/>
        </w:rPr>
      </w:r>
    </w:p>
    <w:p w:rsidR="00000000" w:rsidDel="00000000" w:rsidP="00000000" w:rsidRDefault="00000000" w:rsidRPr="00000000" w14:paraId="00000028">
      <w:pPr>
        <w:tabs>
          <w:tab w:val="left" w:leader="none" w:pos="2754"/>
        </w:tabs>
        <w:ind w:firstLine="720"/>
        <w:rPr>
          <w:vertAlign w:val="baseline"/>
        </w:rPr>
      </w:pPr>
      <w:r w:rsidDel="00000000" w:rsidR="00000000" w:rsidRPr="00000000">
        <w:rPr>
          <w:vertAlign w:val="baseline"/>
          <w:rtl w:val="0"/>
        </w:rPr>
        <w:t xml:space="preserve">The pumps will meet the process requirements as detailed in the individual Pump Data Sheets.  If a Pump Data Sheet states a flow rate value + ‘Vendor Minimum Continuous Flow’ (MCF) the Vendor will state their recommended MCF rate for the pump they are selecting, and add this MCF to the flow rate value given on the Data Sheet.  For example, if the Pump Data Sheet states a 10 m3/h + ‘Vendor Minimum Continuous Flow’, and the recommended MCF rate for the pump being selected is 1 m3/h, then the duty point will become 11 m3/h.</w:t>
      </w:r>
    </w:p>
    <w:p w:rsidR="00000000" w:rsidDel="00000000" w:rsidP="00000000" w:rsidRDefault="00000000" w:rsidRPr="00000000" w14:paraId="00000029">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2A">
      <w:pPr>
        <w:tabs>
          <w:tab w:val="left" w:leader="none" w:pos="2754"/>
        </w:tabs>
        <w:ind w:firstLine="720"/>
        <w:rPr>
          <w:vertAlign w:val="baseline"/>
        </w:rPr>
      </w:pPr>
      <w:r w:rsidDel="00000000" w:rsidR="00000000" w:rsidRPr="00000000">
        <w:rPr>
          <w:vertAlign w:val="baseline"/>
          <w:rtl w:val="0"/>
        </w:rPr>
        <w:t xml:space="preserve">The pumps will have stable head/capacity curves that continuously rise to shut-off.</w:t>
      </w:r>
    </w:p>
    <w:p w:rsidR="00000000" w:rsidDel="00000000" w:rsidP="00000000" w:rsidRDefault="00000000" w:rsidRPr="00000000" w14:paraId="0000002B">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2C">
      <w:pPr>
        <w:tabs>
          <w:tab w:val="left" w:leader="none" w:pos="2754"/>
        </w:tabs>
        <w:ind w:firstLine="720"/>
        <w:rPr>
          <w:vertAlign w:val="baseline"/>
        </w:rPr>
      </w:pPr>
      <w:r w:rsidDel="00000000" w:rsidR="00000000" w:rsidRPr="00000000">
        <w:rPr>
          <w:vertAlign w:val="baseline"/>
          <w:rtl w:val="0"/>
        </w:rPr>
        <w:t xml:space="preserve">The pumps will not have a design duty point that is to the right of the head/capacity curve Best Efficiency Point unless approved by Aker Kvaerner Chemetics.</w:t>
      </w:r>
    </w:p>
    <w:p w:rsidR="00000000" w:rsidDel="00000000" w:rsidP="00000000" w:rsidRDefault="00000000" w:rsidRPr="00000000" w14:paraId="0000002D">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2E">
      <w:pPr>
        <w:pStyle w:val="Heading1"/>
        <w:numPr>
          <w:ilvl w:val="0"/>
          <w:numId w:val="2"/>
        </w:numPr>
        <w:tabs>
          <w:tab w:val="left" w:leader="none" w:pos="2754"/>
        </w:tabs>
        <w:ind w:left="720" w:hanging="720"/>
        <w:rPr>
          <w:vertAlign w:val="baseline"/>
        </w:rPr>
      </w:pPr>
      <w:r w:rsidDel="00000000" w:rsidR="00000000" w:rsidRPr="00000000">
        <w:rPr>
          <w:b w:val="1"/>
          <w:bCs w:val="1"/>
          <w:vertAlign w:val="baseline"/>
          <w:rtl w:val="0"/>
        </w:rPr>
        <w:t xml:space="preserve">Mechanical Requirements</w:t>
      </w:r>
      <w:r w:rsidDel="00000000" w:rsidR="00000000" w:rsidRPr="00000000">
        <w:rPr>
          <w:rtl w:val="0"/>
        </w:rPr>
      </w:r>
    </w:p>
    <w:p w:rsidR="00000000" w:rsidDel="00000000" w:rsidP="00000000" w:rsidRDefault="00000000" w:rsidRPr="00000000" w14:paraId="0000002F">
      <w:pPr>
        <w:tabs>
          <w:tab w:val="left" w:leader="none" w:pos="2754"/>
        </w:tabs>
        <w:ind w:firstLine="720"/>
        <w:rPr>
          <w:vertAlign w:val="baseline"/>
        </w:rPr>
      </w:pPr>
      <w:r w:rsidDel="00000000" w:rsidR="00000000" w:rsidRPr="00000000">
        <w:rPr>
          <w:vertAlign w:val="baseline"/>
          <w:rtl w:val="0"/>
        </w:rPr>
        <w:t xml:space="preserve">The pumps will be designed in accordance with [ASME B73.1: Specification for Horizontal End Suction Centrifugal Pump for Chemical Process].</w:t>
      </w:r>
    </w:p>
    <w:p w:rsidR="00000000" w:rsidDel="00000000" w:rsidP="00000000" w:rsidRDefault="00000000" w:rsidRPr="00000000" w14:paraId="00000030">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1">
      <w:pPr>
        <w:tabs>
          <w:tab w:val="left" w:leader="none" w:pos="2754"/>
        </w:tabs>
        <w:ind w:firstLine="720"/>
        <w:rPr>
          <w:vertAlign w:val="baseline"/>
        </w:rPr>
      </w:pPr>
      <w:r w:rsidDel="00000000" w:rsidR="00000000" w:rsidRPr="00000000">
        <w:rPr>
          <w:vertAlign w:val="baseline"/>
          <w:rtl w:val="0"/>
        </w:rPr>
        <w:t xml:space="preserve">The Equipment will be dynamically balanced in accordance with ISO1940: Mechanical vibration - Balance quality requirements of rigid rotors - grade [G6.3].</w:t>
      </w:r>
    </w:p>
    <w:p w:rsidR="00000000" w:rsidDel="00000000" w:rsidP="00000000" w:rsidRDefault="00000000" w:rsidRPr="00000000" w14:paraId="00000032">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3">
      <w:pPr>
        <w:tabs>
          <w:tab w:val="left" w:leader="none" w:pos="2754"/>
        </w:tabs>
        <w:ind w:firstLine="720"/>
        <w:rPr>
          <w:vertAlign w:val="baseline"/>
        </w:rPr>
      </w:pPr>
      <w:r w:rsidDel="00000000" w:rsidR="00000000" w:rsidRPr="00000000">
        <w:rPr>
          <w:vertAlign w:val="baseline"/>
          <w:rtl w:val="0"/>
        </w:rPr>
        <w:t xml:space="preserve">The Vendor will provide the estimated noise level of the pumps.</w:t>
      </w:r>
    </w:p>
    <w:p w:rsidR="00000000" w:rsidDel="00000000" w:rsidP="00000000" w:rsidRDefault="00000000" w:rsidRPr="00000000" w14:paraId="00000034">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selected impeller diameter will neither be greater than 90% of the maximum size available for the selected pump casing nor less than 110% of the minimum size without approval from Aker Kvaerner Chemetics.  Once a pump casing has been selected, the Vendor will proceed with the maximum size impeller for the casing, and will not trim the impeller until after the final size is confirmed by Aker Kvaerner Chemetics, in writing.</w:t>
      </w:r>
    </w:p>
    <w:p w:rsidR="00000000" w:rsidDel="00000000" w:rsidP="00000000" w:rsidRDefault="00000000" w:rsidRPr="00000000" w14:paraId="00000036">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maximum operating speed will be less than the synchronous speed of a two-pole motor.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tabs>
          <w:tab w:val="left" w:leader="none" w:pos="2754"/>
        </w:tabs>
        <w:ind w:firstLine="720"/>
        <w:rPr>
          <w:vertAlign w:val="baseline"/>
        </w:rPr>
      </w:pPr>
      <w:r w:rsidDel="00000000" w:rsidR="00000000" w:rsidRPr="00000000">
        <w:rPr>
          <w:vertAlign w:val="baseline"/>
          <w:rtl w:val="0"/>
        </w:rPr>
        <w:t xml:space="preserve">The pump suction and discharge connections will be flat faced flanged and will match the [DIN PN10] standard.  A casing drain will be provided with [an NPT] plug.  The seal fluid connection will be provided with a temporary [NPT] plug.</w:t>
      </w:r>
    </w:p>
    <w:p w:rsidR="00000000" w:rsidDel="00000000" w:rsidP="00000000" w:rsidRDefault="00000000" w:rsidRPr="00000000" w14:paraId="0000003A">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B">
      <w:pPr>
        <w:tabs>
          <w:tab w:val="left" w:leader="none" w:pos="2754"/>
        </w:tabs>
        <w:ind w:firstLine="720"/>
        <w:rPr>
          <w:vertAlign w:val="baseline"/>
        </w:rPr>
      </w:pPr>
      <w:r w:rsidDel="00000000" w:rsidR="00000000" w:rsidRPr="00000000">
        <w:rPr>
          <w:vertAlign w:val="baseline"/>
          <w:rtl w:val="0"/>
        </w:rPr>
        <w:t xml:space="preserve">Baseplates and couplings will be large enough to accept motors one size larger than the size selected.  Spacer blocks will be provided to allow installation of the larger motor without affecting pump process connections.  Baseplates will be [polymer concrete].</w:t>
      </w:r>
    </w:p>
    <w:p w:rsidR="00000000" w:rsidDel="00000000" w:rsidP="00000000" w:rsidRDefault="00000000" w:rsidRPr="00000000" w14:paraId="0000003C">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D">
      <w:pPr>
        <w:tabs>
          <w:tab w:val="left" w:leader="none" w:pos="2754"/>
        </w:tabs>
        <w:ind w:firstLine="720"/>
        <w:rPr>
          <w:vertAlign w:val="baseline"/>
        </w:rPr>
      </w:pPr>
      <w:r w:rsidDel="00000000" w:rsidR="00000000" w:rsidRPr="00000000">
        <w:rPr>
          <w:vertAlign w:val="baseline"/>
          <w:rtl w:val="0"/>
        </w:rPr>
        <w:t xml:space="preserve">Impellers will be semi-open unless noted otherwise on the individual Pump Data Sheets</w:t>
      </w:r>
    </w:p>
    <w:p w:rsidR="00000000" w:rsidDel="00000000" w:rsidP="00000000" w:rsidRDefault="00000000" w:rsidRPr="00000000" w14:paraId="0000003E">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F">
      <w:pPr>
        <w:tabs>
          <w:tab w:val="left" w:leader="none" w:pos="2754"/>
        </w:tabs>
        <w:ind w:firstLine="720"/>
        <w:rPr>
          <w:vertAlign w:val="baseline"/>
        </w:rPr>
      </w:pPr>
      <w:r w:rsidDel="00000000" w:rsidR="00000000" w:rsidRPr="00000000">
        <w:rPr>
          <w:vertAlign w:val="baseline"/>
          <w:rtl w:val="0"/>
        </w:rPr>
        <w:t xml:space="preserve">The pump seal chamber bores will be enlarged and tapered.</w:t>
      </w:r>
    </w:p>
    <w:p w:rsidR="00000000" w:rsidDel="00000000" w:rsidP="00000000" w:rsidRDefault="00000000" w:rsidRPr="00000000" w14:paraId="00000040">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41">
      <w:pPr>
        <w:tabs>
          <w:tab w:val="left" w:leader="none" w:pos="2754"/>
        </w:tabs>
        <w:ind w:firstLine="720"/>
        <w:rPr>
          <w:vertAlign w:val="baseline"/>
        </w:rPr>
      </w:pPr>
      <w:r w:rsidDel="00000000" w:rsidR="00000000" w:rsidRPr="00000000">
        <w:rPr>
          <w:vertAlign w:val="baseline"/>
          <w:rtl w:val="0"/>
        </w:rPr>
        <w:t xml:space="preserve">[Others] will supply the seal fluid control systems.  The Vendor will specify the seal fluid pressure and flow requirements.</w:t>
      </w:r>
    </w:p>
    <w:p w:rsidR="00000000" w:rsidDel="00000000" w:rsidP="00000000" w:rsidRDefault="00000000" w:rsidRPr="00000000" w14:paraId="00000042">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43">
      <w:pPr>
        <w:tabs>
          <w:tab w:val="left" w:leader="none" w:pos="2754"/>
        </w:tabs>
        <w:ind w:firstLine="720"/>
        <w:rPr>
          <w:vertAlign w:val="baseline"/>
        </w:rPr>
      </w:pPr>
      <w:r w:rsidDel="00000000" w:rsidR="00000000" w:rsidRPr="00000000">
        <w:rPr>
          <w:vertAlign w:val="baseline"/>
          <w:rtl w:val="0"/>
        </w:rPr>
        <w:t xml:space="preserve">Motors will be sized for the run-out condition at the selected impeller size.</w:t>
      </w:r>
    </w:p>
    <w:p w:rsidR="00000000" w:rsidDel="00000000" w:rsidP="00000000" w:rsidRDefault="00000000" w:rsidRPr="00000000" w14:paraId="00000044">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45">
      <w:pPr>
        <w:tabs>
          <w:tab w:val="left" w:leader="none" w:pos="2754"/>
        </w:tabs>
        <w:ind w:firstLine="720"/>
        <w:rPr>
          <w:vertAlign w:val="baseline"/>
        </w:rPr>
      </w:pPr>
      <w:r w:rsidDel="00000000" w:rsidR="00000000" w:rsidRPr="00000000">
        <w:rPr>
          <w:vertAlign w:val="baseline"/>
          <w:rtl w:val="0"/>
        </w:rPr>
        <w:t xml:space="preserve">General equipment requirements will be per 4-SPC-0001: General Equipment Requirements.</w:t>
      </w:r>
    </w:p>
    <w:p w:rsidR="00000000" w:rsidDel="00000000" w:rsidP="00000000" w:rsidRDefault="00000000" w:rsidRPr="00000000" w14:paraId="00000046">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Commentary</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tabs>
          <w:tab w:val="left" w:leader="none" w:pos="2754"/>
        </w:tabs>
        <w:ind w:firstLine="720"/>
        <w:rPr>
          <w:vertAlign w:val="baseline"/>
        </w:rPr>
      </w:pPr>
      <w:r w:rsidDel="00000000" w:rsidR="00000000" w:rsidRPr="00000000">
        <w:rPr>
          <w:b w:val="1"/>
          <w:bCs w:val="1"/>
          <w:vertAlign w:val="baseline"/>
          <w:rtl w:val="0"/>
        </w:rPr>
        <w:t xml:space="preserve">To Section 1.0:</w:t>
      </w:r>
      <w:r w:rsidDel="00000000" w:rsidR="00000000" w:rsidRPr="00000000">
        <w:rPr>
          <w:vertAlign w:val="baseline"/>
          <w:rtl w:val="0"/>
        </w:rPr>
        <w:t xml:space="preserve"> A specification is used 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Briefly and clearly communicate the main requirements to the supplier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easy addition of special contract requirements (if applicable)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Minimize editing of data sheets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8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data sheets to more clearly show special cases by exception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tabs>
          <w:tab w:val="left" w:leader="none" w:pos="2754"/>
          <w:tab w:val="left" w:leader="none" w:pos="1152"/>
        </w:tabs>
        <w:ind w:firstLine="720"/>
        <w:rPr>
          <w:vertAlign w:val="baseline"/>
        </w:rPr>
      </w:pPr>
      <w:r w:rsidDel="00000000" w:rsidR="00000000" w:rsidRPr="00000000">
        <w:rPr>
          <w:b w:val="1"/>
          <w:bCs w:val="1"/>
          <w:vertAlign w:val="baseline"/>
          <w:rtl w:val="0"/>
        </w:rPr>
        <w:t xml:space="preserve">To Name Change Conversion: </w:t>
      </w:r>
      <w:r w:rsidDel="00000000" w:rsidR="00000000" w:rsidRPr="00000000">
        <w:rPr>
          <w:vertAlign w:val="baseline"/>
          <w:rtl w:val="0"/>
        </w:rPr>
        <w:t xml:space="preserve">Name change has been implemented. No new revision number has been used and changes have not been marked.</w:t>
      </w:r>
    </w:p>
    <w:p w:rsidR="00000000" w:rsidDel="00000000" w:rsidP="00000000" w:rsidRDefault="00000000" w:rsidRPr="00000000" w14:paraId="00000050">
      <w:pPr>
        <w:tabs>
          <w:tab w:val="left" w:leader="none" w:pos="2754"/>
          <w:tab w:val="left" w:leader="none" w:pos="1152"/>
        </w:tabs>
        <w:ind w:firstLine="720"/>
        <w:rPr>
          <w:vertAlign w:val="baseline"/>
        </w:rPr>
      </w:pPr>
      <w:r w:rsidDel="00000000" w:rsidR="00000000" w:rsidRPr="00000000">
        <w:rPr>
          <w:rtl w:val="0"/>
        </w:rPr>
      </w:r>
    </w:p>
    <w:p w:rsidR="00000000" w:rsidDel="00000000" w:rsidP="00000000" w:rsidRDefault="00000000" w:rsidRPr="00000000" w14:paraId="00000051">
      <w:pPr>
        <w:tabs>
          <w:tab w:val="left" w:leader="none" w:pos="2754"/>
        </w:tabs>
        <w:ind w:firstLine="720"/>
        <w:rPr>
          <w:vertAlign w:val="baseline"/>
        </w:rPr>
      </w:pPr>
      <w:r w:rsidDel="00000000" w:rsidR="00000000" w:rsidRPr="00000000">
        <w:rPr>
          <w:b w:val="1"/>
          <w:bCs w:val="1"/>
          <w:vertAlign w:val="baseline"/>
          <w:rtl w:val="0"/>
        </w:rPr>
        <w:t xml:space="preserve">To 2005 Name Change Conversion:</w:t>
      </w:r>
      <w:r w:rsidDel="00000000" w:rsidR="00000000" w:rsidRPr="00000000">
        <w:rPr>
          <w:vertAlign w:val="baseline"/>
          <w:rtl w:val="0"/>
        </w:rPr>
        <w:t xml:space="preserve">  Name change has been implemented.  No new revision number has been used and changes have not been marked.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720" w:top="720" w:left="144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vertAlign w:val="baseline"/>
      </w:rPr>
    </w:pPr>
    <w:r w:rsidDel="00000000" w:rsidR="00000000" w:rsidRPr="00000000">
      <w:rPr>
        <w:rtl w:val="0"/>
      </w:rPr>
    </w:r>
  </w:p>
  <w:tbl>
    <w:tblPr>
      <w:tblStyle w:val="Table3"/>
      <w:tblW w:w="10080.0" w:type="dxa"/>
      <w:jc w:val="left"/>
      <w:tblLayout w:type="fixed"/>
      <w:tblLook w:val="0000"/>
    </w:tblPr>
    <w:tblGrid>
      <w:gridCol w:w="8460"/>
      <w:gridCol w:w="1620"/>
      <w:tblGridChange w:id="0">
        <w:tblGrid>
          <w:gridCol w:w="8460"/>
          <w:gridCol w:w="1620"/>
        </w:tblGrid>
      </w:tblGridChange>
    </w:tblGrid>
    <w:tr>
      <w:trPr>
        <w:cantSplit w:val="1"/>
        <w:trHeight w:val="240" w:hRule="atLeast"/>
        <w:tblHeader w:val="0"/>
      </w:trPr>
      <w:tc>
        <w:tcPr>
          <w:vAlign w:val="top"/>
        </w:tcPr>
        <w:p w:rsidR="00000000" w:rsidDel="00000000" w:rsidP="00000000" w:rsidRDefault="00000000" w:rsidRPr="00000000" w14:paraId="00000061">
          <w:pPr>
            <w:tabs>
              <w:tab w:val="left" w:leader="none" w:pos="2754"/>
            </w:tabs>
            <w:spacing w:before="50" w:lineRule="auto"/>
            <w:ind w:left="0" w:right="-115" w:hanging="115"/>
            <w:rPr>
              <w:sz w:val="16"/>
              <w:szCs w:val="16"/>
              <w:vertAlign w:val="baseline"/>
            </w:rPr>
          </w:pPr>
          <w:r w:rsidDel="00000000" w:rsidR="00000000" w:rsidRPr="00000000">
            <w:rPr>
              <w:sz w:val="16"/>
              <w:szCs w:val="16"/>
              <w:vertAlign w:val="baseline"/>
              <w:rtl w:val="0"/>
            </w:rPr>
            <w:t xml:space="preserve">© Aker Kvaerner Chemetics. Unpublished. Unauthorised use or reproduction prohibited.</w:t>
          </w:r>
        </w:p>
      </w:tc>
      <w:tc>
        <w:tcPr>
          <w:vAlign w:val="top"/>
        </w:tcPr>
        <w:p w:rsidR="00000000" w:rsidDel="00000000" w:rsidP="00000000" w:rsidRDefault="00000000" w:rsidRPr="00000000" w14:paraId="00000062">
          <w:pPr>
            <w:tabs>
              <w:tab w:val="left" w:leader="none" w:pos="2754"/>
            </w:tabs>
            <w:spacing w:before="50" w:lineRule="auto"/>
            <w:ind w:left="72" w:right="0" w:firstLine="0"/>
            <w:jc w:val="right"/>
            <w:rPr>
              <w:sz w:val="16"/>
              <w:szCs w:val="16"/>
              <w:vertAlign w:val="baseline"/>
            </w:rPr>
          </w:pPr>
          <w:r w:rsidDel="00000000" w:rsidR="00000000" w:rsidRPr="00000000">
            <w:rPr>
              <w:sz w:val="16"/>
              <w:szCs w:val="16"/>
              <w:vertAlign w:val="baseline"/>
              <w:rtl w:val="0"/>
            </w:rPr>
            <w:t xml:space="preserve">Page </w:t>
          </w:r>
          <w:r w:rsidDel="00000000" w:rsidR="00000000" w:rsidRPr="00000000">
            <w:rPr>
              <w:sz w:val="16"/>
              <w:szCs w:val="16"/>
              <w:vertAlign w:val="baseline"/>
            </w:rPr>
            <w:fldChar w:fldCharType="begin"/>
            <w:instrText xml:space="preserve">PAGE</w:instrText>
            <w:fldChar w:fldCharType="separate"/>
            <w:fldChar w:fldCharType="end"/>
          </w:r>
          <w:r w:rsidDel="00000000" w:rsidR="00000000" w:rsidRPr="00000000">
            <w:rPr>
              <w:sz w:val="16"/>
              <w:szCs w:val="16"/>
              <w:vertAlign w:val="baseline"/>
              <w:rtl w:val="0"/>
            </w:rPr>
            <w:t xml:space="preserve"> of </w:t>
          </w:r>
          <w:r w:rsidDel="00000000" w:rsidR="00000000" w:rsidRPr="00000000">
            <w:rPr>
              <w:sz w:val="16"/>
              <w:szCs w:val="16"/>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3">
    <w:pPr>
      <w:tabs>
        <w:tab w:val="left" w:leader="none" w:pos="2754"/>
      </w:tabs>
      <w:ind w:left="0" w:firstLine="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12" w:val="single"/>
        <w:right w:color="000000" w:space="0" w:sz="4" w:val="single"/>
        <w:insideH w:color="000000" w:space="0" w:sz="4" w:val="single"/>
        <w:insideV w:color="000000" w:space="0" w:sz="4" w:val="single"/>
      </w:tblBorders>
      <w:tblLayout w:type="fixed"/>
      <w:tblLook w:val="0000"/>
    </w:tblPr>
    <w:tblGrid>
      <w:gridCol w:w="2970"/>
      <w:gridCol w:w="4140"/>
      <w:gridCol w:w="2970"/>
      <w:tblGridChange w:id="0">
        <w:tblGrid>
          <w:gridCol w:w="2970"/>
          <w:gridCol w:w="4140"/>
          <w:gridCol w:w="2970"/>
        </w:tblGrid>
      </w:tblGridChange>
    </w:tblGrid>
    <w:tr>
      <w:trPr>
        <w:cantSplit w:val="1"/>
        <w:trHeight w:val="880" w:hRule="atLeast"/>
        <w:tblHeader w:val="0"/>
      </w:trPr>
      <w:tc>
        <w:tcPr>
          <w:vAlign w:val="top"/>
        </w:tcPr>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60" w:line="240" w:lineRule="auto"/>
            <w:ind w:left="0" w:right="8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Name</w:t>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0" w:right="8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Title</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 w:val="left" w:leader="none" w:pos="2754"/>
            </w:tabs>
            <w:spacing w:after="60" w:before="0" w:line="240" w:lineRule="auto"/>
            <w:ind w:left="0" w:right="8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w:t>
          </w:r>
        </w:p>
      </w:tc>
      <w:tc>
        <w:tcPr>
          <w:vMerge w:val="restart"/>
          <w:vAlign w:val="top"/>
        </w:tcPr>
        <w:p w:rsidR="00000000" w:rsidDel="00000000" w:rsidP="00000000" w:rsidRDefault="00000000" w:rsidRPr="00000000" w14:paraId="00000057">
          <w:pPr>
            <w:pStyle w:val="Heading6"/>
            <w:tabs>
              <w:tab w:val="left" w:leader="none" w:pos="2754"/>
            </w:tabs>
            <w:ind w:right="0" w:firstLine="0"/>
            <w:rPr>
              <w:vertAlign w:val="baseline"/>
            </w:rPr>
          </w:pPr>
          <w:r w:rsidDel="00000000" w:rsidR="00000000" w:rsidRPr="00000000">
            <w:rPr>
              <w:b w:val="1"/>
              <w:bCs w:val="1"/>
              <w:vertAlign w:val="baseline"/>
              <w:rtl w:val="0"/>
            </w:rPr>
            <w:t xml:space="preserve">Specification</w:t>
          </w:r>
          <w:r w:rsidDel="00000000" w:rsidR="00000000" w:rsidRPr="00000000">
            <w:rPr>
              <w:rtl w:val="0"/>
            </w:rPr>
          </w:r>
        </w:p>
        <w:p w:rsidR="00000000" w:rsidDel="00000000" w:rsidP="00000000" w:rsidRDefault="00000000" w:rsidRPr="00000000" w14:paraId="00000058">
          <w:pPr>
            <w:tabs>
              <w:tab w:val="left" w:leader="none" w:pos="2754"/>
            </w:tabs>
            <w:ind w:left="0" w:right="0" w:firstLine="0"/>
            <w:jc w:val="center"/>
            <w:rPr>
              <w:b w:val="0"/>
              <w:bCs w:val="0"/>
              <w:vertAlign w:val="baseline"/>
            </w:rPr>
          </w:pP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Centrifugal Pumps</w:t>
          </w:r>
        </w:p>
      </w:tc>
      <w:tc>
        <w:tcPr>
          <w:vAlign w:val="top"/>
        </w:tcPr>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44" w:right="-144"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 w:right="-14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5C">
          <w:pPr>
            <w:tabs>
              <w:tab w:val="left" w:leader="none" w:pos="2754"/>
            </w:tabs>
            <w:spacing w:after="60" w:before="60" w:lineRule="auto"/>
            <w:ind w:left="0" w:firstLine="0"/>
            <w:rPr>
              <w:vertAlign w:val="baseline"/>
            </w:rPr>
          </w:pPr>
          <w:r w:rsidDel="00000000" w:rsidR="00000000" w:rsidRPr="00000000">
            <w:rPr>
              <w:rtl w:val="0"/>
            </w:rPr>
          </w:r>
        </w:p>
      </w:tc>
      <w:tc>
        <w:tcPr>
          <w:vMerge w:val="continue"/>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5E">
          <w:pPr>
            <w:tabs>
              <w:tab w:val="left" w:leader="none" w:pos="2754"/>
            </w:tabs>
            <w:spacing w:after="60" w:before="60" w:lineRule="auto"/>
            <w:ind w:left="0" w:right="-18" w:firstLine="0"/>
            <w:jc w:val="right"/>
            <w:rPr>
              <w:vertAlign w:val="baseline"/>
            </w:rPr>
          </w:pPr>
          <w:r w:rsidDel="00000000" w:rsidR="00000000" w:rsidRPr="00000000">
            <w:rPr>
              <w:vertAlign w:val="baseline"/>
              <w:rtl w:val="0"/>
            </w:rPr>
            <w:t xml:space="preserve">Standard-4-SPC-0002-R1</w:t>
          </w:r>
        </w:p>
      </w:tc>
    </w:tr>
  </w:tbl>
  <w:p w:rsidR="00000000" w:rsidDel="00000000" w:rsidP="00000000" w:rsidRDefault="00000000" w:rsidRPr="00000000" w14:paraId="0000005F">
    <w:pPr>
      <w:shd w:fill="ffffff" w:val="clear"/>
      <w:tabs>
        <w:tab w:val="left" w:leader="none" w:pos="2754"/>
      </w:tabs>
      <w:ind w:left="0" w:firstLine="0"/>
      <w:rPr>
        <w:sz w:val="2"/>
        <w:szCs w:val="2"/>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152" w:hanging="708"/>
      </w:pPr>
      <w:rPr>
        <w:vertAlign w:val="baseline"/>
      </w:rPr>
    </w:lvl>
    <w:lvl w:ilvl="4">
      <w:start w:val="1"/>
      <w:numFmt w:val="decimal"/>
      <w:lvlText w:val="%1.%2.%3.%4.%5."/>
      <w:lvlJc w:val="left"/>
      <w:pPr>
        <w:ind w:left="1152" w:hanging="708"/>
      </w:pPr>
      <w:rPr>
        <w:vertAlign w:val="baseline"/>
      </w:rPr>
    </w:lvl>
    <w:lvl w:ilvl="5">
      <w:start w:val="1"/>
      <w:numFmt w:val="decimal"/>
      <w:lvlText w:val="%1.%2.%3.%4.%5.%6."/>
      <w:lvlJc w:val="left"/>
      <w:pPr>
        <w:ind w:left="4248" w:hanging="708"/>
      </w:pPr>
      <w:rPr>
        <w:vertAlign w:val="baseline"/>
      </w:rPr>
    </w:lvl>
    <w:lvl w:ilvl="6">
      <w:start w:val="1"/>
      <w:numFmt w:val="decimal"/>
      <w:lvlText w:val="%1.%2.%3.%4.%5.%6.%7."/>
      <w:lvlJc w:val="left"/>
      <w:pPr>
        <w:ind w:left="4956" w:hanging="708"/>
      </w:pPr>
      <w:rPr>
        <w:vertAlign w:val="baseline"/>
      </w:rPr>
    </w:lvl>
    <w:lvl w:ilvl="7">
      <w:start w:val="1"/>
      <w:numFmt w:val="decimal"/>
      <w:lvlText w:val="%1.%2.%3.%4.%5.%6.%7.%8."/>
      <w:lvlJc w:val="left"/>
      <w:pPr>
        <w:ind w:left="5664" w:hanging="708"/>
      </w:pPr>
      <w:rPr>
        <w:vertAlign w:val="baseline"/>
      </w:rPr>
    </w:lvl>
    <w:lvl w:ilvl="8">
      <w:start w:val="1"/>
      <w:numFmt w:val="decimal"/>
      <w:lvlText w:val="%1.%2.%3.%4.%5.%6.%7.%8.%9."/>
      <w:lvlJc w:val="left"/>
      <w:pPr>
        <w:ind w:left="6372" w:hanging="707.9999999999991"/>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tabs>
          <w:tab w:val="left" w:leader="none" w:pos="2754"/>
        </w:tabs>
        <w:ind w:left="720" w:right="86"/>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720" w:right="86" w:hanging="634"/>
    </w:pPr>
    <w:rPr>
      <w:rFonts w:ascii="Arial" w:cs="Arial" w:eastAsia="Arial" w:hAnsi="Arial"/>
      <w:b w:val="1"/>
      <w:bCs w:val="1"/>
      <w:sz w:val="22"/>
      <w:szCs w:val="22"/>
      <w:vertAlign w:val="baseline"/>
    </w:rPr>
  </w:style>
  <w:style w:type="paragraph" w:styleId="Heading2">
    <w:name w:val="heading 2"/>
    <w:basedOn w:val="Normal"/>
    <w:next w:val="Normal"/>
    <w:pPr>
      <w:keepNext w:val="1"/>
      <w:tabs>
        <w:tab w:val="left" w:leader="none" w:pos="2754"/>
      </w:tabs>
      <w:ind w:left="720" w:right="86" w:hanging="630"/>
    </w:pPr>
    <w:rPr>
      <w:rFonts w:ascii="Arial" w:cs="Arial" w:eastAsia="Arial" w:hAnsi="Arial"/>
      <w:b w:val="1"/>
      <w:bCs w:val="1"/>
      <w:sz w:val="22"/>
      <w:szCs w:val="22"/>
      <w:vertAlign w:val="baseline"/>
    </w:rPr>
  </w:style>
  <w:style w:type="paragraph" w:styleId="Heading3">
    <w:name w:val="heading 3"/>
    <w:basedOn w:val="Normal"/>
    <w:next w:val="Normal"/>
    <w:pPr>
      <w:keepNext w:val="1"/>
      <w:tabs>
        <w:tab w:val="left" w:leader="none" w:pos="2754"/>
      </w:tabs>
      <w:ind w:left="720" w:right="86" w:hanging="630"/>
    </w:pPr>
    <w:rPr>
      <w:rFonts w:ascii="Arial" w:cs="Arial" w:eastAsia="Arial" w:hAnsi="Arial"/>
      <w:sz w:val="22"/>
      <w:szCs w:val="22"/>
      <w:vertAlign w:val="baseline"/>
    </w:rPr>
  </w:style>
  <w:style w:type="paragraph" w:styleId="Heading4">
    <w:name w:val="heading 4"/>
    <w:basedOn w:val="Normal"/>
    <w:next w:val="Normal"/>
    <w:pPr>
      <w:keepNext w:val="1"/>
      <w:tabs>
        <w:tab w:val="left" w:leader="none" w:pos="1440"/>
        <w:tab w:val="left" w:leader="none" w:pos="2754"/>
      </w:tabs>
      <w:ind w:left="720" w:right="86" w:hanging="1062"/>
    </w:pPr>
    <w:rPr>
      <w:rFonts w:ascii="Arial" w:cs="Arial" w:eastAsia="Arial" w:hAnsi="Arial"/>
      <w:sz w:val="22"/>
      <w:szCs w:val="22"/>
      <w:vertAlign w:val="baseline"/>
    </w:rPr>
  </w:style>
  <w:style w:type="paragraph" w:styleId="Heading5">
    <w:name w:val="heading 5"/>
    <w:basedOn w:val="Normal"/>
    <w:next w:val="Normal"/>
    <w:pPr>
      <w:tabs>
        <w:tab w:val="left" w:leader="none" w:pos="1440"/>
        <w:tab w:val="left" w:leader="none" w:pos="2754"/>
      </w:tabs>
      <w:ind w:left="720" w:right="86" w:hanging="1062"/>
    </w:pPr>
    <w:rPr>
      <w:rFonts w:ascii="Arial" w:cs="Arial" w:eastAsia="Arial" w:hAnsi="Arial"/>
      <w:sz w:val="22"/>
      <w:szCs w:val="22"/>
      <w:vertAlign w:val="baseline"/>
    </w:rPr>
  </w:style>
  <w:style w:type="paragraph" w:styleId="Heading6">
    <w:name w:val="heading 6"/>
    <w:basedOn w:val="Normal"/>
    <w:next w:val="Normal"/>
    <w:pPr>
      <w:keepNext w:val="1"/>
      <w:spacing w:before="120" w:lineRule="auto"/>
      <w:ind w:left="0" w:right="86"/>
      <w:jc w:val="center"/>
    </w:pPr>
    <w:rPr>
      <w:rFonts w:ascii="Arial" w:cs="Arial" w:eastAsia="Arial" w:hAnsi="Arial"/>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autoRedefine w:val="0"/>
    <w:hidden w:val="0"/>
    <w:qFormat w:val="0"/>
    <w:pPr>
      <w:keepNext w:val="1"/>
      <w:tabs>
        <w:tab w:val="left" w:leader="none" w:pos="2754"/>
      </w:tabs>
      <w:suppressAutoHyphens w:val="1"/>
      <w:spacing w:line="1" w:lineRule="atLeast"/>
      <w:ind w:left="0" w:right="0" w:leftChars="-1" w:rightChars="0" w:firstLineChars="-1"/>
      <w:jc w:val="center"/>
      <w:textDirection w:val="btLr"/>
      <w:textAlignment w:val="top"/>
      <w:outlineLvl w:val="6"/>
    </w:pPr>
    <w:rPr>
      <w:rFonts w:ascii="Arial" w:hAnsi="Arial"/>
      <w:b w:val="1"/>
      <w:w w:val="100"/>
      <w:position w:val="-1"/>
      <w:sz w:val="22"/>
      <w:effect w:val="none"/>
      <w:vertAlign w:val="baseline"/>
      <w:cs w:val="0"/>
      <w:em w:val="none"/>
      <w:lang w:bidi="ar-SA" w:eastAsia="en-US" w:val="en-GB"/>
    </w:rPr>
  </w:style>
  <w:style w:type="paragraph" w:styleId="Heading8">
    <w:name w:val="Heading 8"/>
    <w:basedOn w:val="Normal"/>
    <w:next w:val="Normal"/>
    <w:autoRedefine w:val="0"/>
    <w:hidden w:val="0"/>
    <w:qFormat w:val="0"/>
    <w:pPr>
      <w:keepNext w:val="1"/>
      <w:tabs>
        <w:tab w:val="clear" w:pos="2754"/>
      </w:tabs>
      <w:suppressAutoHyphens w:val="1"/>
      <w:spacing w:before="120" w:line="1" w:lineRule="atLeast"/>
      <w:ind w:left="0" w:right="86" w:leftChars="-1" w:rightChars="0" w:firstLineChars="-1"/>
      <w:textDirection w:val="btLr"/>
      <w:textAlignment w:val="top"/>
      <w:outlineLvl w:val="7"/>
    </w:pPr>
    <w:rPr>
      <w:rFonts w:ascii="Arial" w:hAnsi="Arial"/>
      <w:b w:val="1"/>
      <w:w w:val="100"/>
      <w:position w:val="-1"/>
      <w:sz w:val="22"/>
      <w:effect w:val="none"/>
      <w:vertAlign w:val="baseline"/>
      <w:cs w:val="0"/>
      <w:em w:val="none"/>
      <w:lang w:bidi="ar-SA" w:eastAsia="en-US" w:val="en-GB"/>
    </w:rPr>
  </w:style>
  <w:style w:type="paragraph" w:styleId="Heading9">
    <w:name w:val="Heading 9"/>
    <w:basedOn w:val="Normal"/>
    <w:next w:val="Normal"/>
    <w:autoRedefine w:val="0"/>
    <w:hidden w:val="0"/>
    <w:qFormat w:val="0"/>
    <w:pPr>
      <w:keepNext w:val="1"/>
      <w:tabs>
        <w:tab w:val="clear" w:pos="2754"/>
      </w:tabs>
      <w:suppressAutoHyphens w:val="1"/>
      <w:spacing w:line="1" w:lineRule="atLeast"/>
      <w:ind w:left="0" w:right="0" w:leftChars="-1" w:rightChars="0" w:firstLineChars="-1"/>
      <w:textDirection w:val="btLr"/>
      <w:textAlignment w:val="top"/>
      <w:outlineLvl w:val="8"/>
    </w:pPr>
    <w:rPr>
      <w:rFonts w:ascii="Arial" w:hAnsi="Arial"/>
      <w:b w:val="1"/>
      <w:w w:val="100"/>
      <w:position w:val="-1"/>
      <w:sz w:val="16"/>
      <w:effect w:val="none"/>
      <w:vertAlign w:val="baseline"/>
      <w:cs w:val="0"/>
      <w:em w:val="none"/>
      <w:lang w:bidi="ar-SA" w:eastAsia="en-US"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lear" w:pos="2754"/>
        <w:tab w:val="center" w:leader="none" w:pos="4320"/>
        <w:tab w:val="right" w:leader="none" w:pos="8640"/>
      </w:tabs>
      <w:suppressAutoHyphens w:val="1"/>
      <w:spacing w:line="1" w:lineRule="atLeast"/>
      <w:ind w:left="720"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lockText">
    <w:name w:val="Block Text"/>
    <w:basedOn w:val="Normal"/>
    <w:next w:val="BlockText"/>
    <w:autoRedefine w:val="0"/>
    <w:hidden w:val="0"/>
    <w:qFormat w:val="0"/>
    <w:pPr>
      <w:tabs>
        <w:tab w:val="clear" w:pos="2754"/>
      </w:tabs>
      <w:suppressAutoHyphens w:val="1"/>
      <w:spacing w:line="1" w:lineRule="atLeast"/>
      <w:ind w:left="1152"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Footer">
    <w:name w:val="Footer"/>
    <w:basedOn w:val="Normal"/>
    <w:next w:val="Footer"/>
    <w:autoRedefine w:val="0"/>
    <w:hidden w:val="0"/>
    <w:qFormat w:val="0"/>
    <w:pPr>
      <w:tabs>
        <w:tab w:val="clear" w:pos="2754"/>
        <w:tab w:val="center" w:leader="none" w:pos="4320"/>
        <w:tab w:val="right" w:leader="none" w:pos="8640"/>
      </w:tabs>
      <w:suppressAutoHyphens w:val="1"/>
      <w:spacing w:line="1" w:lineRule="atLeast"/>
      <w:ind w:left="720"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odyTextIndentbullets">
    <w:name w:val="Body Text Indent bullets"/>
    <w:basedOn w:val="BodyTextIndent"/>
    <w:next w:val="BodyTextIndentbullets"/>
    <w:autoRedefine w:val="0"/>
    <w:hidden w:val="0"/>
    <w:qFormat w:val="0"/>
    <w:pPr>
      <w:numPr>
        <w:ilvl w:val="0"/>
        <w:numId w:val="42"/>
      </w:numPr>
      <w:tabs>
        <w:tab w:val="clear" w:pos="2754"/>
        <w:tab w:val="left" w:leader="none" w:pos="1080"/>
      </w:tabs>
      <w:suppressAutoHyphens w:val="1"/>
      <w:spacing w:line="1" w:lineRule="atLeast"/>
      <w:ind w:left="720" w:right="187"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odyTextIndent">
    <w:name w:val="Body Text Indent"/>
    <w:basedOn w:val="Normal"/>
    <w:next w:val="BodyTextIndent"/>
    <w:autoRedefine w:val="0"/>
    <w:hidden w:val="0"/>
    <w:qFormat w:val="0"/>
    <w:pPr>
      <w:tabs>
        <w:tab w:val="left" w:leader="none" w:pos="2754"/>
      </w:tabs>
      <w:suppressAutoHyphens w:val="1"/>
      <w:spacing w:line="1" w:lineRule="atLeast"/>
      <w:ind w:left="720"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odyTextIndentletters">
    <w:name w:val="Body Text Indent letters"/>
    <w:basedOn w:val="BodyTextIndent"/>
    <w:next w:val="BodyTextIndentletters"/>
    <w:autoRedefine w:val="0"/>
    <w:hidden w:val="0"/>
    <w:qFormat w:val="0"/>
    <w:pPr>
      <w:numPr>
        <w:ilvl w:val="0"/>
        <w:numId w:val="37"/>
      </w:numPr>
      <w:tabs>
        <w:tab w:val="clear" w:pos="2754"/>
        <w:tab w:val="left" w:leader="none" w:pos="720"/>
        <w:tab w:val="left" w:leader="none" w:pos="1440"/>
      </w:tabs>
      <w:suppressAutoHyphens w:val="0"/>
      <w:spacing w:line="1" w:lineRule="atLeast"/>
      <w:ind w:left="720" w:right="0" w:leftChars="-1" w:rightChars="0" w:firstLineChars="-1"/>
      <w:textDirection w:val="btLr"/>
      <w:textAlignment w:val="top"/>
      <w:outlineLvl w:val="0"/>
    </w:pPr>
    <w:rPr>
      <w:rFonts w:ascii="Arial" w:hAnsi="Arial"/>
      <w:noProof w:val="0"/>
      <w:spacing w:val="-3"/>
      <w:w w:val="100"/>
      <w:position w:val="-1"/>
      <w:sz w:val="22"/>
      <w:effect w:val="none"/>
      <w:vertAlign w:val="baseline"/>
      <w:cs w:val="0"/>
      <w:em w:val="none"/>
      <w:lang w:bidi="ar-SA" w:eastAsia="en-US" w:val="en-US"/>
    </w:rPr>
  </w:style>
  <w:style w:type="paragraph" w:styleId="BodyTextIndentBold">
    <w:name w:val="Body Text Indent Bold"/>
    <w:basedOn w:val="BodyTextIndent"/>
    <w:next w:val="BodyTextIndentBold"/>
    <w:autoRedefine w:val="0"/>
    <w:hidden w:val="0"/>
    <w:qFormat w:val="0"/>
    <w:pPr>
      <w:tabs>
        <w:tab w:val="left" w:leader="none" w:pos="2754"/>
      </w:tabs>
      <w:suppressAutoHyphens w:val="1"/>
      <w:spacing w:after="0" w:line="1" w:lineRule="atLeast"/>
      <w:ind w:left="720" w:right="86" w:leftChars="-1" w:rightChars="0" w:firstLineChars="-1"/>
      <w:textDirection w:val="btLr"/>
      <w:textAlignment w:val="top"/>
      <w:outlineLvl w:val="0"/>
    </w:pPr>
    <w:rPr>
      <w:rFonts w:ascii="Arial" w:hAnsi="Arial"/>
      <w:b w:val="1"/>
      <w:w w:val="100"/>
      <w:position w:val="-1"/>
      <w:sz w:val="22"/>
      <w:effect w:val="none"/>
      <w:vertAlign w:val="baseline"/>
      <w:cs w:val="0"/>
      <w:em w:val="none"/>
      <w:lang w:bidi="ar-SA" w:eastAsia="en-US" w:val="en-GB"/>
    </w:rPr>
  </w:style>
  <w:style w:type="paragraph" w:styleId="BalloonText">
    <w:name w:val="Balloon Text"/>
    <w:basedOn w:val="Normal"/>
    <w:next w:val="BalloonText"/>
    <w:autoRedefine w:val="0"/>
    <w:hidden w:val="0"/>
    <w:qFormat w:val="0"/>
    <w:pPr>
      <w:tabs>
        <w:tab w:val="left" w:leader="none" w:pos="2754"/>
      </w:tabs>
      <w:suppressAutoHyphens w:val="1"/>
      <w:spacing w:line="1" w:lineRule="atLeast"/>
      <w:ind w:left="720" w:right="86"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W9XmmHbZvUmjC6Rck7edfOJcw==">CgMxLjAyDmgueGFkeDN5MWU4eW5tOAByITFyQ1RlZ3ZrN2JWVGlUOGd2M2dTQmpoRDduV1RHdkRjMg==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2005-05-05T16:44:00Z</dcterms:created>
  <dc:creator>dhetet</dc:creator>
</cp:coreProperties>
</file>