
<file path=[Content_Types].xml><?xml version="1.0" encoding="utf-8"?>
<Types xmlns="http://schemas.openxmlformats.org/package/2006/content-types">
  <Default ContentType="image/x-wmf" Extension="wmf"/>
  <Default ContentType="application/xml" Extension="xml"/>
  <Default ContentType="application/x-font-ttf" Extension="ttf"/>
  <Default ContentType="application/vnd.openxmlformats-officedocument.obfuscatedFont" Extension="odttf"/>
  <Default ContentType="application/vnd.ms-excel" Extension="xls"/>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12"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1170"/>
        <w:gridCol w:w="3330"/>
        <w:gridCol w:w="1710"/>
        <w:gridCol w:w="1710"/>
        <w:gridCol w:w="1620"/>
        <w:tblGridChange w:id="0">
          <w:tblGrid>
            <w:gridCol w:w="540"/>
            <w:gridCol w:w="1170"/>
            <w:gridCol w:w="3330"/>
            <w:gridCol w:w="1710"/>
            <w:gridCol w:w="1710"/>
            <w:gridCol w:w="1620"/>
          </w:tblGrid>
        </w:tblGridChange>
      </w:tblGrid>
      <w:tr>
        <w:trPr>
          <w:cantSplit w:val="0"/>
          <w:tblHeader w:val="0"/>
        </w:trPr>
        <w:tc>
          <w:tcPr>
            <w:tcBorders>
              <w:top w:color="000000" w:space="0" w:sz="0" w:val="nil"/>
              <w:left w:color="000000" w:space="0" w:sz="4" w:val="single"/>
              <w:bottom w:color="000000" w:space="0" w:sz="4" w:val="single"/>
            </w:tcBorders>
            <w:vAlign w:val="top"/>
          </w:tcPr>
          <w:p w:rsidR="00000000" w:rsidDel="00000000" w:rsidP="00000000" w:rsidRDefault="00000000" w:rsidRPr="00000000" w14:paraId="00000003">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Rev:</w:t>
            </w:r>
          </w:p>
        </w:tc>
        <w:tc>
          <w:tcPr>
            <w:tcBorders>
              <w:top w:color="000000" w:space="0" w:sz="0" w:val="nil"/>
              <w:bottom w:color="000000" w:space="0" w:sz="4" w:val="single"/>
            </w:tcBorders>
            <w:vAlign w:val="top"/>
          </w:tcPr>
          <w:p w:rsidR="00000000" w:rsidDel="00000000" w:rsidP="00000000" w:rsidRDefault="00000000" w:rsidRPr="00000000" w14:paraId="00000004">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Date:</w:t>
            </w:r>
          </w:p>
        </w:tc>
        <w:tc>
          <w:tcPr>
            <w:tcBorders>
              <w:top w:color="000000" w:space="0" w:sz="0" w:val="nil"/>
              <w:bottom w:color="000000" w:space="0" w:sz="4" w:val="single"/>
            </w:tcBorders>
            <w:vAlign w:val="top"/>
          </w:tcPr>
          <w:p w:rsidR="00000000" w:rsidDel="00000000" w:rsidP="00000000" w:rsidRDefault="00000000" w:rsidRPr="00000000" w14:paraId="00000005">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Status:</w:t>
            </w:r>
          </w:p>
        </w:tc>
        <w:tc>
          <w:tcPr>
            <w:tcBorders>
              <w:top w:color="000000" w:space="0" w:sz="0" w:val="nil"/>
              <w:bottom w:color="000000" w:space="0" w:sz="4" w:val="single"/>
            </w:tcBorders>
            <w:vAlign w:val="top"/>
          </w:tcPr>
          <w:p w:rsidR="00000000" w:rsidDel="00000000" w:rsidP="00000000" w:rsidRDefault="00000000" w:rsidRPr="00000000" w14:paraId="00000006">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Prepared By:</w:t>
            </w:r>
          </w:p>
        </w:tc>
        <w:tc>
          <w:tcPr>
            <w:tcBorders>
              <w:top w:color="000000" w:space="0" w:sz="0" w:val="nil"/>
              <w:bottom w:color="000000" w:space="0" w:sz="4" w:val="single"/>
            </w:tcBorders>
            <w:vAlign w:val="top"/>
          </w:tcPr>
          <w:p w:rsidR="00000000" w:rsidDel="00000000" w:rsidP="00000000" w:rsidRDefault="00000000" w:rsidRPr="00000000" w14:paraId="00000007">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Checked By:</w:t>
            </w:r>
          </w:p>
        </w:tc>
        <w:tc>
          <w:tcPr>
            <w:tcBorders>
              <w:top w:color="000000" w:space="0" w:sz="0" w:val="nil"/>
              <w:bottom w:color="000000" w:space="0" w:sz="4" w:val="single"/>
              <w:right w:color="000000" w:space="0" w:sz="4" w:val="single"/>
            </w:tcBorders>
            <w:vAlign w:val="top"/>
          </w:tcPr>
          <w:p w:rsidR="00000000" w:rsidDel="00000000" w:rsidP="00000000" w:rsidRDefault="00000000" w:rsidRPr="00000000" w14:paraId="00000008">
            <w:pPr>
              <w:tabs>
                <w:tab w:val="left" w:leader="none" w:pos="2754"/>
              </w:tabs>
              <w:ind w:left="0" w:right="-144" w:firstLine="0"/>
              <w:rPr>
                <w:sz w:val="16"/>
                <w:szCs w:val="16"/>
                <w:vertAlign w:val="baseline"/>
              </w:rPr>
            </w:pPr>
            <w:r w:rsidDel="00000000" w:rsidR="00000000" w:rsidRPr="00000000">
              <w:rPr>
                <w:sz w:val="16"/>
                <w:szCs w:val="16"/>
                <w:vertAlign w:val="baseline"/>
                <w:rtl w:val="0"/>
              </w:rPr>
              <w:t xml:space="preserve">Approved By:</w:t>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9">
            <w:pPr>
              <w:tabs>
                <w:tab w:val="left" w:leader="none" w:pos="2754"/>
              </w:tabs>
              <w:spacing w:before="20" w:lineRule="auto"/>
              <w:ind w:left="0" w:right="0" w:firstLine="0"/>
              <w:jc w:val="center"/>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A">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B">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C">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0D">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0E">
            <w:pPr>
              <w:tabs>
                <w:tab w:val="left" w:leader="none" w:pos="2754"/>
              </w:tabs>
              <w:spacing w:before="20" w:lineRule="auto"/>
              <w:ind w:left="0" w:right="-144" w:firstLine="0"/>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F">
            <w:pPr>
              <w:tabs>
                <w:tab w:val="left" w:leader="none" w:pos="2754"/>
              </w:tabs>
              <w:spacing w:before="20" w:lineRule="auto"/>
              <w:ind w:left="0" w:right="0" w:firstLine="0"/>
              <w:jc w:val="center"/>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0">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1">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2">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3">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4">
            <w:pPr>
              <w:tabs>
                <w:tab w:val="left" w:leader="none" w:pos="2754"/>
              </w:tabs>
              <w:spacing w:before="20" w:lineRule="auto"/>
              <w:ind w:left="0" w:right="-144" w:firstLine="0"/>
              <w:rPr>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5">
            <w:pPr>
              <w:tabs>
                <w:tab w:val="left" w:leader="none" w:pos="2754"/>
              </w:tabs>
              <w:spacing w:before="20" w:lineRule="auto"/>
              <w:ind w:left="0" w:right="0" w:firstLine="0"/>
              <w:jc w:val="center"/>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6">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7">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8">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19">
            <w:pPr>
              <w:tabs>
                <w:tab w:val="left" w:leader="none" w:pos="2754"/>
              </w:tabs>
              <w:spacing w:before="20" w:lineRule="auto"/>
              <w:ind w:left="0" w:right="-144" w:firstLine="0"/>
              <w:rPr>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left" w:leader="none" w:pos="2754"/>
              </w:tabs>
              <w:spacing w:before="20" w:lineRule="auto"/>
              <w:ind w:left="0" w:right="-144" w:firstLine="0"/>
              <w:rPr>
                <w:sz w:val="20"/>
                <w:szCs w:val="20"/>
                <w:vertAlign w:val="baseline"/>
              </w:rPr>
            </w:pPr>
            <w:r w:rsidDel="00000000" w:rsidR="00000000" w:rsidRPr="00000000">
              <w:rPr>
                <w:rtl w:val="0"/>
              </w:rPr>
            </w:r>
          </w:p>
        </w:tc>
      </w:tr>
    </w:tbl>
    <w:p w:rsidR="00000000" w:rsidDel="00000000" w:rsidP="00000000" w:rsidRDefault="00000000" w:rsidRPr="00000000" w14:paraId="0000001B">
      <w:pPr>
        <w:tabs>
          <w:tab w:val="left" w:leader="none" w:pos="2754"/>
        </w:tabs>
        <w:ind w:left="0" w:firstLine="0"/>
        <w:rPr>
          <w:sz w:val="2"/>
          <w:szCs w:val="2"/>
          <w:vertAlign w:val="baseline"/>
        </w:rPr>
      </w:pPr>
      <w:r w:rsidDel="00000000" w:rsidR="00000000" w:rsidRPr="00000000">
        <w:rPr>
          <w:rtl w:val="0"/>
        </w:rPr>
      </w:r>
    </w:p>
    <w:p w:rsidR="00000000" w:rsidDel="00000000" w:rsidP="00000000" w:rsidRDefault="00000000" w:rsidRPr="00000000" w14:paraId="0000001C">
      <w:pPr>
        <w:tabs>
          <w:tab w:val="left" w:leader="none" w:pos="2754"/>
        </w:tabs>
        <w:ind w:left="0" w:firstLine="0"/>
        <w:rPr>
          <w:sz w:val="16"/>
          <w:szCs w:val="16"/>
          <w:vertAlign w:val="baseline"/>
        </w:rPr>
      </w:pPr>
      <w:r w:rsidDel="00000000" w:rsidR="00000000" w:rsidRPr="00000000">
        <w:rPr>
          <w:rtl w:val="0"/>
        </w:rPr>
      </w:r>
    </w:p>
    <w:p w:rsidR="00000000" w:rsidDel="00000000" w:rsidP="00000000" w:rsidRDefault="00000000" w:rsidRPr="00000000" w14:paraId="0000001D">
      <w:pPr>
        <w:pStyle w:val="Heading1"/>
        <w:numPr>
          <w:ilvl w:val="0"/>
          <w:numId w:val="6"/>
        </w:numPr>
        <w:tabs>
          <w:tab w:val="left" w:leader="none" w:pos="2754"/>
        </w:tabs>
        <w:ind w:left="720" w:hanging="720"/>
        <w:rPr>
          <w:vertAlign w:val="baseline"/>
        </w:rPr>
      </w:pPr>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personnel will prepare pump calculations, as described in this procedure and commentary, to provide a clear, checkable, technically adequate record of pump sizing.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numPr>
          <w:ilvl w:val="0"/>
          <w:numId w:val="6"/>
        </w:numPr>
        <w:tabs>
          <w:tab w:val="left" w:leader="none" w:pos="2754"/>
        </w:tabs>
        <w:ind w:left="720" w:hanging="720"/>
        <w:rPr>
          <w:vertAlign w:val="baseline"/>
        </w:rPr>
      </w:pPr>
      <w:r w:rsidDel="00000000" w:rsidR="00000000" w:rsidRPr="00000000">
        <w:rPr>
          <w:b w:val="1"/>
          <w:bCs w:val="1"/>
          <w:vertAlign w:val="baseline"/>
          <w:rtl w:val="0"/>
        </w:rPr>
        <w:t xml:space="preserve">General</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Pump sizing is performed at three stages - Request for Quotation ‘RFQ’, Request for Purchase ‘RFP’ and Final Impeller Trim.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Engineer will create a PDS.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use ‘Pipe-Flo’ software to calculate the pump hydraulic requirements.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Requisition Originator will enter applicable information from the PDS and the hydraulic calculation results into the DST and prepare Requisitions for Purchase Enquiry / Order.</w:t>
      </w:r>
    </w:p>
    <w:p w:rsidR="00000000" w:rsidDel="00000000" w:rsidP="00000000" w:rsidRDefault="00000000" w:rsidRPr="00000000" w14:paraId="00000028">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29">
      <w:pPr>
        <w:pStyle w:val="Heading1"/>
        <w:numPr>
          <w:ilvl w:val="0"/>
          <w:numId w:val="6"/>
        </w:numPr>
        <w:tabs>
          <w:tab w:val="left" w:leader="none" w:pos="2754"/>
        </w:tabs>
        <w:ind w:left="720" w:hanging="720"/>
        <w:rPr>
          <w:vertAlign w:val="baseline"/>
        </w:rPr>
      </w:pPr>
      <w:r w:rsidDel="00000000" w:rsidR="00000000" w:rsidRPr="00000000">
        <w:rPr>
          <w:b w:val="1"/>
          <w:bCs w:val="1"/>
          <w:vertAlign w:val="baseline"/>
          <w:rtl w:val="0"/>
        </w:rPr>
        <w:t xml:space="preserve">Procedure at the RFQ Stage (see also Flowchart)</w:t>
      </w:r>
      <w:r w:rsidDel="00000000" w:rsidR="00000000" w:rsidRPr="00000000">
        <w:rPr>
          <w:rtl w:val="0"/>
        </w:rPr>
      </w:r>
    </w:p>
    <w:p w:rsidR="00000000" w:rsidDel="00000000" w:rsidP="00000000" w:rsidRDefault="00000000" w:rsidRPr="00000000" w14:paraId="0000002A">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Design Basis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obtain information from the following:</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conditions for atmospheric pressure adjusted for plant elevation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 Specifications for pipe dimensions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Preliminary Equipment General Arrangement for pipe routing and equipment elevations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Preliminary P &amp; IDs for valve count and line sizes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Limit List for stream pressures</w:t>
      </w:r>
    </w:p>
    <w:p w:rsidR="00000000" w:rsidDel="00000000" w:rsidP="00000000" w:rsidRDefault="00000000" w:rsidRPr="00000000" w14:paraId="00000032">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3">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Flow Rate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PDS design flow will not include any pump kickback.  The design flow rate defined on the DST will equal the PDS design flow plus any pump kickback. The Hydraulic Engineer will assume a value for the pump kickback. The vendor will confirm this value at a later date.</w:t>
      </w:r>
    </w:p>
    <w:p w:rsidR="00000000" w:rsidDel="00000000" w:rsidP="00000000" w:rsidRDefault="00000000" w:rsidRPr="00000000" w14:paraId="00000035">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6">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Preliminary TDH</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calculate the preliminary TDH.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Preliminary NPSH Available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calculate the preliminary NPSH available.</w:t>
      </w:r>
    </w:p>
    <w:p w:rsidR="00000000" w:rsidDel="00000000" w:rsidP="00000000" w:rsidRDefault="00000000" w:rsidRPr="00000000" w14:paraId="0000003B">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3C">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Maximum Suction Pressure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calculate the Maximum Suction Pressure.</w:t>
      </w:r>
    </w:p>
    <w:p w:rsidR="00000000" w:rsidDel="00000000" w:rsidP="00000000" w:rsidRDefault="00000000" w:rsidRPr="00000000" w14:paraId="0000003E">
      <w:pPr>
        <w:tabs>
          <w:tab w:val="left" w:leader="none" w:pos="2754"/>
        </w:tabs>
        <w:ind w:firstLine="720"/>
        <w:rPr>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6"/>
        </w:numPr>
        <w:tabs>
          <w:tab w:val="left" w:leader="none" w:pos="2754"/>
        </w:tabs>
        <w:ind w:left="720" w:hanging="720"/>
        <w:rPr>
          <w:vertAlign w:val="baseline"/>
        </w:rPr>
      </w:pPr>
      <w:r w:rsidDel="00000000" w:rsidR="00000000" w:rsidRPr="00000000">
        <w:rPr>
          <w:b w:val="1"/>
          <w:bCs w:val="1"/>
          <w:vertAlign w:val="baseline"/>
          <w:rtl w:val="0"/>
        </w:rPr>
        <w:t xml:space="preserve">Procedure at RFP Stage</w:t>
      </w:r>
      <w:r w:rsidDel="00000000" w:rsidR="00000000" w:rsidRPr="00000000">
        <w:rPr>
          <w:rtl w:val="0"/>
        </w:rPr>
      </w:r>
    </w:p>
    <w:p w:rsidR="00000000" w:rsidDel="00000000" w:rsidP="00000000" w:rsidRDefault="00000000" w:rsidRPr="00000000" w14:paraId="00000040">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Design Basis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recalculate the pump requirements from pump vendor-supplied data, the design issue of the PDS and the latest Detailed Design Information.  If a calculated TDH for a pump is based on a tie point condition from the Battery Limit List, that tie point pressure must be certified.</w:t>
      </w:r>
    </w:p>
    <w:p w:rsidR="00000000" w:rsidDel="00000000" w:rsidP="00000000" w:rsidRDefault="00000000" w:rsidRPr="00000000" w14:paraId="00000042">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43">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Flow Rate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actual Vendor recommended minimum continuous flow will be used for the pump kickbacks to replace the estimate that was used in Section 3.2 during the RFQ stage.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numPr>
          <w:ilvl w:val="0"/>
          <w:numId w:val="6"/>
        </w:numPr>
        <w:tabs>
          <w:tab w:val="left" w:leader="none" w:pos="2754"/>
        </w:tabs>
        <w:ind w:left="720" w:hanging="720"/>
        <w:rPr>
          <w:vertAlign w:val="baseline"/>
        </w:rPr>
      </w:pPr>
      <w:r w:rsidDel="00000000" w:rsidR="00000000" w:rsidRPr="00000000">
        <w:rPr>
          <w:b w:val="1"/>
          <w:bCs w:val="1"/>
          <w:vertAlign w:val="baseline"/>
          <w:rtl w:val="0"/>
        </w:rPr>
        <w:t xml:space="preserve">Procedure for Final Impeller Trim</w:t>
      </w:r>
      <w:r w:rsidDel="00000000" w:rsidR="00000000" w:rsidRPr="00000000">
        <w:rPr>
          <w:rtl w:val="0"/>
        </w:rPr>
      </w:r>
    </w:p>
    <w:p w:rsidR="00000000" w:rsidDel="00000000" w:rsidP="00000000" w:rsidRDefault="00000000" w:rsidRPr="00000000" w14:paraId="00000047">
      <w:pPr>
        <w:pStyle w:val="Heading2"/>
        <w:numPr>
          <w:ilvl w:val="1"/>
          <w:numId w:val="6"/>
        </w:numPr>
        <w:tabs>
          <w:tab w:val="left" w:leader="none" w:pos="2754"/>
        </w:tabs>
        <w:ind w:left="720" w:hanging="720"/>
        <w:rPr>
          <w:vertAlign w:val="baseline"/>
        </w:rPr>
      </w:pPr>
      <w:r w:rsidDel="00000000" w:rsidR="00000000" w:rsidRPr="00000000">
        <w:rPr>
          <w:b w:val="1"/>
          <w:bCs w:val="1"/>
          <w:vertAlign w:val="baseline"/>
          <w:rtl w:val="0"/>
        </w:rPr>
        <w:t xml:space="preserve">Design Basis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obtain additional final information from the following: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equipment pressure drop figures from equipment files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Isometrics from the design office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 Data</w:t>
      </w:r>
    </w:p>
    <w:p w:rsidR="00000000" w:rsidDel="00000000" w:rsidP="00000000" w:rsidRDefault="00000000" w:rsidRPr="00000000" w14:paraId="0000004C">
      <w:pPr>
        <w:tabs>
          <w:tab w:val="left" w:leader="none" w:pos="2754"/>
        </w:tabs>
        <w:ind w:firstLine="720"/>
        <w:rPr>
          <w:vertAlign w:val="baseline"/>
        </w:rPr>
      </w:pPr>
      <w:r w:rsidDel="00000000" w:rsidR="00000000" w:rsidRPr="00000000">
        <w:rPr>
          <w:rtl w:val="0"/>
        </w:rPr>
      </w:r>
    </w:p>
    <w:p w:rsidR="00000000" w:rsidDel="00000000" w:rsidP="00000000" w:rsidRDefault="00000000" w:rsidRPr="00000000" w14:paraId="0000004D">
      <w:pPr>
        <w:pStyle w:val="Heading1"/>
        <w:numPr>
          <w:ilvl w:val="0"/>
          <w:numId w:val="6"/>
        </w:numPr>
        <w:tabs>
          <w:tab w:val="left" w:leader="none" w:pos="2754"/>
        </w:tabs>
        <w:ind w:left="720" w:hanging="720"/>
        <w:rPr>
          <w:vertAlign w:val="baseline"/>
        </w:rPr>
      </w:pPr>
      <w:r w:rsidDel="00000000" w:rsidR="00000000" w:rsidRPr="00000000">
        <w:rPr>
          <w:b w:val="1"/>
          <w:bCs w:val="1"/>
          <w:vertAlign w:val="baseline"/>
          <w:rtl w:val="0"/>
        </w:rPr>
        <w:t xml:space="preserve">Driver Sizing</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Requisition Originator will check that at final impeller size, the motor and coupling are sized for runout power and the baseplate is able to accommodate one motor size larger.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numPr>
          <w:ilvl w:val="0"/>
          <w:numId w:val="6"/>
        </w:numPr>
        <w:tabs>
          <w:tab w:val="left" w:leader="none" w:pos="2754"/>
        </w:tabs>
        <w:ind w:left="720" w:hanging="720"/>
        <w:rPr>
          <w:vertAlign w:val="baseline"/>
        </w:rPr>
      </w:pPr>
      <w:r w:rsidDel="00000000" w:rsidR="00000000" w:rsidRPr="00000000">
        <w:rPr>
          <w:b w:val="1"/>
          <w:bCs w:val="1"/>
          <w:vertAlign w:val="baseline"/>
          <w:rtl w:val="0"/>
        </w:rPr>
        <w:t xml:space="preserve">Documentation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Hydraulic Engineer will store all calculations electronically in the project directory under 4-Equipment/Cal/Hydraulic, and hard copies in a binder.</w:t>
      </w:r>
    </w:p>
    <w:p w:rsidR="00000000" w:rsidDel="00000000" w:rsidP="00000000" w:rsidRDefault="00000000" w:rsidRPr="00000000" w14:paraId="00000052">
      <w:pPr>
        <w:tabs>
          <w:tab w:val="left" w:leader="none" w:pos="2754"/>
        </w:tabs>
        <w:ind w:firstLine="720"/>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Commentary:</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Hydraulic Engineer performing the pump calculations will generally be a Mechanical or Process Engineer.  The Hydraulic Engineer will likely also be either the Requisition Originator or Process Engineer referenced in the procedure.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also:</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8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Standard-4-PRC-0003: Equipment Design and Specification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86"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Standard-0-PRC-5002: Requisition for Purchase Enquiry / Order.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The PDS fluid properties will include the Design Temperature, Design Specific gravity, Design Vapour Pressure and Design Viscosity.  Sheet 2 of the PDS will show liquid levels/pressures at origins/destinations, branch flows and equipment pressure drops.  Previous projects may be consulted to estimate equipment pressure drop or the following can be used for reference:</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ff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35 kPag at design flow for liquid control valves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ff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70 kPag at design flow for shell &amp; tube or plate heat exchangers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ff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70 kPag to 175 kPag for filters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ff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35 kPag at design flow for in-line mixers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ff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35 kPag at design flow for orifices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Requisition Originator will produce the DST.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3.1: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pipe specifications or fluid data tables are not found within Pipe-Flo’s standard list and must be created, ensure that the table files (*.ptbl *.ftbl ) are saved in the project directory along with the calculation.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Vendor Minimum Continuous Flow Requirement will be used for the kickback flow.  Because the Vendor MCF Requirement is not yet known at the RFQ stage, 25% of the process design flow will be used as an estimate for TDH and NPSHa calculations.  See commentary to Section 4.2 for further discussion on Minimum Flow Requirements.  For the RFQ stage, the design flow on the DST will be entered as the value of the PDS design flow + ‘Vendor Minimum Continuous Flow’.  For example 9 + Vendor Minimum Continuous Flow’</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3.3: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calculate the preliminary TDH, use: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static component:</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 and destination elevation differences obtained from the Preliminary Equipment General Arrangements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 and destination pressure and liquid level differences obtained from the PDS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dynamic component:</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130 % of estimated pipe length (X, Y and Z coordinate difference from origin to destination for the pipe length may be used if routing is not known at all)</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elbows for fittings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valve count from the Preliminary P &amp; ID</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preliminary pipe size</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estimated equipment pressure drop</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36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Summarise the TDH into elevation, pressure, equipment, control valves and friction losses.  This will serve as a quick check of the calculation. Add a 10% safety factor on pipe/fitting friction losses only.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3.4: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calculate preliminary NPSH, use:</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flow rate that has an assumed kickback factored in</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assumed suction piping layout for pipe length and fittings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valve count from the Preliminary P &amp; ID</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preliminary pipe size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atmospheric pressure corrected for site elevation</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highest (design) vapour pressure of the fluid from the PDS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minimum operating pressure and level in vessel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equipment elevation difference from the assumed suction piping layout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calculate maximum suction pressure, use:</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maximum operating pressure in vessel </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08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maximum operating level in vessel.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18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Requisition Originator will use the maximum suction pressure and TDH to check that the pump casing pressure/temperature limits are suitable.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4.1: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order to meet delivery, pumps with exotic materials will be purchased based upon preliminary TDH calculations because the Vendor will typically purchase the casing at time of order and not purchase the motor/coupling/baseplate or trim the impeller until much later.  The Requisition Originator will ensure that the casings have an ability to accommodate changes in duty point that will be made before final impeller trim.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Magnetic drive pump Vendors will typically purchase the magnet assembly at the same time as the casing and therefore the TDH will have to be finalised at least to within a motor size at time of purchase.  This may limit the use of magnetic drive pumps to very well defined applications that change little from project to project.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calculations using pipe reducers that are based on the quoted pump suction and discharge connection sizes.  Incorrectly sized reducer sizes will result in large differences in friction K factors for reducers with very small approaches such those found with PVC and CPVC piping.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Requisition Originator will ensure required NPSH for proposed pumps is exceeded by available NPSH by at least 1m.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4.2: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MCF will be added to the PDS design flow in cases where the pump will operate continuously with a closed control or automatic on/off valve on the pump discharge.  This minimum flow may be the pump vendors’ recommended MCF.  However this figure tends to be conservative and adding too much flow may cause problems running farther out on the curve especially with respect to NPSH.</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vendor recommends the MCF to guarantee that the pump will operate with acceptable radial forces on the shaft and consequently, acceptable vibration, noise and bearing life.  Short-term periods of higher vibration and noise are generally acceptable and bearing life is a concern only when specified by the Owner.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Alternatively the MTF (minimum thermal flow) can be used and is calculated as follows: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MTF= 3.6*kW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bscript"/>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reekC" w:cs="GreekC" w:eastAsia="GreekC" w:hAnsi="GreekC"/>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08.0" w:type="dxa"/>
        <w:jc w:val="left"/>
        <w:tblInd w:w="612.0" w:type="dxa"/>
        <w:tblLayout w:type="fixed"/>
        <w:tblLook w:val="0000"/>
      </w:tblPr>
      <w:tblGrid>
        <w:gridCol w:w="1998"/>
        <w:gridCol w:w="3780"/>
        <w:gridCol w:w="3330"/>
        <w:tblGridChange w:id="0">
          <w:tblGrid>
            <w:gridCol w:w="1998"/>
            <w:gridCol w:w="3780"/>
            <w:gridCol w:w="3330"/>
          </w:tblGrid>
        </w:tblGridChange>
      </w:tblGrid>
      <w:tr>
        <w:trPr>
          <w:cantSplit w:val="0"/>
          <w:tblHeader w:val="0"/>
        </w:trPr>
        <w:tc>
          <w:tcPr>
            <w:vAlign w:val="top"/>
          </w:tcPr>
          <w:p w:rsidR="00000000" w:rsidDel="00000000" w:rsidP="00000000" w:rsidRDefault="00000000" w:rsidRPr="00000000" w14:paraId="00000095">
            <w:pPr>
              <w:tabs>
                <w:tab w:val="left" w:leader="none" w:pos="2754"/>
              </w:tabs>
              <w:spacing w:after="20" w:lineRule="auto"/>
              <w:ind w:firstLine="720"/>
              <w:jc w:val="center"/>
              <w:rPr>
                <w:vertAlign w:val="baseline"/>
              </w:rPr>
            </w:pPr>
            <w:r w:rsidDel="00000000" w:rsidR="00000000" w:rsidRPr="00000000">
              <w:rPr>
                <w:vertAlign w:val="baseline"/>
                <w:rtl w:val="0"/>
              </w:rPr>
              <w:t xml:space="preserve">MTF</w:t>
            </w:r>
          </w:p>
        </w:tc>
        <w:tc>
          <w:tcPr>
            <w:vAlign w:val="top"/>
          </w:tcPr>
          <w:p w:rsidR="00000000" w:rsidDel="00000000" w:rsidP="00000000" w:rsidRDefault="00000000" w:rsidRPr="00000000" w14:paraId="00000096">
            <w:pPr>
              <w:tabs>
                <w:tab w:val="left" w:leader="none" w:pos="2754"/>
              </w:tabs>
              <w:spacing w:after="20" w:lineRule="auto"/>
              <w:ind w:firstLine="720"/>
              <w:rPr>
                <w:vertAlign w:val="baseline"/>
              </w:rPr>
            </w:pPr>
            <w:r w:rsidDel="00000000" w:rsidR="00000000" w:rsidRPr="00000000">
              <w:rPr>
                <w:vertAlign w:val="baseline"/>
                <w:rtl w:val="0"/>
              </w:rPr>
              <w:t xml:space="preserve">Minimum thermal flow</w:t>
            </w:r>
          </w:p>
        </w:tc>
        <w:tc>
          <w:tcPr>
            <w:vAlign w:val="top"/>
          </w:tcPr>
          <w:p w:rsidR="00000000" w:rsidDel="00000000" w:rsidP="00000000" w:rsidRDefault="00000000" w:rsidRPr="00000000" w14:paraId="00000097">
            <w:pPr>
              <w:tabs>
                <w:tab w:val="left" w:leader="none" w:pos="2754"/>
              </w:tabs>
              <w:spacing w:after="20" w:lineRule="auto"/>
              <w:ind w:firstLine="720"/>
              <w:rPr>
                <w:vertAlign w:val="baseline"/>
              </w:rPr>
            </w:pPr>
            <w:r w:rsidDel="00000000" w:rsidR="00000000" w:rsidRPr="00000000">
              <w:rPr>
                <w:vertAlign w:val="baseline"/>
                <w:rtl w:val="0"/>
              </w:rPr>
              <w:t xml:space="preserve">m3/h</w:t>
            </w:r>
          </w:p>
        </w:tc>
      </w:tr>
      <w:tr>
        <w:trPr>
          <w:cantSplit w:val="0"/>
          <w:tblHeader w:val="0"/>
        </w:trPr>
        <w:tc>
          <w:tcPr>
            <w:vAlign w:val="top"/>
          </w:tcPr>
          <w:p w:rsidR="00000000" w:rsidDel="00000000" w:rsidP="00000000" w:rsidRDefault="00000000" w:rsidRPr="00000000" w14:paraId="00000098">
            <w:pPr>
              <w:tabs>
                <w:tab w:val="left" w:leader="none" w:pos="2754"/>
              </w:tabs>
              <w:spacing w:after="20" w:lineRule="auto"/>
              <w:ind w:firstLine="720"/>
              <w:jc w:val="center"/>
              <w:rPr>
                <w:vertAlign w:val="baseline"/>
              </w:rPr>
            </w:pPr>
            <w:r w:rsidDel="00000000" w:rsidR="00000000" w:rsidRPr="00000000">
              <w:rPr>
                <w:vertAlign w:val="baseline"/>
                <w:rtl w:val="0"/>
              </w:rPr>
              <w:t xml:space="preserve">kW</w:t>
            </w:r>
            <w:r w:rsidDel="00000000" w:rsidR="00000000" w:rsidRPr="00000000">
              <w:rPr>
                <w:vertAlign w:val="subscript"/>
                <w:rtl w:val="0"/>
              </w:rPr>
              <w:t xml:space="preserve">o</w:t>
            </w:r>
            <w:r w:rsidDel="00000000" w:rsidR="00000000" w:rsidRPr="00000000">
              <w:rPr>
                <w:rtl w:val="0"/>
              </w:rPr>
            </w:r>
          </w:p>
        </w:tc>
        <w:tc>
          <w:tcPr>
            <w:vAlign w:val="top"/>
          </w:tcPr>
          <w:p w:rsidR="00000000" w:rsidDel="00000000" w:rsidP="00000000" w:rsidRDefault="00000000" w:rsidRPr="00000000" w14:paraId="00000099">
            <w:pPr>
              <w:tabs>
                <w:tab w:val="left" w:leader="none" w:pos="2754"/>
              </w:tabs>
              <w:spacing w:after="20" w:lineRule="auto"/>
              <w:ind w:firstLine="720"/>
              <w:rPr>
                <w:vertAlign w:val="baseline"/>
              </w:rPr>
            </w:pPr>
            <w:r w:rsidDel="00000000" w:rsidR="00000000" w:rsidRPr="00000000">
              <w:rPr>
                <w:vertAlign w:val="baseline"/>
                <w:rtl w:val="0"/>
              </w:rPr>
              <w:t xml:space="preserve">Pump kW at shut off</w:t>
            </w:r>
          </w:p>
        </w:tc>
        <w:tc>
          <w:tcPr>
            <w:vAlign w:val="top"/>
          </w:tcPr>
          <w:p w:rsidR="00000000" w:rsidDel="00000000" w:rsidP="00000000" w:rsidRDefault="00000000" w:rsidRPr="00000000" w14:paraId="0000009A">
            <w:pPr>
              <w:tabs>
                <w:tab w:val="left" w:leader="none" w:pos="2754"/>
              </w:tabs>
              <w:spacing w:after="20" w:lineRule="auto"/>
              <w:ind w:firstLine="720"/>
              <w:rPr>
                <w:vertAlign w:val="baseline"/>
              </w:rPr>
            </w:pPr>
            <w:r w:rsidDel="00000000" w:rsidR="00000000" w:rsidRPr="00000000">
              <w:rPr>
                <w:vertAlign w:val="baseline"/>
                <w:rtl w:val="0"/>
              </w:rPr>
              <w:t xml:space="preserve">kW</w:t>
            </w:r>
          </w:p>
        </w:tc>
      </w:tr>
      <w:tr>
        <w:trPr>
          <w:cantSplit w:val="0"/>
          <w:tblHeader w:val="0"/>
        </w:trPr>
        <w:tc>
          <w:tcPr>
            <w:vAlign w:val="top"/>
          </w:tcPr>
          <w:p w:rsidR="00000000" w:rsidDel="00000000" w:rsidP="00000000" w:rsidRDefault="00000000" w:rsidRPr="00000000" w14:paraId="0000009B">
            <w:pPr>
              <w:tabs>
                <w:tab w:val="left" w:leader="none" w:pos="2754"/>
              </w:tabs>
              <w:spacing w:after="20" w:lineRule="auto"/>
              <w:ind w:firstLine="720"/>
              <w:jc w:val="center"/>
              <w:rPr>
                <w:vertAlign w:val="baseline"/>
              </w:rPr>
            </w:pPr>
            <w:r w:rsidDel="00000000" w:rsidR="00000000" w:rsidRPr="00000000">
              <w:rPr>
                <w:vertAlign w:val="baseline"/>
                <w:rtl w:val="0"/>
              </w:rPr>
              <w:t xml:space="preserve">S</w:t>
            </w:r>
            <w:r w:rsidDel="00000000" w:rsidR="00000000" w:rsidRPr="00000000">
              <w:rPr>
                <w:vertAlign w:val="subscript"/>
                <w:rtl w:val="0"/>
              </w:rPr>
              <w:t xml:space="preserve">g</w:t>
            </w:r>
            <w:r w:rsidDel="00000000" w:rsidR="00000000" w:rsidRPr="00000000">
              <w:rPr>
                <w:rtl w:val="0"/>
              </w:rPr>
            </w:r>
          </w:p>
        </w:tc>
        <w:tc>
          <w:tcPr>
            <w:vAlign w:val="top"/>
          </w:tcPr>
          <w:p w:rsidR="00000000" w:rsidDel="00000000" w:rsidP="00000000" w:rsidRDefault="00000000" w:rsidRPr="00000000" w14:paraId="0000009C">
            <w:pPr>
              <w:tabs>
                <w:tab w:val="left" w:leader="none" w:pos="2754"/>
              </w:tabs>
              <w:spacing w:after="20" w:lineRule="auto"/>
              <w:ind w:firstLine="720"/>
              <w:rPr>
                <w:vertAlign w:val="baseline"/>
              </w:rPr>
            </w:pPr>
            <w:r w:rsidDel="00000000" w:rsidR="00000000" w:rsidRPr="00000000">
              <w:rPr>
                <w:vertAlign w:val="baseline"/>
                <w:rtl w:val="0"/>
              </w:rPr>
              <w:t xml:space="preserve">Fluid specific gravity</w:t>
            </w:r>
          </w:p>
        </w:tc>
        <w:tc>
          <w:tcPr>
            <w:vAlign w:val="top"/>
          </w:tcPr>
          <w:p w:rsidR="00000000" w:rsidDel="00000000" w:rsidP="00000000" w:rsidRDefault="00000000" w:rsidRPr="00000000" w14:paraId="0000009D">
            <w:pPr>
              <w:tabs>
                <w:tab w:val="left" w:leader="none" w:pos="2754"/>
              </w:tabs>
              <w:spacing w:after="20" w:lineRule="auto"/>
              <w:ind w:firstLine="72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tabs>
                <w:tab w:val="left" w:leader="none" w:pos="2754"/>
              </w:tabs>
              <w:spacing w:after="20" w:lineRule="auto"/>
              <w:ind w:firstLine="720"/>
              <w:jc w:val="center"/>
              <w:rPr>
                <w:vertAlign w:val="baseline"/>
              </w:rPr>
            </w:pPr>
            <w:r w:rsidDel="00000000" w:rsidR="00000000" w:rsidRPr="00000000">
              <w:rPr>
                <w:vertAlign w:val="baseline"/>
                <w:rtl w:val="0"/>
              </w:rPr>
              <w:t xml:space="preserve">C</w:t>
            </w:r>
            <w:r w:rsidDel="00000000" w:rsidR="00000000" w:rsidRPr="00000000">
              <w:rPr>
                <w:vertAlign w:val="subscript"/>
                <w:rtl w:val="0"/>
              </w:rPr>
              <w:t xml:space="preserve">p</w:t>
            </w:r>
            <w:r w:rsidDel="00000000" w:rsidR="00000000" w:rsidRPr="00000000">
              <w:rPr>
                <w:rtl w:val="0"/>
              </w:rPr>
            </w:r>
          </w:p>
        </w:tc>
        <w:tc>
          <w:tcPr>
            <w:vAlign w:val="top"/>
          </w:tcPr>
          <w:p w:rsidR="00000000" w:rsidDel="00000000" w:rsidP="00000000" w:rsidRDefault="00000000" w:rsidRPr="00000000" w14:paraId="0000009F">
            <w:pPr>
              <w:tabs>
                <w:tab w:val="left" w:leader="none" w:pos="2754"/>
              </w:tabs>
              <w:spacing w:after="20" w:lineRule="auto"/>
              <w:ind w:firstLine="720"/>
              <w:rPr>
                <w:vertAlign w:val="baseline"/>
              </w:rPr>
            </w:pPr>
            <w:r w:rsidDel="00000000" w:rsidR="00000000" w:rsidRPr="00000000">
              <w:rPr>
                <w:vertAlign w:val="baseline"/>
                <w:rtl w:val="0"/>
              </w:rPr>
              <w:t xml:space="preserve">Fluid specific heat</w:t>
            </w:r>
          </w:p>
        </w:tc>
        <w:tc>
          <w:tcPr>
            <w:vAlign w:val="top"/>
          </w:tcPr>
          <w:p w:rsidR="00000000" w:rsidDel="00000000" w:rsidP="00000000" w:rsidRDefault="00000000" w:rsidRPr="00000000" w14:paraId="000000A0">
            <w:pPr>
              <w:tabs>
                <w:tab w:val="left" w:leader="none" w:pos="2754"/>
              </w:tabs>
              <w:spacing w:after="20" w:lineRule="auto"/>
              <w:ind w:firstLine="720"/>
              <w:rPr>
                <w:vertAlign w:val="baseline"/>
              </w:rPr>
            </w:pPr>
            <w:r w:rsidDel="00000000" w:rsidR="00000000" w:rsidRPr="00000000">
              <w:rPr>
                <w:vertAlign w:val="baseline"/>
                <w:rtl w:val="0"/>
              </w:rPr>
              <w:t xml:space="preserve">kJ/kg·K</w:t>
            </w:r>
          </w:p>
        </w:tc>
      </w:tr>
      <w:tr>
        <w:trPr>
          <w:cantSplit w:val="0"/>
          <w:trHeight w:val="81" w:hRule="atLeast"/>
          <w:tblHeader w:val="0"/>
        </w:trPr>
        <w:tc>
          <w:tcPr>
            <w:vAlign w:val="top"/>
          </w:tcPr>
          <w:p w:rsidR="00000000" w:rsidDel="00000000" w:rsidP="00000000" w:rsidRDefault="00000000" w:rsidRPr="00000000" w14:paraId="000000A1">
            <w:pPr>
              <w:tabs>
                <w:tab w:val="left" w:leader="none" w:pos="2754"/>
              </w:tabs>
              <w:spacing w:after="20" w:lineRule="auto"/>
              <w:ind w:firstLine="720"/>
              <w:jc w:val="center"/>
              <w:rPr>
                <w:vertAlign w:val="baseline"/>
              </w:rPr>
            </w:pPr>
            <w:r w:rsidDel="00000000" w:rsidR="00000000" w:rsidRPr="00000000">
              <w:rPr>
                <w:rFonts w:ascii="GreekC" w:cs="GreekC" w:eastAsia="GreekC" w:hAnsi="GreekC"/>
                <w:vertAlign w:val="baseline"/>
                <w:rtl w:val="0"/>
              </w:rPr>
              <w:t xml:space="preserve">D</w:t>
            </w:r>
            <w:r w:rsidDel="00000000" w:rsidR="00000000" w:rsidRPr="00000000">
              <w:rPr>
                <w:vertAlign w:val="baseline"/>
                <w:rtl w:val="0"/>
              </w:rPr>
              <w:t xml:space="preserve">T</w:t>
            </w:r>
          </w:p>
        </w:tc>
        <w:tc>
          <w:tcPr>
            <w:vAlign w:val="top"/>
          </w:tcPr>
          <w:p w:rsidR="00000000" w:rsidDel="00000000" w:rsidP="00000000" w:rsidRDefault="00000000" w:rsidRPr="00000000" w14:paraId="000000A2">
            <w:pPr>
              <w:tabs>
                <w:tab w:val="left" w:leader="none" w:pos="2754"/>
              </w:tabs>
              <w:spacing w:after="20" w:lineRule="auto"/>
              <w:ind w:firstLine="720"/>
              <w:rPr>
                <w:vertAlign w:val="baseline"/>
              </w:rPr>
            </w:pPr>
            <w:r w:rsidDel="00000000" w:rsidR="00000000" w:rsidRPr="00000000">
              <w:rPr>
                <w:vertAlign w:val="baseline"/>
                <w:rtl w:val="0"/>
              </w:rPr>
              <w:t xml:space="preserve">Allowable temperature rise</w:t>
            </w:r>
          </w:p>
        </w:tc>
        <w:tc>
          <w:tcPr>
            <w:vAlign w:val="top"/>
          </w:tcPr>
          <w:p w:rsidR="00000000" w:rsidDel="00000000" w:rsidP="00000000" w:rsidRDefault="00000000" w:rsidRPr="00000000" w14:paraId="000000A3">
            <w:pPr>
              <w:tabs>
                <w:tab w:val="left" w:leader="none" w:pos="2754"/>
              </w:tabs>
              <w:spacing w:after="20" w:lineRule="auto"/>
              <w:ind w:firstLine="720"/>
              <w:rPr>
                <w:vertAlign w:val="baseline"/>
              </w:rPr>
            </w:pPr>
            <w:r w:rsidDel="00000000" w:rsidR="00000000" w:rsidRPr="00000000">
              <w:rPr>
                <w:vertAlign w:val="superscript"/>
                <w:rtl w:val="0"/>
              </w:rPr>
              <w:t xml:space="preserve">o</w:t>
            </w:r>
            <w:r w:rsidDel="00000000" w:rsidR="00000000" w:rsidRPr="00000000">
              <w:rPr>
                <w:vertAlign w:val="baseline"/>
                <w:rtl w:val="0"/>
              </w:rPr>
              <w:t xml:space="preserve">C</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standard, the allowable temperature rise will be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but the Process Engineer will confirm that the temperature rise produces no process problems and the Requisition Originator will verify that the pump and piping can handle the temperature rise.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5.1: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Determine the final TDH once all the information is available (likely not until very late in the project).  The Requisition Originator must ensure that the calculation is done while still enabling the pump vendor to meet the delivery schedule.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Instrument Data for control valve pressure drops as well as pressure drop figures for any instruments that may have significant pressure drops depending on how they are sized such as Coriolis meters.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Pump NPSH required is sensitive to the impeller size.  Check the NPSH available (should not have changed since preliminary sizing) and inform the Process Engineer where there is inadequate margin.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 impeller is sized not only for the duty point, but also to raise liquid to the highest point in the piping at start-up with enough flow to form a siphon.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that the Vendor has factored in seal drag in calculating power requirements.  Many applications employ SiC vs. SiC inboard seal faces with an external flush, which results in significant seal drag.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formula provides a figure for pump operating kW for reference.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Pump kilowatts  =Q*H* 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bscript"/>
          <w:rtl w:val="0"/>
        </w:rPr>
        <w:t xml:space="preserv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/(367*</w:t>
      </w:r>
      <w:r w:rsidDel="00000000" w:rsidR="00000000" w:rsidRPr="00000000">
        <w:rPr>
          <w:rFonts w:ascii="GreekC" w:cs="GreekC" w:eastAsia="GreekC" w:hAnsi="GreekC"/>
          <w:b w:val="0"/>
          <w:bCs w:val="0"/>
          <w:i w:val="0"/>
          <w:iCs w:val="0"/>
          <w:smallCaps w:val="0"/>
          <w:strike w:val="0"/>
          <w:color w:val="000000"/>
          <w:sz w:val="22"/>
          <w:szCs w:val="2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108.0" w:type="dxa"/>
        <w:jc w:val="left"/>
        <w:tblInd w:w="612.0" w:type="dxa"/>
        <w:tblLayout w:type="fixed"/>
        <w:tblLook w:val="0000"/>
      </w:tblPr>
      <w:tblGrid>
        <w:gridCol w:w="1998"/>
        <w:gridCol w:w="3780"/>
        <w:gridCol w:w="3330"/>
        <w:tblGridChange w:id="0">
          <w:tblGrid>
            <w:gridCol w:w="1998"/>
            <w:gridCol w:w="3780"/>
            <w:gridCol w:w="3330"/>
          </w:tblGrid>
        </w:tblGridChange>
      </w:tblGrid>
      <w:tr>
        <w:trPr>
          <w:cantSplit w:val="0"/>
          <w:tblHeader w:val="0"/>
        </w:trPr>
        <w:tc>
          <w:tcPr>
            <w:vAlign w:val="top"/>
          </w:tcPr>
          <w:p w:rsidR="00000000" w:rsidDel="00000000" w:rsidP="00000000" w:rsidRDefault="00000000" w:rsidRPr="00000000" w14:paraId="000000B5">
            <w:pPr>
              <w:tabs>
                <w:tab w:val="left" w:leader="none" w:pos="2754"/>
              </w:tabs>
              <w:spacing w:after="20" w:lineRule="auto"/>
              <w:ind w:firstLine="720"/>
              <w:jc w:val="center"/>
              <w:rPr>
                <w:vertAlign w:val="baseline"/>
              </w:rPr>
            </w:pPr>
            <w:r w:rsidDel="00000000" w:rsidR="00000000" w:rsidRPr="00000000">
              <w:rPr>
                <w:vertAlign w:val="baseline"/>
                <w:rtl w:val="0"/>
              </w:rPr>
              <w:t xml:space="preserve">Q</w:t>
            </w:r>
          </w:p>
        </w:tc>
        <w:tc>
          <w:tcPr>
            <w:vAlign w:val="top"/>
          </w:tcPr>
          <w:p w:rsidR="00000000" w:rsidDel="00000000" w:rsidP="00000000" w:rsidRDefault="00000000" w:rsidRPr="00000000" w14:paraId="000000B6">
            <w:pPr>
              <w:tabs>
                <w:tab w:val="left" w:leader="none" w:pos="2754"/>
              </w:tabs>
              <w:spacing w:after="20" w:lineRule="auto"/>
              <w:ind w:firstLine="720"/>
              <w:rPr>
                <w:vertAlign w:val="baseline"/>
              </w:rPr>
            </w:pPr>
            <w:r w:rsidDel="00000000" w:rsidR="00000000" w:rsidRPr="00000000">
              <w:rPr>
                <w:vertAlign w:val="baseline"/>
                <w:rtl w:val="0"/>
              </w:rPr>
              <w:t xml:space="preserve">Flow rate</w:t>
            </w:r>
          </w:p>
        </w:tc>
        <w:tc>
          <w:tcPr>
            <w:vAlign w:val="top"/>
          </w:tcPr>
          <w:p w:rsidR="00000000" w:rsidDel="00000000" w:rsidP="00000000" w:rsidRDefault="00000000" w:rsidRPr="00000000" w14:paraId="000000B7">
            <w:pPr>
              <w:tabs>
                <w:tab w:val="left" w:leader="none" w:pos="2754"/>
              </w:tabs>
              <w:spacing w:after="20" w:lineRule="auto"/>
              <w:ind w:firstLine="720"/>
              <w:rPr>
                <w:vertAlign w:val="baseline"/>
              </w:rPr>
            </w:pPr>
            <w:r w:rsidDel="00000000" w:rsidR="00000000" w:rsidRPr="00000000">
              <w:rPr>
                <w:vertAlign w:val="baseline"/>
                <w:rtl w:val="0"/>
              </w:rPr>
              <w:t xml:space="preserve">m</w:t>
            </w:r>
            <w:r w:rsidDel="00000000" w:rsidR="00000000" w:rsidRPr="00000000">
              <w:rPr>
                <w:vertAlign w:val="superscript"/>
                <w:rtl w:val="0"/>
              </w:rPr>
              <w:t xml:space="preserve">3</w:t>
            </w:r>
            <w:r w:rsidDel="00000000" w:rsidR="00000000" w:rsidRPr="00000000">
              <w:rPr>
                <w:vertAlign w:val="baseline"/>
                <w:rtl w:val="0"/>
              </w:rPr>
              <w:t xml:space="preserve">/h</w:t>
            </w:r>
          </w:p>
        </w:tc>
      </w:tr>
      <w:tr>
        <w:trPr>
          <w:cantSplit w:val="0"/>
          <w:tblHeader w:val="0"/>
        </w:trPr>
        <w:tc>
          <w:tcPr>
            <w:vAlign w:val="top"/>
          </w:tcPr>
          <w:p w:rsidR="00000000" w:rsidDel="00000000" w:rsidP="00000000" w:rsidRDefault="00000000" w:rsidRPr="00000000" w14:paraId="000000B8">
            <w:pPr>
              <w:tabs>
                <w:tab w:val="left" w:leader="none" w:pos="2754"/>
              </w:tabs>
              <w:spacing w:after="20" w:lineRule="auto"/>
              <w:ind w:firstLine="720"/>
              <w:jc w:val="center"/>
              <w:rPr>
                <w:vertAlign w:val="baseline"/>
              </w:rPr>
            </w:pPr>
            <w:r w:rsidDel="00000000" w:rsidR="00000000" w:rsidRPr="00000000">
              <w:rPr>
                <w:vertAlign w:val="baseline"/>
                <w:rtl w:val="0"/>
              </w:rPr>
              <w:t xml:space="preserve">H</w:t>
            </w:r>
          </w:p>
        </w:tc>
        <w:tc>
          <w:tcPr>
            <w:vAlign w:val="top"/>
          </w:tcPr>
          <w:p w:rsidR="00000000" w:rsidDel="00000000" w:rsidP="00000000" w:rsidRDefault="00000000" w:rsidRPr="00000000" w14:paraId="000000B9">
            <w:pPr>
              <w:tabs>
                <w:tab w:val="left" w:leader="none" w:pos="2754"/>
              </w:tabs>
              <w:spacing w:after="20" w:lineRule="auto"/>
              <w:ind w:firstLine="720"/>
              <w:rPr>
                <w:vertAlign w:val="baseline"/>
              </w:rPr>
            </w:pPr>
            <w:r w:rsidDel="00000000" w:rsidR="00000000" w:rsidRPr="00000000">
              <w:rPr>
                <w:vertAlign w:val="baseline"/>
                <w:rtl w:val="0"/>
              </w:rPr>
              <w:t xml:space="preserve">Total Head</w:t>
            </w:r>
          </w:p>
        </w:tc>
        <w:tc>
          <w:tcPr>
            <w:vAlign w:val="top"/>
          </w:tcPr>
          <w:p w:rsidR="00000000" w:rsidDel="00000000" w:rsidP="00000000" w:rsidRDefault="00000000" w:rsidRPr="00000000" w14:paraId="000000BA">
            <w:pPr>
              <w:tabs>
                <w:tab w:val="left" w:leader="none" w:pos="2754"/>
              </w:tabs>
              <w:spacing w:after="20" w:lineRule="auto"/>
              <w:ind w:firstLine="720"/>
              <w:rPr>
                <w:vertAlign w:val="baseline"/>
              </w:rPr>
            </w:pPr>
            <w:r w:rsidDel="00000000" w:rsidR="00000000" w:rsidRPr="00000000">
              <w:rPr>
                <w:vertAlign w:val="baseline"/>
                <w:rtl w:val="0"/>
              </w:rPr>
              <w:t xml:space="preserve">m of fluid</w:t>
            </w:r>
          </w:p>
        </w:tc>
      </w:tr>
      <w:tr>
        <w:trPr>
          <w:cantSplit w:val="0"/>
          <w:tblHeader w:val="0"/>
        </w:trPr>
        <w:tc>
          <w:tcPr>
            <w:vAlign w:val="top"/>
          </w:tcPr>
          <w:p w:rsidR="00000000" w:rsidDel="00000000" w:rsidP="00000000" w:rsidRDefault="00000000" w:rsidRPr="00000000" w14:paraId="000000BB">
            <w:pPr>
              <w:tabs>
                <w:tab w:val="left" w:leader="none" w:pos="2754"/>
              </w:tabs>
              <w:spacing w:after="20" w:lineRule="auto"/>
              <w:ind w:firstLine="720"/>
              <w:jc w:val="center"/>
              <w:rPr>
                <w:vertAlign w:val="baseline"/>
              </w:rPr>
            </w:pPr>
            <w:r w:rsidDel="00000000" w:rsidR="00000000" w:rsidRPr="00000000">
              <w:rPr>
                <w:vertAlign w:val="baseline"/>
                <w:rtl w:val="0"/>
              </w:rPr>
              <w:t xml:space="preserve">S</w:t>
            </w:r>
            <w:r w:rsidDel="00000000" w:rsidR="00000000" w:rsidRPr="00000000">
              <w:rPr>
                <w:vertAlign w:val="subscript"/>
                <w:rtl w:val="0"/>
              </w:rPr>
              <w:t xml:space="preserve">g</w:t>
            </w:r>
            <w:r w:rsidDel="00000000" w:rsidR="00000000" w:rsidRPr="00000000">
              <w:rPr>
                <w:rtl w:val="0"/>
              </w:rPr>
            </w:r>
          </w:p>
        </w:tc>
        <w:tc>
          <w:tcPr>
            <w:vAlign w:val="top"/>
          </w:tcPr>
          <w:p w:rsidR="00000000" w:rsidDel="00000000" w:rsidP="00000000" w:rsidRDefault="00000000" w:rsidRPr="00000000" w14:paraId="000000BC">
            <w:pPr>
              <w:tabs>
                <w:tab w:val="left" w:leader="none" w:pos="2754"/>
              </w:tabs>
              <w:spacing w:after="20" w:lineRule="auto"/>
              <w:ind w:firstLine="720"/>
              <w:rPr>
                <w:vertAlign w:val="baseline"/>
              </w:rPr>
            </w:pPr>
            <w:r w:rsidDel="00000000" w:rsidR="00000000" w:rsidRPr="00000000">
              <w:rPr>
                <w:vertAlign w:val="baseline"/>
                <w:rtl w:val="0"/>
              </w:rPr>
              <w:t xml:space="preserve">Fluid specific gravity</w:t>
            </w:r>
          </w:p>
        </w:tc>
        <w:tc>
          <w:tcPr>
            <w:vAlign w:val="top"/>
          </w:tcPr>
          <w:p w:rsidR="00000000" w:rsidDel="00000000" w:rsidP="00000000" w:rsidRDefault="00000000" w:rsidRPr="00000000" w14:paraId="000000BD">
            <w:pPr>
              <w:tabs>
                <w:tab w:val="left" w:leader="none" w:pos="2754"/>
              </w:tabs>
              <w:spacing w:after="20" w:lineRule="auto"/>
              <w:ind w:firstLine="72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tabs>
                <w:tab w:val="left" w:leader="none" w:pos="2754"/>
              </w:tabs>
              <w:spacing w:after="20" w:lineRule="auto"/>
              <w:ind w:firstLine="720"/>
              <w:jc w:val="center"/>
              <w:rPr>
                <w:vertAlign w:val="baseline"/>
              </w:rPr>
            </w:pPr>
            <w:r w:rsidDel="00000000" w:rsidR="00000000" w:rsidRPr="00000000">
              <w:rPr>
                <w:rFonts w:ascii="GreekC" w:cs="GreekC" w:eastAsia="GreekC" w:hAnsi="GreekC"/>
                <w:vertAlign w:val="baseline"/>
                <w:rtl w:val="0"/>
              </w:rPr>
              <w:t xml:space="preserve">h</w:t>
            </w:r>
            <w:r w:rsidDel="00000000" w:rsidR="00000000" w:rsidRPr="00000000">
              <w:rPr>
                <w:rtl w:val="0"/>
              </w:rPr>
            </w:r>
          </w:p>
        </w:tc>
        <w:tc>
          <w:tcPr>
            <w:vAlign w:val="top"/>
          </w:tcPr>
          <w:p w:rsidR="00000000" w:rsidDel="00000000" w:rsidP="00000000" w:rsidRDefault="00000000" w:rsidRPr="00000000" w14:paraId="000000BF">
            <w:pPr>
              <w:tabs>
                <w:tab w:val="left" w:leader="none" w:pos="2754"/>
              </w:tabs>
              <w:spacing w:after="20" w:lineRule="auto"/>
              <w:ind w:firstLine="720"/>
              <w:rPr>
                <w:vertAlign w:val="baseline"/>
              </w:rPr>
            </w:pPr>
            <w:r w:rsidDel="00000000" w:rsidR="00000000" w:rsidRPr="00000000">
              <w:rPr>
                <w:vertAlign w:val="baseline"/>
                <w:rtl w:val="0"/>
              </w:rPr>
              <w:t xml:space="preserve">Pump efficiency</w:t>
            </w:r>
          </w:p>
        </w:tc>
        <w:tc>
          <w:tcPr>
            <w:vAlign w:val="top"/>
          </w:tcPr>
          <w:p w:rsidR="00000000" w:rsidDel="00000000" w:rsidP="00000000" w:rsidRDefault="00000000" w:rsidRPr="00000000" w14:paraId="000000C0">
            <w:pPr>
              <w:tabs>
                <w:tab w:val="left" w:leader="none" w:pos="2754"/>
              </w:tabs>
              <w:spacing w:after="20" w:lineRule="auto"/>
              <w:ind w:firstLine="720"/>
              <w:rPr>
                <w:vertAlign w:val="baseline"/>
              </w:rPr>
            </w:pPr>
            <w:r w:rsidDel="00000000" w:rsidR="00000000" w:rsidRPr="00000000">
              <w:rPr>
                <w:vertAlign w:val="baseline"/>
                <w:rtl w:val="0"/>
              </w:rPr>
              <w:t xml:space="preserve">from Vendor – say 0.6</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baseplate will be sized for the next larger motor size.  If the motor frame size is the same for next larger motor size and the selected motor size, the baseplate can be sized for the selected motor size.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 section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pipe specifications and fluid data table files (*.ptbl *.ftbl ) that are created will be saved in the project directory under 4-Equipment /Cal/Hydraulic/Tables.  The files may be copied later to departmental directories for use on other projects.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text file will be created by using ‘Save Text File’ in Pipe-Flo and importing the *.txt file into Microsoft Excel, then adding a calculation summary, title block and revision block to the spreadsheet.  The file can then be printed and added to the binder along with the Pipe-Flo graphical output.  The spreadsheet output is easier to check than the other Pipe-Flo output.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electronic file used for preliminary calculations will simply be updated for the final calculations.  There is no need to save the preliminary calculations to an ‘old’ directory.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Pump calculation files will also be used for determining control valve pressure drop requirements, and for setting restriction orifice plate sizing criteria.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hard copy will be placed in a calculation binder with a tab for the pump tag.  If a calculation is done for a system that includes more than one pump, the hard copy will be placed with the primary pump, and notes will be placed with the other pumps directing to the primary pump where the calculation is filed.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pump in the binder, keep copies of the PDS and DST issued at each stage.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tabs>
          <w:tab w:val="left" w:leader="none" w:pos="2754"/>
          <w:tab w:val="left" w:leader="none" w:pos="1152"/>
        </w:tabs>
        <w:ind w:firstLine="720"/>
        <w:rPr>
          <w:vertAlign w:val="baseline"/>
        </w:rPr>
      </w:pPr>
      <w:r w:rsidDel="00000000" w:rsidR="00000000" w:rsidRPr="00000000">
        <w:rPr>
          <w:b w:val="1"/>
          <w:bCs w:val="1"/>
          <w:vertAlign w:val="baseline"/>
          <w:rtl w:val="0"/>
        </w:rPr>
        <w:t xml:space="preserve">To Name Change Conversion: </w:t>
      </w:r>
      <w:r w:rsidDel="00000000" w:rsidR="00000000" w:rsidRPr="00000000">
        <w:rPr>
          <w:vertAlign w:val="baseline"/>
          <w:rtl w:val="0"/>
        </w:rPr>
        <w:t xml:space="preserve">Name change has been implemented. No new revision number has been used and changes have not been marked.</w:t>
      </w:r>
    </w:p>
    <w:p w:rsidR="00000000" w:rsidDel="00000000" w:rsidP="00000000" w:rsidRDefault="00000000" w:rsidRPr="00000000" w14:paraId="000000D1">
      <w:pPr>
        <w:tabs>
          <w:tab w:val="left" w:leader="none" w:pos="2754"/>
          <w:tab w:val="left" w:leader="none" w:pos="1152"/>
        </w:tabs>
        <w:ind w:firstLine="720"/>
        <w:rPr>
          <w:vertAlign w:val="baseline"/>
        </w:rPr>
      </w:pPr>
      <w:r w:rsidDel="00000000" w:rsidR="00000000" w:rsidRPr="00000000">
        <w:rPr>
          <w:rtl w:val="0"/>
        </w:rPr>
      </w:r>
    </w:p>
    <w:p w:rsidR="00000000" w:rsidDel="00000000" w:rsidP="00000000" w:rsidRDefault="00000000" w:rsidRPr="00000000" w14:paraId="000000D2">
      <w:pPr>
        <w:tabs>
          <w:tab w:val="left" w:leader="none" w:pos="2754"/>
        </w:tabs>
        <w:ind w:firstLine="720"/>
        <w:rPr>
          <w:vertAlign w:val="baseline"/>
        </w:rPr>
      </w:pPr>
      <w:r w:rsidDel="00000000" w:rsidR="00000000" w:rsidRPr="00000000">
        <w:rPr>
          <w:b w:val="1"/>
          <w:bCs w:val="1"/>
          <w:vertAlign w:val="baseline"/>
          <w:rtl w:val="0"/>
        </w:rPr>
        <w:t xml:space="preserve">To 2005 Name Change Conversion:</w:t>
      </w:r>
      <w:r w:rsidDel="00000000" w:rsidR="00000000" w:rsidRPr="00000000">
        <w:rPr>
          <w:vertAlign w:val="baseline"/>
          <w:rtl w:val="0"/>
        </w:rPr>
        <w:t xml:space="preserve">  Name change has been implemented.  No new revision number has been used and changes have not been marked.</w:t>
      </w:r>
    </w:p>
    <w:p w:rsidR="00000000" w:rsidDel="00000000" w:rsidP="00000000" w:rsidRDefault="00000000" w:rsidRPr="00000000" w14:paraId="000000D3">
      <w:pPr>
        <w:tabs>
          <w:tab w:val="left" w:leader="none" w:pos="2754"/>
          <w:tab w:val="left" w:leader="none" w:pos="1152"/>
        </w:tabs>
        <w:ind w:firstLine="720"/>
        <w:rP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pict>
          <v:shape id="_x0000_s0" style="width:61pt;height:43pt;" type="#_x0000_t75">
            <v:imagedata r:id="rId1" o:title=""/>
          </v:shape>
          <o:OLEObject DrawAspect="Content" r:id="rId2" ObjectID="_1092627831" ProgID="Excel.Sheet.8" ShapeID="_x0000_s0" Type="Embed"/>
        </w:pict>
      </w:r>
      <w:r w:rsidDel="00000000" w:rsidR="00000000" w:rsidRPr="00000000">
        <w:rPr>
          <w:rtl w:val="0"/>
        </w:rPr>
      </w:r>
    </w:p>
    <w:sectPr>
      <w:headerReference r:id="rId9" w:type="default"/>
      <w:footerReference r:id="rId10" w:type="default"/>
      <w:pgSz w:h="15840" w:w="12240" w:orient="portrait"/>
      <w:pgMar w:bottom="720" w:top="720" w:left="144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3" w:subsetted="0"/>
    <w:embedBold w:fontKey="{00000000-0000-0000-0000-000000000000}" r:id="rId4" w:subsetted="0"/>
  </w:font>
  <w:font w:name="Greek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5"/>
      <w:tblW w:w="10080.0" w:type="dxa"/>
      <w:jc w:val="left"/>
      <w:tblLayout w:type="fixed"/>
      <w:tblLook w:val="0000"/>
    </w:tblPr>
    <w:tblGrid>
      <w:gridCol w:w="8460"/>
      <w:gridCol w:w="1620"/>
      <w:tblGridChange w:id="0">
        <w:tblGrid>
          <w:gridCol w:w="8460"/>
          <w:gridCol w:w="1620"/>
        </w:tblGrid>
      </w:tblGridChange>
    </w:tblGrid>
    <w:tr>
      <w:trPr>
        <w:cantSplit w:val="1"/>
        <w:trHeight w:val="240" w:hRule="atLeast"/>
        <w:tblHeader w:val="0"/>
      </w:trPr>
      <w:tc>
        <w:tcPr>
          <w:vAlign w:val="top"/>
        </w:tcPr>
        <w:p w:rsidR="00000000" w:rsidDel="00000000" w:rsidP="00000000" w:rsidRDefault="00000000" w:rsidRPr="00000000" w14:paraId="000000E2">
          <w:pPr>
            <w:tabs>
              <w:tab w:val="left" w:leader="none" w:pos="2754"/>
            </w:tabs>
            <w:spacing w:before="50" w:lineRule="auto"/>
            <w:ind w:left="0" w:right="-115" w:hanging="115"/>
            <w:rPr>
              <w:sz w:val="16"/>
              <w:szCs w:val="16"/>
              <w:vertAlign w:val="baseline"/>
            </w:rPr>
          </w:pPr>
          <w:r w:rsidDel="00000000" w:rsidR="00000000" w:rsidRPr="00000000">
            <w:rPr>
              <w:sz w:val="16"/>
              <w:szCs w:val="16"/>
              <w:vertAlign w:val="baseline"/>
              <w:rtl w:val="0"/>
            </w:rPr>
            <w:t xml:space="preserve">© CHEMETICS. Unpublished. Unauthorised use or reproduction prohibited.</w:t>
          </w:r>
        </w:p>
      </w:tc>
      <w:tc>
        <w:tcPr>
          <w:vAlign w:val="top"/>
        </w:tcPr>
        <w:p w:rsidR="00000000" w:rsidDel="00000000" w:rsidP="00000000" w:rsidRDefault="00000000" w:rsidRPr="00000000" w14:paraId="000000E3">
          <w:pPr>
            <w:tabs>
              <w:tab w:val="left" w:leader="none" w:pos="2754"/>
            </w:tabs>
            <w:spacing w:before="50" w:lineRule="auto"/>
            <w:ind w:left="72" w:right="0" w:firstLine="0"/>
            <w:jc w:val="right"/>
            <w:rPr>
              <w:sz w:val="16"/>
              <w:szCs w:val="16"/>
              <w:vertAlign w:val="baseline"/>
            </w:rPr>
          </w:pPr>
          <w:r w:rsidDel="00000000" w:rsidR="00000000" w:rsidRPr="00000000">
            <w:rPr>
              <w:sz w:val="16"/>
              <w:szCs w:val="16"/>
              <w:vertAlign w:val="baseline"/>
              <w:rtl w:val="0"/>
            </w:rPr>
            <w:t xml:space="preserve">Page </w:t>
          </w:r>
          <w:r w:rsidDel="00000000" w:rsidR="00000000" w:rsidRPr="00000000">
            <w:rPr>
              <w:sz w:val="16"/>
              <w:szCs w:val="16"/>
              <w:vertAlign w:val="baseline"/>
            </w:rPr>
            <w:fldChar w:fldCharType="begin"/>
            <w:instrText xml:space="preserve">PAGE</w:instrText>
            <w:fldChar w:fldCharType="separate"/>
            <w:fldChar w:fldCharType="end"/>
          </w:r>
          <w:r w:rsidDel="00000000" w:rsidR="00000000" w:rsidRPr="00000000">
            <w:rPr>
              <w:sz w:val="16"/>
              <w:szCs w:val="16"/>
              <w:vertAlign w:val="baseline"/>
              <w:rtl w:val="0"/>
            </w:rPr>
            <w:t xml:space="preserve"> of </w:t>
          </w:r>
          <w:r w:rsidDel="00000000" w:rsidR="00000000" w:rsidRPr="00000000">
            <w:rPr>
              <w:sz w:val="16"/>
              <w:szCs w:val="16"/>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8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12" w:val="single"/>
        <w:right w:color="000000" w:space="0" w:sz="4" w:val="single"/>
        <w:insideH w:color="000000" w:space="0" w:sz="4" w:val="single"/>
        <w:insideV w:color="000000" w:space="0" w:sz="4" w:val="single"/>
      </w:tblBorders>
      <w:tblLayout w:type="fixed"/>
      <w:tblLook w:val="0000"/>
    </w:tblPr>
    <w:tblGrid>
      <w:gridCol w:w="2970"/>
      <w:gridCol w:w="4140"/>
      <w:gridCol w:w="2970"/>
      <w:tblGridChange w:id="0">
        <w:tblGrid>
          <w:gridCol w:w="2970"/>
          <w:gridCol w:w="4140"/>
          <w:gridCol w:w="2970"/>
        </w:tblGrid>
      </w:tblGridChange>
    </w:tblGrid>
    <w:tr>
      <w:trPr>
        <w:cantSplit w:val="1"/>
        <w:trHeight w:val="880" w:hRule="atLeast"/>
        <w:tblHeader w:val="0"/>
      </w:trPr>
      <w:tc>
        <w:tcPr>
          <w:vAlign w:val="top"/>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 w:val="left" w:leader="none" w:pos="2754"/>
            </w:tabs>
            <w:spacing w:after="0" w:before="60" w:line="240" w:lineRule="auto"/>
            <w:ind w:left="0" w:right="86"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restart"/>
          <w:vAlign w:val="top"/>
        </w:tcPr>
        <w:p w:rsidR="00000000" w:rsidDel="00000000" w:rsidP="00000000" w:rsidRDefault="00000000" w:rsidRPr="00000000" w14:paraId="000000D8">
          <w:pPr>
            <w:pStyle w:val="Heading6"/>
            <w:tabs>
              <w:tab w:val="left" w:leader="none" w:pos="2754"/>
            </w:tabs>
            <w:ind w:right="0" w:firstLine="0"/>
            <w:rPr>
              <w:vertAlign w:val="baseline"/>
            </w:rPr>
          </w:pPr>
          <w:r w:rsidDel="00000000" w:rsidR="00000000" w:rsidRPr="00000000">
            <w:rPr>
              <w:b w:val="1"/>
              <w:bCs w:val="1"/>
              <w:vertAlign w:val="baseline"/>
              <w:rtl w:val="0"/>
            </w:rPr>
            <w:t xml:space="preserve">Procedure</w:t>
          </w:r>
          <w:r w:rsidDel="00000000" w:rsidR="00000000" w:rsidRPr="00000000">
            <w:rPr>
              <w:rtl w:val="0"/>
            </w:rPr>
          </w:r>
        </w:p>
        <w:p w:rsidR="00000000" w:rsidDel="00000000" w:rsidP="00000000" w:rsidRDefault="00000000" w:rsidRPr="00000000" w14:paraId="000000D9">
          <w:pPr>
            <w:tabs>
              <w:tab w:val="left" w:leader="none" w:pos="2754"/>
            </w:tabs>
            <w:ind w:left="0" w:right="0" w:firstLine="0"/>
            <w:jc w:val="center"/>
            <w:rPr>
              <w:b w:val="0"/>
              <w:bCs w:val="0"/>
              <w:vertAlign w:val="baseline"/>
            </w:rPr>
          </w:pPr>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Pump Calculations</w:t>
          </w:r>
        </w:p>
      </w:tc>
      <w:tc>
        <w:tcPr>
          <w:vAlign w:val="top"/>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144" w:right="-144"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54"/>
            </w:tabs>
            <w:spacing w:after="0" w:before="0" w:line="240" w:lineRule="auto"/>
            <w:ind w:left="-72" w:right="-14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D">
          <w:pPr>
            <w:tabs>
              <w:tab w:val="left" w:leader="none" w:pos="2754"/>
            </w:tabs>
            <w:spacing w:after="60" w:before="60" w:lineRule="auto"/>
            <w:ind w:left="0" w:firstLine="0"/>
            <w:rPr>
              <w:vertAlign w:val="baseline"/>
            </w:rPr>
          </w:pPr>
          <w:r w:rsidDel="00000000" w:rsidR="00000000" w:rsidRPr="00000000">
            <w:rPr>
              <w:rtl w:val="0"/>
            </w:rPr>
          </w:r>
        </w:p>
      </w:tc>
      <w:tc>
        <w:tcPr>
          <w:vMerge w:val="continue"/>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DF">
          <w:pPr>
            <w:tabs>
              <w:tab w:val="left" w:leader="none" w:pos="2754"/>
            </w:tabs>
            <w:spacing w:after="60" w:before="60" w:lineRule="auto"/>
            <w:ind w:left="0" w:right="-18" w:firstLine="0"/>
            <w:jc w:val="right"/>
            <w:rPr>
              <w:vertAlign w:val="baseline"/>
            </w:rPr>
          </w:pPr>
          <w:r w:rsidDel="00000000" w:rsidR="00000000" w:rsidRPr="00000000">
            <w:rPr>
              <w:vertAlign w:val="baseline"/>
              <w:rtl w:val="0"/>
            </w:rPr>
            <w:t xml:space="preserve">Standard-4-PRC-0007-R1</w:t>
          </w:r>
        </w:p>
      </w:tc>
    </w:tr>
  </w:tbl>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320"/>
        <w:tab w:val="right" w:leader="none" w:pos="8640"/>
      </w:tabs>
      <w:spacing w:after="0" w:before="0" w:line="240" w:lineRule="auto"/>
      <w:ind w:left="0" w:right="86"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152" w:hanging="708"/>
      </w:pPr>
      <w:rPr>
        <w:vertAlign w:val="baseline"/>
      </w:rPr>
    </w:lvl>
    <w:lvl w:ilvl="4">
      <w:start w:val="1"/>
      <w:numFmt w:val="decimal"/>
      <w:lvlText w:val="%1.%2.%3.%4.%5."/>
      <w:lvlJc w:val="left"/>
      <w:pPr>
        <w:ind w:left="1152" w:hanging="708"/>
      </w:pPr>
      <w:rPr>
        <w:vertAlign w:val="baseline"/>
      </w:rPr>
    </w:lvl>
    <w:lvl w:ilvl="5">
      <w:start w:val="1"/>
      <w:numFmt w:val="decimal"/>
      <w:lvlText w:val="%1.%2.%3.%4.%5.%6."/>
      <w:lvlJc w:val="left"/>
      <w:pPr>
        <w:ind w:left="4248" w:hanging="708"/>
      </w:pPr>
      <w:rPr>
        <w:vertAlign w:val="baseline"/>
      </w:rPr>
    </w:lvl>
    <w:lvl w:ilvl="6">
      <w:start w:val="1"/>
      <w:numFmt w:val="decimal"/>
      <w:lvlText w:val="%1.%2.%3.%4.%5.%6.%7."/>
      <w:lvlJc w:val="left"/>
      <w:pPr>
        <w:ind w:left="4956" w:hanging="708"/>
      </w:pPr>
      <w:rPr>
        <w:vertAlign w:val="baseline"/>
      </w:rPr>
    </w:lvl>
    <w:lvl w:ilvl="7">
      <w:start w:val="1"/>
      <w:numFmt w:val="decimal"/>
      <w:lvlText w:val="%1.%2.%3.%4.%5.%6.%7.%8."/>
      <w:lvlJc w:val="left"/>
      <w:pPr>
        <w:ind w:left="5664" w:hanging="708"/>
      </w:pPr>
      <w:rPr>
        <w:vertAlign w:val="baseline"/>
      </w:rPr>
    </w:lvl>
    <w:lvl w:ilvl="8">
      <w:start w:val="1"/>
      <w:numFmt w:val="decimal"/>
      <w:lvlText w:val="%1.%2.%3.%4.%5.%6.%7.%8.%9."/>
      <w:lvlJc w:val="left"/>
      <w:pPr>
        <w:ind w:left="6372" w:hanging="707.9999999999991"/>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tabs>
          <w:tab w:val="left" w:leader="none" w:pos="2754"/>
        </w:tabs>
        <w:ind w:left="720" w:right="86"/>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right="90" w:hanging="630"/>
    </w:pPr>
    <w:rPr>
      <w:rFonts w:ascii="Arial" w:cs="Arial" w:eastAsia="Arial" w:hAnsi="Arial"/>
      <w:b w:val="1"/>
      <w:bCs w:val="1"/>
      <w:sz w:val="22"/>
      <w:szCs w:val="22"/>
      <w:vertAlign w:val="baseline"/>
    </w:rPr>
  </w:style>
  <w:style w:type="paragraph" w:styleId="Heading2">
    <w:name w:val="heading 2"/>
    <w:basedOn w:val="Normal"/>
    <w:next w:val="Normal"/>
    <w:pPr>
      <w:keepNext w:val="1"/>
      <w:tabs>
        <w:tab w:val="left" w:leader="none" w:pos="2754"/>
      </w:tabs>
      <w:ind w:left="360" w:right="86" w:hanging="270"/>
    </w:pPr>
    <w:rPr>
      <w:rFonts w:ascii="Arial" w:cs="Arial" w:eastAsia="Arial" w:hAnsi="Arial"/>
      <w:b w:val="1"/>
      <w:bCs w:val="1"/>
      <w:sz w:val="22"/>
      <w:szCs w:val="22"/>
      <w:vertAlign w:val="baseline"/>
    </w:rPr>
  </w:style>
  <w:style w:type="paragraph" w:styleId="Heading3">
    <w:name w:val="heading 3"/>
    <w:basedOn w:val="Normal"/>
    <w:next w:val="Normal"/>
    <w:pPr>
      <w:keepNext w:val="1"/>
      <w:tabs>
        <w:tab w:val="left" w:leader="none" w:pos="2754"/>
      </w:tabs>
      <w:ind w:left="720" w:right="86" w:hanging="630"/>
    </w:pPr>
    <w:rPr>
      <w:rFonts w:ascii="Arial" w:cs="Arial" w:eastAsia="Arial" w:hAnsi="Arial"/>
      <w:sz w:val="22"/>
      <w:szCs w:val="22"/>
      <w:vertAlign w:val="baseline"/>
    </w:rPr>
  </w:style>
  <w:style w:type="paragraph" w:styleId="Heading4">
    <w:name w:val="heading 4"/>
    <w:basedOn w:val="Normal"/>
    <w:next w:val="Normal"/>
    <w:pPr>
      <w:keepNext w:val="1"/>
      <w:tabs>
        <w:tab w:val="left" w:leader="none" w:pos="1440"/>
        <w:tab w:val="left" w:leader="none" w:pos="2754"/>
      </w:tabs>
      <w:ind w:left="720" w:right="86" w:hanging="1062"/>
    </w:pPr>
    <w:rPr>
      <w:rFonts w:ascii="Arial" w:cs="Arial" w:eastAsia="Arial" w:hAnsi="Arial"/>
      <w:sz w:val="22"/>
      <w:szCs w:val="22"/>
      <w:vertAlign w:val="baseline"/>
    </w:rPr>
  </w:style>
  <w:style w:type="paragraph" w:styleId="Heading5">
    <w:name w:val="heading 5"/>
    <w:basedOn w:val="Normal"/>
    <w:next w:val="Normal"/>
    <w:pPr>
      <w:tabs>
        <w:tab w:val="left" w:leader="none" w:pos="1440"/>
        <w:tab w:val="left" w:leader="none" w:pos="2754"/>
      </w:tabs>
      <w:ind w:left="720" w:right="86" w:hanging="1062"/>
    </w:pPr>
    <w:rPr>
      <w:rFonts w:ascii="Arial" w:cs="Arial" w:eastAsia="Arial" w:hAnsi="Arial"/>
      <w:sz w:val="22"/>
      <w:szCs w:val="22"/>
      <w:vertAlign w:val="baseline"/>
    </w:rPr>
  </w:style>
  <w:style w:type="paragraph" w:styleId="Heading6">
    <w:name w:val="heading 6"/>
    <w:basedOn w:val="Normal"/>
    <w:next w:val="Normal"/>
    <w:pPr>
      <w:keepNext w:val="1"/>
      <w:spacing w:before="120" w:lineRule="auto"/>
      <w:ind w:left="0" w:right="86"/>
      <w:jc w:val="center"/>
    </w:pPr>
    <w:rPr>
      <w:rFonts w:ascii="Arial" w:cs="Arial" w:eastAsia="Arial" w:hAnsi="Arial"/>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autoRedefine w:val="0"/>
    <w:hidden w:val="0"/>
    <w:qFormat w:val="0"/>
    <w:pPr>
      <w:keepNext w:val="1"/>
      <w:tabs>
        <w:tab w:val="left" w:leader="none" w:pos="2754"/>
      </w:tabs>
      <w:suppressAutoHyphens w:val="1"/>
      <w:spacing w:line="1" w:lineRule="atLeast"/>
      <w:ind w:left="0" w:right="0" w:leftChars="-1" w:rightChars="0" w:firstLineChars="-1"/>
      <w:jc w:val="center"/>
      <w:textDirection w:val="btLr"/>
      <w:textAlignment w:val="top"/>
      <w:outlineLvl w:val="6"/>
    </w:pPr>
    <w:rPr>
      <w:rFonts w:ascii="Arial" w:hAnsi="Arial"/>
      <w:b w:val="1"/>
      <w:w w:val="100"/>
      <w:position w:val="-1"/>
      <w:sz w:val="22"/>
      <w:effect w:val="none"/>
      <w:vertAlign w:val="baseline"/>
      <w:cs w:val="0"/>
      <w:em w:val="none"/>
      <w:lang w:bidi="ar-SA" w:eastAsia="en-US" w:val="en-GB"/>
    </w:rPr>
  </w:style>
  <w:style w:type="paragraph" w:styleId="Heading8">
    <w:name w:val="Heading 8"/>
    <w:basedOn w:val="Normal"/>
    <w:next w:val="Normal"/>
    <w:autoRedefine w:val="0"/>
    <w:hidden w:val="0"/>
    <w:qFormat w:val="0"/>
    <w:pPr>
      <w:keepNext w:val="1"/>
      <w:tabs>
        <w:tab w:val="clear" w:pos="2754"/>
      </w:tabs>
      <w:suppressAutoHyphens w:val="1"/>
      <w:spacing w:before="120" w:line="1" w:lineRule="atLeast"/>
      <w:ind w:left="0" w:right="86" w:leftChars="-1" w:rightChars="0" w:firstLineChars="-1"/>
      <w:textDirection w:val="btLr"/>
      <w:textAlignment w:val="top"/>
      <w:outlineLvl w:val="7"/>
    </w:pPr>
    <w:rPr>
      <w:rFonts w:ascii="Arial" w:hAnsi="Arial"/>
      <w:b w:val="1"/>
      <w:w w:val="100"/>
      <w:position w:val="-1"/>
      <w:sz w:val="22"/>
      <w:effect w:val="none"/>
      <w:vertAlign w:val="baseline"/>
      <w:cs w:val="0"/>
      <w:em w:val="none"/>
      <w:lang w:bidi="ar-SA" w:eastAsia="en-US" w:val="en-GB"/>
    </w:rPr>
  </w:style>
  <w:style w:type="paragraph" w:styleId="Heading9">
    <w:name w:val="Heading 9"/>
    <w:basedOn w:val="Normal"/>
    <w:next w:val="Normal"/>
    <w:autoRedefine w:val="0"/>
    <w:hidden w:val="0"/>
    <w:qFormat w:val="0"/>
    <w:pPr>
      <w:keepNext w:val="1"/>
      <w:tabs>
        <w:tab w:val="clear" w:pos="2754"/>
      </w:tabs>
      <w:suppressAutoHyphens w:val="1"/>
      <w:spacing w:line="1" w:lineRule="atLeast"/>
      <w:ind w:left="0" w:right="0" w:leftChars="-1" w:rightChars="0" w:firstLineChars="-1"/>
      <w:textDirection w:val="btLr"/>
      <w:textAlignment w:val="top"/>
      <w:outlineLvl w:val="8"/>
    </w:pPr>
    <w:rPr>
      <w:rFonts w:ascii="Arial" w:hAnsi="Arial"/>
      <w:b w:val="1"/>
      <w:w w:val="100"/>
      <w:position w:val="-1"/>
      <w:sz w:val="16"/>
      <w:effect w:val="none"/>
      <w:vertAlign w:val="baseline"/>
      <w:cs w:val="0"/>
      <w:em w:val="none"/>
      <w:lang w:bidi="ar-SA" w:eastAsia="en-US" w:val="en-GB"/>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lear" w:pos="2754"/>
        <w:tab w:val="center" w:leader="none" w:pos="4320"/>
        <w:tab w:val="right" w:leader="none" w:pos="8640"/>
      </w:tabs>
      <w:suppressAutoHyphens w:val="1"/>
      <w:spacing w:line="1" w:lineRule="atLeast"/>
      <w:ind w:left="720" w:right="86"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Footer">
    <w:name w:val="Footer"/>
    <w:basedOn w:val="Normal"/>
    <w:next w:val="Footer"/>
    <w:autoRedefine w:val="0"/>
    <w:hidden w:val="0"/>
    <w:qFormat w:val="0"/>
    <w:pPr>
      <w:tabs>
        <w:tab w:val="clear" w:pos="2754"/>
        <w:tab w:val="center" w:leader="none" w:pos="4320"/>
        <w:tab w:val="right" w:leader="none" w:pos="8640"/>
      </w:tabs>
      <w:suppressAutoHyphens w:val="1"/>
      <w:spacing w:line="1" w:lineRule="atLeast"/>
      <w:ind w:left="720" w:right="86"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Indentbullets">
    <w:name w:val="Body Text Indent bullets"/>
    <w:basedOn w:val="BodyTextIndent"/>
    <w:next w:val="BodyTextIndentbullets"/>
    <w:autoRedefine w:val="0"/>
    <w:hidden w:val="0"/>
    <w:qFormat w:val="0"/>
    <w:pPr>
      <w:numPr>
        <w:ilvl w:val="0"/>
        <w:numId w:val="10"/>
      </w:numPr>
      <w:tabs>
        <w:tab w:val="clear" w:pos="2754"/>
        <w:tab w:val="left" w:leader="none" w:pos="720"/>
        <w:tab w:val="left" w:leader="none" w:pos="1440"/>
      </w:tabs>
      <w:suppressAutoHyphens w:val="1"/>
      <w:spacing w:after="0" w:line="1" w:lineRule="atLeast"/>
      <w:ind w:left="1440" w:right="187" w:leftChars="-1" w:rightChars="0" w:hanging="72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BodyTextIndent">
    <w:name w:val="Body Text Indent"/>
    <w:basedOn w:val="Normal"/>
    <w:next w:val="BodyTextIndent"/>
    <w:autoRedefine w:val="0"/>
    <w:hidden w:val="0"/>
    <w:qFormat w:val="0"/>
    <w:pPr>
      <w:tabs>
        <w:tab w:val="left" w:leader="none" w:pos="2754"/>
      </w:tabs>
      <w:suppressAutoHyphens w:val="1"/>
      <w:spacing w:line="1" w:lineRule="atLeast"/>
      <w:ind w:left="720" w:right="86" w:leftChars="-1" w:rightChars="0" w:firstLineChars="-1"/>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BodyTextIndent2">
    <w:name w:val="Body Text Indent 2"/>
    <w:basedOn w:val="Normal"/>
    <w:next w:val="BodyTextIndent2"/>
    <w:autoRedefine w:val="0"/>
    <w:hidden w:val="0"/>
    <w:qFormat w:val="0"/>
    <w:pPr>
      <w:numPr>
        <w:ilvl w:val="0"/>
        <w:numId w:val="23"/>
      </w:numPr>
      <w:tabs>
        <w:tab w:val="clear" w:pos="2754"/>
      </w:tabs>
      <w:suppressAutoHyphens w:val="1"/>
      <w:spacing w:line="1" w:lineRule="atLeast"/>
      <w:ind w:left="720" w:right="180" w:leftChars="-1" w:rightChars="0" w:firstLineChars="-1"/>
      <w:jc w:val="both"/>
      <w:textDirection w:val="btLr"/>
      <w:textAlignment w:val="top"/>
      <w:outlineLvl w:val="0"/>
    </w:pPr>
    <w:rPr>
      <w:rFonts w:ascii="Arial" w:hAnsi="Arial"/>
      <w:w w:val="100"/>
      <w:position w:val="-1"/>
      <w:sz w:val="22"/>
      <w:effect w:val="none"/>
      <w:vertAlign w:val="baseline"/>
      <w:cs w:val="0"/>
      <w:em w:val="none"/>
      <w:lang w:bidi="ar-SA" w:eastAsia="en-US" w:val="en-GB"/>
    </w:rPr>
  </w:style>
  <w:style w:type="paragraph" w:styleId="BodyTextIndentBold">
    <w:name w:val="Body Text Indent Bold"/>
    <w:basedOn w:val="BodyTextIndent"/>
    <w:next w:val="BodyTextIndentBold"/>
    <w:autoRedefine w:val="0"/>
    <w:hidden w:val="0"/>
    <w:qFormat w:val="0"/>
    <w:pPr>
      <w:tabs>
        <w:tab w:val="left" w:leader="none" w:pos="2754"/>
      </w:tabs>
      <w:suppressAutoHyphens w:val="1"/>
      <w:spacing w:after="0" w:line="1" w:lineRule="atLeast"/>
      <w:ind w:left="720" w:right="86" w:leftChars="-1" w:rightChars="0" w:firstLineChars="-1"/>
      <w:textDirection w:val="btLr"/>
      <w:textAlignment w:val="top"/>
      <w:outlineLvl w:val="0"/>
    </w:pPr>
    <w:rPr>
      <w:rFonts w:ascii="Arial" w:hAnsi="Arial"/>
      <w:b w:val="1"/>
      <w:w w:val="100"/>
      <w:position w:val="-1"/>
      <w:sz w:val="22"/>
      <w:effect w:val="none"/>
      <w:vertAlign w:val="baseline"/>
      <w:cs w:val="0"/>
      <w:em w:val="none"/>
      <w:lang w:bidi="ar-SA" w:eastAsia="en-U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Microsoft_Excel_Sheet1.xls"/><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Sq3mOJvkQreI3wF7GXtOTh7Dg==">CgMxLjA4AHIhMV95Z3F2ajl1X0NLelFCUlVRY2w2dUxRd2xSb29kblhp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2005-05-05T16:29:00Z</dcterms:created>
  <dc:creator>dhetet</dc:creator>
</cp:coreProperties>
</file>