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1-PRC-0001 — Process Design Criteria</w:t>
      </w:r>
    </w:p>
    <w:p>
      <w:pPr>
        <w:pStyle w:val="Heading2"/>
      </w:pPr>
      <w:r>
        <w:t>1. Document Information</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ID</w:t>
            </w:r>
          </w:p>
        </w:tc>
        <w:tc>
          <w:tcPr>
            <w:tcW w:type="dxa" w:w="4320"/>
          </w:tcPr>
          <w:p>
            <w:r>
              <w:t>1-PRC-0001</w:t>
            </w:r>
          </w:p>
        </w:tc>
      </w:tr>
      <w:tr>
        <w:tc>
          <w:tcPr>
            <w:tcW w:type="dxa" w:w="4320"/>
          </w:tcPr>
          <w:p>
            <w:r>
              <w:t>Title</w:t>
            </w:r>
          </w:p>
        </w:tc>
        <w:tc>
          <w:tcPr>
            <w:tcW w:type="dxa" w:w="4320"/>
          </w:tcPr>
          <w:p>
            <w:r>
              <w:t>Process Design Criteria</w:t>
            </w:r>
          </w:p>
        </w:tc>
      </w:tr>
      <w:tr>
        <w:tc>
          <w:tcPr>
            <w:tcW w:type="dxa" w:w="4320"/>
          </w:tcPr>
          <w:p>
            <w:r>
              <w:t>Project</w:t>
            </w:r>
          </w:p>
        </w:tc>
        <w:tc>
          <w:tcPr>
            <w:tcW w:type="dxa" w:w="4320"/>
          </w:tcPr>
          <w:p>
            <w:r>
              <w:t>MEG Transfer Pump Skid</w:t>
            </w:r>
          </w:p>
        </w:tc>
      </w:tr>
      <w:tr>
        <w:tc>
          <w:tcPr>
            <w:tcW w:type="dxa" w:w="4320"/>
          </w:tcPr>
          <w:p>
            <w:r>
              <w:t>Client</w:t>
            </w:r>
          </w:p>
        </w:tc>
        <w:tc>
          <w:tcPr>
            <w:tcW w:type="dxa" w:w="4320"/>
          </w:tcPr>
          <w:p>
            <w:r>
              <w:t>B Star Chemetics</w:t>
            </w:r>
          </w:p>
        </w:tc>
      </w:tr>
      <w:tr>
        <w:tc>
          <w:tcPr>
            <w:tcW w:type="dxa" w:w="4320"/>
          </w:tcPr>
          <w:p>
            <w:r>
              <w:t>Location</w:t>
            </w:r>
          </w:p>
        </w:tc>
        <w:tc>
          <w:tcPr>
            <w:tcW w:type="dxa" w:w="4320"/>
          </w:tcPr>
          <w:p>
            <w:r>
              <w:t>Sarnia, Canada</w:t>
            </w:r>
          </w:p>
        </w:tc>
      </w:tr>
      <w:tr>
        <w:tc>
          <w:tcPr>
            <w:tcW w:type="dxa" w:w="4320"/>
          </w:tcPr>
          <w:p>
            <w:r>
              <w:t>Revision</w:t>
            </w:r>
          </w:p>
        </w:tc>
        <w:tc>
          <w:tcPr>
            <w:tcW w:type="dxa" w:w="4320"/>
          </w:tcPr>
          <w:p>
            <w:r>
              <w:t>R0</w:t>
            </w:r>
          </w:p>
        </w:tc>
      </w:tr>
      <w:tr>
        <w:tc>
          <w:tcPr>
            <w:tcW w:type="dxa" w:w="4320"/>
          </w:tcPr>
          <w:p>
            <w:r>
              <w:t>Date</w:t>
            </w:r>
          </w:p>
        </w:tc>
        <w:tc>
          <w:tcPr>
            <w:tcW w:type="dxa" w:w="4320"/>
          </w:tcPr>
          <w:p>
            <w:r>
              <w:t>2023-10-27</w:t>
            </w:r>
          </w:p>
        </w:tc>
      </w:tr>
      <w:tr>
        <w:tc>
          <w:tcPr>
            <w:tcW w:type="dxa" w:w="4320"/>
          </w:tcPr>
          <w:p>
            <w:r>
              <w:t>Prepared By</w:t>
            </w:r>
          </w:p>
        </w:tc>
        <w:tc>
          <w:tcPr>
            <w:tcW w:type="dxa" w:w="4320"/>
          </w:tcPr>
          <w:p>
            <w:r>
              <w:t>Process Engineer</w:t>
            </w:r>
          </w:p>
        </w:tc>
      </w:tr>
    </w:tbl>
    <w:p>
      <w:pPr>
        <w:pStyle w:val="Heading2"/>
      </w:pPr>
      <w:r>
        <w:t>2. Scope</w:t>
      </w:r>
    </w:p>
    <w:p>
      <w:r>
        <w:t>This document outlines the process design criteria for the Monoethylene Glycol (MEG) Transfer Pump Skid project at B Star Chemetics' Sarnia facility. It consolidates critical fluid data, design conditions, and design basis information necessary for the detailed engineering and procurement of the horizontal centrifugal pump and associated skid components. The purpose of this document is to ensure all subsequent engineering disciplines adhere to a consistent and approved set of design parameters.</w:t>
      </w:r>
    </w:p>
    <w:p>
      <w:pPr>
        <w:pStyle w:val="Heading2"/>
      </w:pPr>
      <w:r>
        <w:t>3. Fluid Data</w:t>
      </w:r>
    </w:p>
    <w:p>
      <w:r>
        <w:t>Fluid Code: MEG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Property</w:t>
            </w:r>
          </w:p>
        </w:tc>
        <w:tc>
          <w:tcPr>
            <w:tcW w:type="dxa" w:w="2160"/>
          </w:tcPr>
          <w:p>
            <w:r>
              <w:rPr>
                <w:b/>
              </w:rPr>
              <w:t>Value</w:t>
            </w:r>
          </w:p>
        </w:tc>
        <w:tc>
          <w:tcPr>
            <w:tcW w:type="dxa" w:w="2160"/>
          </w:tcPr>
          <w:p>
            <w:r>
              <w:rPr>
                <w:b/>
              </w:rPr>
              <w:t>Unit</w:t>
            </w:r>
          </w:p>
        </w:tc>
        <w:tc>
          <w:tcPr>
            <w:tcW w:type="dxa" w:w="2160"/>
          </w:tcPr>
          <w:p>
            <w:r>
              <w:rPr>
                <w:b/>
              </w:rPr>
              <w:t>Source / Note</w:t>
            </w:r>
          </w:p>
        </w:tc>
      </w:tr>
      <w:tr>
        <w:tc>
          <w:tcPr>
            <w:tcW w:type="dxa" w:w="2160"/>
          </w:tcPr>
          <w:p>
            <w:r>
              <w:t>Fluid</w:t>
            </w:r>
          </w:p>
        </w:tc>
        <w:tc>
          <w:tcPr>
            <w:tcW w:type="dxa" w:w="2160"/>
          </w:tcPr>
          <w:p>
            <w:r>
              <w:t>Monoethylene Glycol (MEG), 95% wt</w:t>
            </w:r>
          </w:p>
        </w:tc>
        <w:tc>
          <w:tcPr>
            <w:tcW w:type="dxa" w:w="2160"/>
          </w:tcPr>
          <w:p>
            <w:r>
              <w:t>-</w:t>
            </w:r>
          </w:p>
        </w:tc>
        <w:tc>
          <w:tcPr>
            <w:tcW w:type="dxa" w:w="2160"/>
          </w:tcPr>
          <w:p>
            <w:r>
              <w:t>1-LST-0002</w:t>
            </w:r>
          </w:p>
        </w:tc>
      </w:tr>
      <w:tr>
        <w:tc>
          <w:tcPr>
            <w:tcW w:type="dxa" w:w="2160"/>
          </w:tcPr>
          <w:p>
            <w:r>
              <w:t>Density</w:t>
            </w:r>
          </w:p>
        </w:tc>
        <w:tc>
          <w:tcPr>
            <w:tcW w:type="dxa" w:w="2160"/>
          </w:tcPr>
          <w:p>
            <w:r>
              <w:t>1095</w:t>
            </w:r>
          </w:p>
        </w:tc>
        <w:tc>
          <w:tcPr>
            <w:tcW w:type="dxa" w:w="2160"/>
          </w:tcPr>
          <w:p>
            <w:r>
              <w:t>kg/m³</w:t>
            </w:r>
          </w:p>
        </w:tc>
        <w:tc>
          <w:tcPr>
            <w:tcW w:type="dxa" w:w="2160"/>
          </w:tcPr>
          <w:p>
            <w:r>
              <w:t>1-LST-0002</w:t>
            </w:r>
          </w:p>
        </w:tc>
      </w:tr>
      <w:tr>
        <w:tc>
          <w:tcPr>
            <w:tcW w:type="dxa" w:w="2160"/>
          </w:tcPr>
          <w:p>
            <w:r>
              <w:t>Specific Gravity (SG)</w:t>
            </w:r>
          </w:p>
        </w:tc>
        <w:tc>
          <w:tcPr>
            <w:tcW w:type="dxa" w:w="2160"/>
          </w:tcPr>
          <w:p>
            <w:r>
              <w:t>1.095</w:t>
            </w:r>
          </w:p>
        </w:tc>
        <w:tc>
          <w:tcPr>
            <w:tcW w:type="dxa" w:w="2160"/>
          </w:tcPr>
          <w:p>
            <w:r>
              <w:t>-</w:t>
            </w:r>
          </w:p>
        </w:tc>
        <w:tc>
          <w:tcPr>
            <w:tcW w:type="dxa" w:w="2160"/>
          </w:tcPr>
          <w:p>
            <w:r>
              <w:t>1-LST-0002</w:t>
            </w:r>
          </w:p>
        </w:tc>
      </w:tr>
      <w:tr>
        <w:tc>
          <w:tcPr>
            <w:tcW w:type="dxa" w:w="2160"/>
          </w:tcPr>
          <w:p>
            <w:r>
              <w:t>Viscosity</w:t>
            </w:r>
          </w:p>
        </w:tc>
        <w:tc>
          <w:tcPr>
            <w:tcW w:type="dxa" w:w="2160"/>
          </w:tcPr>
          <w:p>
            <w:r>
              <w:t>4.0</w:t>
            </w:r>
          </w:p>
        </w:tc>
        <w:tc>
          <w:tcPr>
            <w:tcW w:type="dxa" w:w="2160"/>
          </w:tcPr>
          <w:p>
            <w:r>
              <w:t>mPa·s</w:t>
            </w:r>
          </w:p>
        </w:tc>
        <w:tc>
          <w:tcPr>
            <w:tcW w:type="dxa" w:w="2160"/>
          </w:tcPr>
          <w:p>
            <w:r>
              <w:t>1-LST-0002</w:t>
            </w:r>
          </w:p>
        </w:tc>
      </w:tr>
      <w:tr>
        <w:tc>
          <w:tcPr>
            <w:tcW w:type="dxa" w:w="2160"/>
          </w:tcPr>
          <w:p>
            <w:r>
              <w:t>Vapour Pressure at 65°C</w:t>
            </w:r>
          </w:p>
        </w:tc>
        <w:tc>
          <w:tcPr>
            <w:tcW w:type="dxa" w:w="2160"/>
          </w:tcPr>
          <w:p>
            <w:r>
              <w:t>0.15</w:t>
            </w:r>
          </w:p>
        </w:tc>
        <w:tc>
          <w:tcPr>
            <w:tcW w:type="dxa" w:w="2160"/>
          </w:tcPr>
          <w:p>
            <w:r>
              <w:t>kPa</w:t>
            </w:r>
          </w:p>
        </w:tc>
        <w:tc>
          <w:tcPr>
            <w:tcW w:type="dxa" w:w="2160"/>
          </w:tcPr>
          <w:p>
            <w:r>
              <w:t>1-LST-0002</w:t>
            </w:r>
          </w:p>
        </w:tc>
      </w:tr>
      <w:tr>
        <w:tc>
          <w:tcPr>
            <w:tcW w:type="dxa" w:w="2160"/>
          </w:tcPr>
          <w:p>
            <w:r>
              <w:t>Corrosive</w:t>
            </w:r>
          </w:p>
        </w:tc>
        <w:tc>
          <w:tcPr>
            <w:tcW w:type="dxa" w:w="2160"/>
          </w:tcPr>
          <w:p>
            <w:r>
              <w:t>True</w:t>
            </w:r>
          </w:p>
        </w:tc>
        <w:tc>
          <w:tcPr>
            <w:tcW w:type="dxa" w:w="2160"/>
          </w:tcPr>
          <w:p>
            <w:r>
              <w:t>-</w:t>
            </w:r>
          </w:p>
        </w:tc>
        <w:tc>
          <w:tcPr>
            <w:tcW w:type="dxa" w:w="2160"/>
          </w:tcPr>
          <w:p>
            <w:r>
              <w:t>1-LST-0002</w:t>
            </w:r>
          </w:p>
        </w:tc>
      </w:tr>
    </w:tbl>
    <w:p>
      <w:r>
        <w:t>Engineering Significance:</w:t>
      </w:r>
    </w:p>
    <w:p>
      <w:r>
        <w:t>Monoethylene Glycol (MEG) is the fluid being handled. Its density and viscosity are typical for a glycol solution. The very low vapour pressure at the design temperature (65°C) indicates a low risk of cavitation from vapour formation, provided the Net Positive Suction Head Available (NPSHa) is sufficient. The fluid is identified as corrosive, which typically necessitates careful material selection and consideration of corrosion allowance in design. However, the project's design criteria for corrosion allowance and material selection are based on non-corrosive service, as detailed in Section 5.</w:t>
      </w:r>
    </w:p>
    <w:p>
      <w:pPr>
        <w:pStyle w:val="Heading2"/>
      </w:pPr>
      <w:r>
        <w:t>4. Design Conditions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Parameter</w:t>
            </w:r>
          </w:p>
        </w:tc>
        <w:tc>
          <w:tcPr>
            <w:tcW w:type="dxa" w:w="2160"/>
          </w:tcPr>
          <w:p>
            <w:r>
              <w:rPr>
                <w:b/>
              </w:rPr>
              <w:t>Value</w:t>
            </w:r>
          </w:p>
        </w:tc>
        <w:tc>
          <w:tcPr>
            <w:tcW w:type="dxa" w:w="2160"/>
          </w:tcPr>
          <w:p>
            <w:r>
              <w:rPr>
                <w:b/>
              </w:rPr>
              <w:t>Unit</w:t>
            </w:r>
          </w:p>
        </w:tc>
        <w:tc>
          <w:tcPr>
            <w:tcW w:type="dxa" w:w="2160"/>
          </w:tcPr>
          <w:p>
            <w:r>
              <w:rPr>
                <w:b/>
              </w:rPr>
              <w:t>Note</w:t>
            </w:r>
          </w:p>
        </w:tc>
      </w:tr>
      <w:tr>
        <w:tc>
          <w:tcPr>
            <w:tcW w:type="dxa" w:w="2160"/>
          </w:tcPr>
          <w:p>
            <w:r>
              <w:t>Normal Flow</w:t>
            </w:r>
          </w:p>
        </w:tc>
        <w:tc>
          <w:tcPr>
            <w:tcW w:type="dxa" w:w="2160"/>
          </w:tcPr>
          <w:p>
            <w:r>
              <w:t>45</w:t>
            </w:r>
          </w:p>
        </w:tc>
        <w:tc>
          <w:tcPr>
            <w:tcW w:type="dxa" w:w="2160"/>
          </w:tcPr>
          <w:p>
            <w:r>
              <w:t>m³/h</w:t>
            </w:r>
          </w:p>
        </w:tc>
        <w:tc>
          <w:tcPr>
            <w:tcW w:type="dxa" w:w="2160"/>
          </w:tcPr>
          <w:p>
            <w:r/>
          </w:p>
        </w:tc>
      </w:tr>
      <w:tr>
        <w:tc>
          <w:tcPr>
            <w:tcW w:type="dxa" w:w="2160"/>
          </w:tcPr>
          <w:p>
            <w:r>
              <w:t>Rated Flow</w:t>
            </w:r>
          </w:p>
        </w:tc>
        <w:tc>
          <w:tcPr>
            <w:tcW w:type="dxa" w:w="2160"/>
          </w:tcPr>
          <w:p>
            <w:r>
              <w:t>54.0</w:t>
            </w:r>
          </w:p>
        </w:tc>
        <w:tc>
          <w:tcPr>
            <w:tcW w:type="dxa" w:w="2160"/>
          </w:tcPr>
          <w:p>
            <w:r>
              <w:t>m³/h</w:t>
            </w:r>
          </w:p>
        </w:tc>
        <w:tc>
          <w:tcPr>
            <w:tcW w:type="dxa" w:w="2160"/>
          </w:tcPr>
          <w:p>
            <w:r>
              <w:t>20% margin over normal flow</w:t>
            </w:r>
          </w:p>
        </w:tc>
      </w:tr>
      <w:tr>
        <w:tc>
          <w:tcPr>
            <w:tcW w:type="dxa" w:w="2160"/>
          </w:tcPr>
          <w:p>
            <w:r>
              <w:t>Design Pressure</w:t>
            </w:r>
          </w:p>
        </w:tc>
        <w:tc>
          <w:tcPr>
            <w:tcW w:type="dxa" w:w="2160"/>
          </w:tcPr>
          <w:p>
            <w:r>
              <w:t>10</w:t>
            </w:r>
          </w:p>
        </w:tc>
        <w:tc>
          <w:tcPr>
            <w:tcW w:type="dxa" w:w="2160"/>
          </w:tcPr>
          <w:p>
            <w:r>
              <w:t>bar</w:t>
            </w:r>
          </w:p>
        </w:tc>
        <w:tc>
          <w:tcPr>
            <w:tcW w:type="dxa" w:w="2160"/>
          </w:tcPr>
          <w:p>
            <w:r/>
          </w:p>
        </w:tc>
      </w:tr>
      <w:tr>
        <w:tc>
          <w:tcPr>
            <w:tcW w:type="dxa" w:w="2160"/>
          </w:tcPr>
          <w:p>
            <w:r>
              <w:t>Pressure Class</w:t>
            </w:r>
          </w:p>
        </w:tc>
        <w:tc>
          <w:tcPr>
            <w:tcW w:type="dxa" w:w="2160"/>
          </w:tcPr>
          <w:p>
            <w:r>
              <w:t>PN10</w:t>
            </w:r>
          </w:p>
        </w:tc>
        <w:tc>
          <w:tcPr>
            <w:tcW w:type="dxa" w:w="2160"/>
          </w:tcPr>
          <w:p>
            <w:r>
              <w:t>-</w:t>
            </w:r>
          </w:p>
        </w:tc>
        <w:tc>
          <w:tcPr>
            <w:tcW w:type="dxa" w:w="2160"/>
          </w:tcPr>
          <w:p>
            <w:r>
              <w:t>Corresponds to 10 bar design pressure</w:t>
            </w:r>
          </w:p>
        </w:tc>
      </w:tr>
      <w:tr>
        <w:tc>
          <w:tcPr>
            <w:tcW w:type="dxa" w:w="2160"/>
          </w:tcPr>
          <w:p>
            <w:r>
              <w:t>Design Temperature</w:t>
            </w:r>
          </w:p>
        </w:tc>
        <w:tc>
          <w:tcPr>
            <w:tcW w:type="dxa" w:w="2160"/>
          </w:tcPr>
          <w:p>
            <w:r>
              <w:t>65</w:t>
            </w:r>
          </w:p>
        </w:tc>
        <w:tc>
          <w:tcPr>
            <w:tcW w:type="dxa" w:w="2160"/>
          </w:tcPr>
          <w:p>
            <w:r>
              <w:t>°C</w:t>
            </w:r>
          </w:p>
        </w:tc>
        <w:tc>
          <w:tcPr>
            <w:tcW w:type="dxa" w:w="2160"/>
          </w:tcPr>
          <w:p>
            <w:r/>
          </w:p>
        </w:tc>
      </w:tr>
      <w:tr>
        <w:tc>
          <w:tcPr>
            <w:tcW w:type="dxa" w:w="2160"/>
          </w:tcPr>
          <w:p>
            <w:r>
              <w:t>TDH</w:t>
            </w:r>
          </w:p>
        </w:tc>
        <w:tc>
          <w:tcPr>
            <w:tcW w:type="dxa" w:w="2160"/>
          </w:tcPr>
          <w:p>
            <w:r>
              <w:t>24.1</w:t>
            </w:r>
          </w:p>
        </w:tc>
        <w:tc>
          <w:tcPr>
            <w:tcW w:type="dxa" w:w="2160"/>
          </w:tcPr>
          <w:p>
            <w:r>
              <w:t>m</w:t>
            </w:r>
          </w:p>
        </w:tc>
        <w:tc>
          <w:tcPr>
            <w:tcW w:type="dxa" w:w="2160"/>
          </w:tcPr>
          <w:p>
            <w:r>
              <w:t>Hydraulics Summary</w:t>
            </w:r>
          </w:p>
        </w:tc>
      </w:tr>
      <w:tr>
        <w:tc>
          <w:tcPr>
            <w:tcW w:type="dxa" w:w="2160"/>
          </w:tcPr>
          <w:p>
            <w:r>
              <w:t>NPSHa</w:t>
            </w:r>
          </w:p>
        </w:tc>
        <w:tc>
          <w:tcPr>
            <w:tcW w:type="dxa" w:w="2160"/>
          </w:tcPr>
          <w:p>
            <w:r>
              <w:t>25.6</w:t>
            </w:r>
          </w:p>
        </w:tc>
        <w:tc>
          <w:tcPr>
            <w:tcW w:type="dxa" w:w="2160"/>
          </w:tcPr>
          <w:p>
            <w:r>
              <w:t>m</w:t>
            </w:r>
          </w:p>
        </w:tc>
        <w:tc>
          <w:tcPr>
            <w:tcW w:type="dxa" w:w="2160"/>
          </w:tcPr>
          <w:p>
            <w:r>
              <w:t>Hydraulics Summary</w:t>
            </w:r>
          </w:p>
        </w:tc>
      </w:tr>
    </w:tbl>
    <w:p>
      <w:pPr>
        <w:pStyle w:val="Heading2"/>
      </w:pPr>
      <w:r>
        <w:t>5. Design Basis</w:t>
      </w:r>
    </w:p>
    <w:p>
      <w:r>
        <w:t>Flow Margins:</w:t>
      </w:r>
    </w:p>
    <w:p>
      <w:r>
        <w:t>A 20% margin has been applied to the normal flow rate to determine the rated flow (54.0 m³/h). This margin is standard practice for pump sizing and is consistent with the template referenced (4-PDS-XXXX-R1 (Template Brine Ion Exchange Pkg).xls).</w:t>
      </w:r>
    </w:p>
    <w:p>
      <w:r>
        <w:t>Corrosion Allowance Rationale:</w:t>
      </w:r>
    </w:p>
    <w:p>
      <w:r>
        <w:t>A corrosion allowance of 0 mm has been specified for all equipment and piping, as per document 5-LST-0003-2.</w:t>
      </w:r>
    </w:p>
    <w:p>
      <w:r>
        <w:t>Material Selection Rationale:</w:t>
      </w:r>
    </w:p>
    <w:p>
      <w:r>
        <w:t>Material selection for the MEG Transfer Pump Skid components is based on standard practice for non-corrosive service.</w:t>
      </w:r>
    </w:p>
    <w:p>
      <w:r>
        <w:t>Note on Corrosion: While the fluid data (1-LST-0002) explicitly identifies Monoethylene Glycol (MEG) as corrosive, the project's design criteria (5-LST-0003-2 and the material note) specify a 0 mm corrosion allowance and material selection based on standard practice for non-corrosive service. This apparent discrepancy should be reviewed and confirmed by the project materials specialist to ensure long-term integrity and safety.</w:t>
      </w:r>
    </w:p>
    <w:p>
      <w:r>
        <w:t>Pressure Test Requirements:</w:t>
      </w:r>
    </w:p>
    <w:p>
      <w:r>
        <w:t>Standard pressure testing procedures apply to all pressure-containing equipment and piping. This typically involves hydrostatic testing to 1.5 times the design pressure or as per applicable codes and standards.</w:t>
      </w:r>
    </w:p>
    <w:p>
      <w:pPr>
        <w:pStyle w:val="Heading2"/>
      </w:pPr>
      <w:r>
        <w:t>6. Risk Considerations</w:t>
      </w:r>
    </w:p>
    <w:p>
      <w:r>
        <w:t>No active risk flags have been identified for this MEG Transfer Pump Skid project at the time of this document's issuance.</w:t>
      </w:r>
    </w:p>
    <w:p>
      <w:pPr>
        <w:pStyle w:val="Heading2"/>
      </w:pPr>
      <w:r>
        <w:t>7. References</w:t>
      </w:r>
    </w:p>
    <w:p>
      <w:pPr>
        <w:pStyle w:val="ListBullet"/>
      </w:pPr>
      <w:r>
        <w:t xml:space="preserve">  1-LST-0002 — Fluid List</w:t>
      </w:r>
    </w:p>
    <w:p>
      <w:pPr>
        <w:pStyle w:val="ListBullet"/>
      </w:pPr>
      <w:r>
        <w:t xml:space="preserve">  4-PDS-XXXX-R1 (Template Brine Ion Exchange Pkg).xls — Project Data Sheet Template</w:t>
      </w:r>
    </w:p>
    <w:p>
      <w:pPr>
        <w:pStyle w:val="ListBullet"/>
      </w:pPr>
      <w:r>
        <w:t xml:space="preserve">  5-LST-0003-2 — Material Specification List (Specific section for corrosion allowance)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