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1-PRC-0001 — Process Design Criteria</w:t>
      </w:r>
    </w:p>
    <w:p>
      <w:pPr>
        <w:pStyle w:val="Heading2"/>
      </w:pPr>
      <w:r>
        <w:t>1. Document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ID</w:t>
            </w:r>
          </w:p>
        </w:tc>
        <w:tc>
          <w:tcPr>
            <w:tcW w:type="dxa" w:w="4320"/>
          </w:tcPr>
          <w:p>
            <w:r>
              <w:t>1-PRC-0001</w:t>
            </w:r>
          </w:p>
        </w:tc>
      </w:tr>
      <w:tr>
        <w:tc>
          <w:tcPr>
            <w:tcW w:type="dxa" w:w="4320"/>
          </w:tcPr>
          <w:p>
            <w:r>
              <w:t>Title</w:t>
            </w:r>
          </w:p>
        </w:tc>
        <w:tc>
          <w:tcPr>
            <w:tcW w:type="dxa" w:w="4320"/>
          </w:tcPr>
          <w:p>
            <w:r>
              <w:t>Process Design Criteria</w:t>
            </w:r>
          </w:p>
        </w:tc>
      </w:tr>
      <w:tr>
        <w:tc>
          <w:tcPr>
            <w:tcW w:type="dxa" w:w="4320"/>
          </w:tcPr>
          <w:p>
            <w:r>
              <w:t>Project</w:t>
            </w:r>
          </w:p>
        </w:tc>
        <w:tc>
          <w:tcPr>
            <w:tcW w:type="dxa" w:w="4320"/>
          </w:tcPr>
          <w:p>
            <w:r>
              <w:t>MEG Transfer Pump Skid</w:t>
            </w:r>
          </w:p>
        </w:tc>
      </w:tr>
      <w:tr>
        <w:tc>
          <w:tcPr>
            <w:tcW w:type="dxa" w:w="4320"/>
          </w:tcPr>
          <w:p>
            <w:r>
              <w:t>Client</w:t>
            </w:r>
          </w:p>
        </w:tc>
        <w:tc>
          <w:tcPr>
            <w:tcW w:type="dxa" w:w="4320"/>
          </w:tcPr>
          <w:p>
            <w:r>
              <w:t>B Star Chemetics</w:t>
            </w:r>
          </w:p>
        </w:tc>
      </w:tr>
      <w:tr>
        <w:tc>
          <w:tcPr>
            <w:tcW w:type="dxa" w:w="4320"/>
          </w:tcPr>
          <w:p>
            <w:r>
              <w:t>Location</w:t>
            </w:r>
          </w:p>
        </w:tc>
        <w:tc>
          <w:tcPr>
            <w:tcW w:type="dxa" w:w="4320"/>
          </w:tcPr>
          <w:p>
            <w:r>
              <w:t>Sarnia, Ontario, Canada</w:t>
            </w:r>
          </w:p>
        </w:tc>
      </w:tr>
      <w:tr>
        <w:tc>
          <w:tcPr>
            <w:tcW w:type="dxa" w:w="4320"/>
          </w:tcPr>
          <w:p>
            <w:r>
              <w:t>Revision</w:t>
            </w:r>
          </w:p>
        </w:tc>
        <w:tc>
          <w:tcPr>
            <w:tcW w:type="dxa" w:w="4320"/>
          </w:tcPr>
          <w:p>
            <w:r>
              <w:t>0</w:t>
            </w:r>
          </w:p>
        </w:tc>
      </w:tr>
      <w:tr>
        <w:tc>
          <w:tcPr>
            <w:tcW w:type="dxa" w:w="4320"/>
          </w:tcPr>
          <w:p>
            <w:r>
              <w:t>Date</w:t>
            </w:r>
          </w:p>
        </w:tc>
        <w:tc>
          <w:tcPr>
            <w:tcW w:type="dxa" w:w="4320"/>
          </w:tcPr>
          <w:p>
            <w:r>
              <w:t>2023-10-27</w:t>
            </w:r>
          </w:p>
        </w:tc>
      </w:tr>
      <w:tr>
        <w:tc>
          <w:tcPr>
            <w:tcW w:type="dxa" w:w="4320"/>
          </w:tcPr>
          <w:p>
            <w:r>
              <w:t>Prepared By</w:t>
            </w:r>
          </w:p>
        </w:tc>
        <w:tc>
          <w:tcPr>
            <w:tcW w:type="dxa" w:w="4320"/>
          </w:tcPr>
          <w:p>
            <w:r>
              <w:t>Process Engineer</w:t>
            </w:r>
          </w:p>
        </w:tc>
      </w:tr>
    </w:tbl>
    <w:p>
      <w:pPr>
        <w:pStyle w:val="Heading2"/>
      </w:pPr>
      <w:r>
        <w:t>2. Scope</w:t>
      </w:r>
    </w:p>
    <w:p>
      <w:r>
        <w:t>This document defines the process design criteria for the Monoethylene Glycol (MEG) Transfer Pump Skid project at B Star Chemetics' Sarnia facility. It establishes the fundamental fluid properties, design conditions, design basis, and risk considerations necessary for the engineering, procurement, and construction phases of the horizontal centrifugal pump skid. The purpose is to ensure consistent and safe design practices are applied throughout the project lifecycle.</w:t>
      </w:r>
    </w:p>
    <w:p>
      <w:pPr>
        <w:pStyle w:val="Heading2"/>
      </w:pPr>
      <w:r>
        <w:t>3. Fluid Data</w:t>
      </w:r>
    </w:p>
    <w:p>
      <w:pPr>
        <w:pStyle w:val="Heading3"/>
      </w:pPr>
      <w:r>
        <w:t>Fluid Code</w:t>
      </w:r>
    </w:p>
    <w:p>
      <w:r>
        <w:t>MEG</w:t>
      </w:r>
    </w:p>
    <w:p>
      <w:pPr>
        <w:pStyle w:val="Heading3"/>
      </w:pPr>
      <w:r>
        <w:t>Physical Properties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Property</w:t>
            </w:r>
          </w:p>
        </w:tc>
        <w:tc>
          <w:tcPr>
            <w:tcW w:type="dxa" w:w="2160"/>
          </w:tcPr>
          <w:p>
            <w:r>
              <w:rPr>
                <w:b/>
              </w:rPr>
              <w:t>Value</w:t>
            </w:r>
          </w:p>
        </w:tc>
        <w:tc>
          <w:tcPr>
            <w:tcW w:type="dxa" w:w="2160"/>
          </w:tcPr>
          <w:p>
            <w:r>
              <w:rPr>
                <w:b/>
              </w:rPr>
              <w:t>Unit</w:t>
            </w:r>
          </w:p>
        </w:tc>
        <w:tc>
          <w:tcPr>
            <w:tcW w:type="dxa" w:w="2160"/>
          </w:tcPr>
          <w:p>
            <w:r>
              <w:rPr>
                <w:b/>
              </w:rPr>
              <w:t>Source</w:t>
            </w:r>
          </w:p>
        </w:tc>
      </w:tr>
      <w:tr>
        <w:tc>
          <w:tcPr>
            <w:tcW w:type="dxa" w:w="2160"/>
          </w:tcPr>
          <w:p>
            <w:r>
              <w:t>Fluid</w:t>
            </w:r>
          </w:p>
        </w:tc>
        <w:tc>
          <w:tcPr>
            <w:tcW w:type="dxa" w:w="2160"/>
          </w:tcPr>
          <w:p>
            <w:r>
              <w:t>Monoethylene Glycol (MEG), 95% by weight</w:t>
            </w:r>
          </w:p>
        </w:tc>
        <w:tc>
          <w:tcPr>
            <w:tcW w:type="dxa" w:w="2160"/>
          </w:tcPr>
          <w:p>
            <w:r>
              <w:t>-</w:t>
            </w:r>
          </w:p>
        </w:tc>
        <w:tc>
          <w:tcPr>
            <w:tcW w:type="dxa" w:w="2160"/>
          </w:tcPr>
          <w:p>
            <w:r>
              <w:t>1-LST-0002</w:t>
            </w:r>
          </w:p>
        </w:tc>
      </w:tr>
      <w:tr>
        <w:tc>
          <w:tcPr>
            <w:tcW w:type="dxa" w:w="2160"/>
          </w:tcPr>
          <w:p>
            <w:r>
              <w:t>Density</w:t>
            </w:r>
          </w:p>
        </w:tc>
        <w:tc>
          <w:tcPr>
            <w:tcW w:type="dxa" w:w="2160"/>
          </w:tcPr>
          <w:p>
            <w:r>
              <w:t>1095</w:t>
            </w:r>
          </w:p>
        </w:tc>
        <w:tc>
          <w:tcPr>
            <w:tcW w:type="dxa" w:w="2160"/>
          </w:tcPr>
          <w:p>
            <w:r>
              <w:t>kg/m³</w:t>
            </w:r>
          </w:p>
        </w:tc>
        <w:tc>
          <w:tcPr>
            <w:tcW w:type="dxa" w:w="2160"/>
          </w:tcPr>
          <w:p>
            <w:r>
              <w:t>1-LST-0002</w:t>
            </w:r>
          </w:p>
        </w:tc>
      </w:tr>
      <w:tr>
        <w:tc>
          <w:tcPr>
            <w:tcW w:type="dxa" w:w="2160"/>
          </w:tcPr>
          <w:p>
            <w:r>
              <w:t>Specific Gravity (SG)</w:t>
            </w:r>
          </w:p>
        </w:tc>
        <w:tc>
          <w:tcPr>
            <w:tcW w:type="dxa" w:w="2160"/>
          </w:tcPr>
          <w:p>
            <w:r>
              <w:t>1.095</w:t>
            </w:r>
          </w:p>
        </w:tc>
        <w:tc>
          <w:tcPr>
            <w:tcW w:type="dxa" w:w="2160"/>
          </w:tcPr>
          <w:p>
            <w:r>
              <w:t>-</w:t>
            </w:r>
          </w:p>
        </w:tc>
        <w:tc>
          <w:tcPr>
            <w:tcW w:type="dxa" w:w="2160"/>
          </w:tcPr>
          <w:p>
            <w:r>
              <w:t>1-LST-0002</w:t>
            </w:r>
          </w:p>
        </w:tc>
      </w:tr>
      <w:tr>
        <w:tc>
          <w:tcPr>
            <w:tcW w:type="dxa" w:w="2160"/>
          </w:tcPr>
          <w:p>
            <w:r>
              <w:t>Viscosity</w:t>
            </w:r>
          </w:p>
        </w:tc>
        <w:tc>
          <w:tcPr>
            <w:tcW w:type="dxa" w:w="2160"/>
          </w:tcPr>
          <w:p>
            <w:r>
              <w:t>4.0</w:t>
            </w:r>
          </w:p>
        </w:tc>
        <w:tc>
          <w:tcPr>
            <w:tcW w:type="dxa" w:w="2160"/>
          </w:tcPr>
          <w:p>
            <w:r>
              <w:t>mPa·s</w:t>
            </w:r>
          </w:p>
        </w:tc>
        <w:tc>
          <w:tcPr>
            <w:tcW w:type="dxa" w:w="2160"/>
          </w:tcPr>
          <w:p>
            <w:r>
              <w:t>1-LST-0002</w:t>
            </w:r>
          </w:p>
        </w:tc>
      </w:tr>
      <w:tr>
        <w:tc>
          <w:tcPr>
            <w:tcW w:type="dxa" w:w="2160"/>
          </w:tcPr>
          <w:p>
            <w:r>
              <w:t>Vapour Pressure at 65°C</w:t>
            </w:r>
          </w:p>
        </w:tc>
        <w:tc>
          <w:tcPr>
            <w:tcW w:type="dxa" w:w="2160"/>
          </w:tcPr>
          <w:p>
            <w:r>
              <w:t>0.5</w:t>
            </w:r>
          </w:p>
        </w:tc>
        <w:tc>
          <w:tcPr>
            <w:tcW w:type="dxa" w:w="2160"/>
          </w:tcPr>
          <w:p>
            <w:r>
              <w:t>kPa</w:t>
            </w:r>
          </w:p>
        </w:tc>
        <w:tc>
          <w:tcPr>
            <w:tcW w:type="dxa" w:w="2160"/>
          </w:tcPr>
          <w:p>
            <w:r>
              <w:t>1-LST-0002</w:t>
            </w:r>
          </w:p>
        </w:tc>
      </w:tr>
      <w:tr>
        <w:tc>
          <w:tcPr>
            <w:tcW w:type="dxa" w:w="2160"/>
          </w:tcPr>
          <w:p>
            <w:r>
              <w:t>Corrosive</w:t>
            </w:r>
          </w:p>
        </w:tc>
        <w:tc>
          <w:tcPr>
            <w:tcW w:type="dxa" w:w="2160"/>
          </w:tcPr>
          <w:p>
            <w:r>
              <w:t>True</w:t>
            </w:r>
          </w:p>
        </w:tc>
        <w:tc>
          <w:tcPr>
            <w:tcW w:type="dxa" w:w="2160"/>
          </w:tcPr>
          <w:p>
            <w:r>
              <w:t>-</w:t>
            </w:r>
          </w:p>
        </w:tc>
        <w:tc>
          <w:tcPr>
            <w:tcW w:type="dxa" w:w="2160"/>
          </w:tcPr>
          <w:p>
            <w:r>
              <w:t>1-LST-0002</w:t>
            </w:r>
          </w:p>
        </w:tc>
      </w:tr>
    </w:tbl>
    <w:p>
      <w:pPr>
        <w:pStyle w:val="Heading3"/>
      </w:pPr>
      <w:r>
        <w:t>Engineering Significance</w:t>
      </w:r>
    </w:p>
    <w:p>
      <w:r>
        <w:t>Monoethylene Glycol (MEG) is identified as a corrosive fluid. This property necessitates careful consideration during material selection to ensure the long-term integrity and safety of the pump skid components. The relatively low vapour pressure at the design temperature is favorable for pump suction conditions, reducing the risk of cavitation. The density and viscosity values are critical for accurate hydraulic calculations and pump sizing.</w:t>
      </w:r>
    </w:p>
    <w:p>
      <w:pPr>
        <w:pStyle w:val="Heading2"/>
      </w:pPr>
      <w:r>
        <w:t>4. Design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Value</w:t>
            </w:r>
          </w:p>
        </w:tc>
        <w:tc>
          <w:tcPr>
            <w:tcW w:type="dxa" w:w="2160"/>
          </w:tcPr>
          <w:p>
            <w:r>
              <w:rPr>
                <w:b/>
              </w:rPr>
              <w:t>Unit</w:t>
            </w:r>
          </w:p>
        </w:tc>
        <w:tc>
          <w:tcPr>
            <w:tcW w:type="dxa" w:w="2160"/>
          </w:tcPr>
          <w:p>
            <w:r>
              <w:rPr>
                <w:b/>
              </w:rPr>
              <w:t>Notes</w:t>
            </w:r>
          </w:p>
        </w:tc>
      </w:tr>
      <w:tr>
        <w:tc>
          <w:tcPr>
            <w:tcW w:type="dxa" w:w="2160"/>
          </w:tcPr>
          <w:p>
            <w:r>
              <w:t>Normal Flow</w:t>
            </w:r>
          </w:p>
        </w:tc>
        <w:tc>
          <w:tcPr>
            <w:tcW w:type="dxa" w:w="2160"/>
          </w:tcPr>
          <w:p>
            <w:r>
              <w:t>45</w:t>
            </w:r>
          </w:p>
        </w:tc>
        <w:tc>
          <w:tcPr>
            <w:tcW w:type="dxa" w:w="2160"/>
          </w:tcPr>
          <w:p>
            <w:r>
              <w:t>m³/h</w:t>
            </w:r>
          </w:p>
        </w:tc>
        <w:tc>
          <w:tcPr>
            <w:tcW w:type="dxa" w:w="2160"/>
          </w:tcPr>
          <w:p>
            <w:r/>
          </w:p>
        </w:tc>
      </w:tr>
      <w:tr>
        <w:tc>
          <w:tcPr>
            <w:tcW w:type="dxa" w:w="2160"/>
          </w:tcPr>
          <w:p>
            <w:r>
              <w:t>Rated Flow</w:t>
            </w:r>
          </w:p>
        </w:tc>
        <w:tc>
          <w:tcPr>
            <w:tcW w:type="dxa" w:w="2160"/>
          </w:tcPr>
          <w:p>
            <w:r>
              <w:t>54.0</w:t>
            </w:r>
          </w:p>
        </w:tc>
        <w:tc>
          <w:tcPr>
            <w:tcW w:type="dxa" w:w="2160"/>
          </w:tcPr>
          <w:p>
            <w:r>
              <w:t>m³/h</w:t>
            </w:r>
          </w:p>
        </w:tc>
        <w:tc>
          <w:tcPr>
            <w:tcW w:type="dxa" w:w="2160"/>
          </w:tcPr>
          <w:p>
            <w:r>
              <w:t>20% margin over normal flow</w:t>
            </w:r>
          </w:p>
        </w:tc>
      </w:tr>
      <w:tr>
        <w:tc>
          <w:tcPr>
            <w:tcW w:type="dxa" w:w="2160"/>
          </w:tcPr>
          <w:p>
            <w:r>
              <w:t>Design Pressure</w:t>
            </w:r>
          </w:p>
        </w:tc>
        <w:tc>
          <w:tcPr>
            <w:tcW w:type="dxa" w:w="2160"/>
          </w:tcPr>
          <w:p>
            <w:r>
              <w:t>10</w:t>
            </w:r>
          </w:p>
        </w:tc>
        <w:tc>
          <w:tcPr>
            <w:tcW w:type="dxa" w:w="2160"/>
          </w:tcPr>
          <w:p>
            <w:r>
              <w:t>bar</w:t>
            </w:r>
          </w:p>
        </w:tc>
        <w:tc>
          <w:tcPr>
            <w:tcW w:type="dxa" w:w="2160"/>
          </w:tcPr>
          <w:p>
            <w:r/>
          </w:p>
        </w:tc>
      </w:tr>
      <w:tr>
        <w:tc>
          <w:tcPr>
            <w:tcW w:type="dxa" w:w="2160"/>
          </w:tcPr>
          <w:p>
            <w:r>
              <w:t>Design Temperature</w:t>
            </w:r>
          </w:p>
        </w:tc>
        <w:tc>
          <w:tcPr>
            <w:tcW w:type="dxa" w:w="2160"/>
          </w:tcPr>
          <w:p>
            <w:r>
              <w:t>65</w:t>
            </w:r>
          </w:p>
        </w:tc>
        <w:tc>
          <w:tcPr>
            <w:tcW w:type="dxa" w:w="2160"/>
          </w:tcPr>
          <w:p>
            <w:r>
              <w:t>°C</w:t>
            </w:r>
          </w:p>
        </w:tc>
        <w:tc>
          <w:tcPr>
            <w:tcW w:type="dxa" w:w="2160"/>
          </w:tcPr>
          <w:p>
            <w:r/>
          </w:p>
        </w:tc>
      </w:tr>
      <w:tr>
        <w:tc>
          <w:tcPr>
            <w:tcW w:type="dxa" w:w="2160"/>
          </w:tcPr>
          <w:p>
            <w:r>
              <w:t>Pressure Class</w:t>
            </w:r>
          </w:p>
        </w:tc>
        <w:tc>
          <w:tcPr>
            <w:tcW w:type="dxa" w:w="2160"/>
          </w:tcPr>
          <w:p>
            <w:r>
              <w:t>PN10</w:t>
            </w:r>
          </w:p>
        </w:tc>
        <w:tc>
          <w:tcPr>
            <w:tcW w:type="dxa" w:w="2160"/>
          </w:tcPr>
          <w:p>
            <w:r>
              <w:t>-</w:t>
            </w:r>
          </w:p>
        </w:tc>
        <w:tc>
          <w:tcPr>
            <w:tcW w:type="dxa" w:w="2160"/>
          </w:tcPr>
          <w:p>
            <w:r>
              <w:t>Based on 10 bar design pressure</w:t>
            </w:r>
          </w:p>
        </w:tc>
      </w:tr>
    </w:tbl>
    <w:p>
      <w:pPr>
        <w:pStyle w:val="Heading2"/>
      </w:pPr>
      <w:r>
        <w:t>5. Design Basis</w:t>
      </w:r>
    </w:p>
    <w:p>
      <w:pPr>
        <w:pStyle w:val="Heading3"/>
      </w:pPr>
      <w:r>
        <w:t>Margins Applied</w:t>
      </w:r>
    </w:p>
    <w:p>
      <w:r>
        <w:t>A 20% margin has been applied to the normal flow rate to determine the rated flow of 54.0 m³/h. This margin is consistent with company standard practices, as referenced in 4-PDS-XXXX-R1 (Template Brine Ion Exchange Pkg).xls, to account for operational flexibility and future expansion.</w:t>
      </w:r>
    </w:p>
    <w:p>
      <w:pPr>
        <w:pStyle w:val="Heading3"/>
      </w:pPr>
      <w:r>
        <w:t>Corrosion Allowance Rationale</w:t>
      </w:r>
    </w:p>
    <w:p>
      <w:r>
        <w:t>A corrosion allowance of 1.5 mm shall be applied to all wetted components. This allowance is mandated due to the corrosive nature of Monoethylene Glycol (MEG), as indicated in the fluid data (1-LST-0002), and is in line with requirements specified in 5-LST-0003.</w:t>
      </w:r>
    </w:p>
    <w:p>
      <w:pPr>
        <w:pStyle w:val="Heading3"/>
      </w:pPr>
      <w:r>
        <w:t>Material Selection Rationale</w:t>
      </w:r>
    </w:p>
    <w:p>
      <w:r>
        <w:t>Material selection for the MEG Transfer Pump Skid shall be based on the fluid properties, particularly its corrosive nature. While no specific corrosive fluid flag from 4-SPC-0001 is active, the fluid data (1-LST-0002) explicitly states that Monoethylene Glycol is corrosive. Therefore, materials must be selected to withstand MEG's corrosive effects. Reference shall be made to examples provided in 5-LST-0003, which include materials such as Cr-Mo steel, 316L Stainless Steel, and Fiber Reinforced Polymer (FRP), to ensure appropriate corrosion resistance and long-term reliability.</w:t>
      </w:r>
    </w:p>
    <w:p>
      <w:pPr>
        <w:pStyle w:val="Heading3"/>
      </w:pPr>
      <w:r>
        <w:t>Pressure Test Requirements</w:t>
      </w:r>
    </w:p>
    <w:p>
      <w:r>
        <w:t>A mandatory hydrostatic test is not triggered by the 'high_pressure' flag, as it is not active for this project. However, hydrostatic testing is considered a common and good engineering practice for pressure-containing equipment to verify mechanical integrity and leak tightness. As such, hydrostatic testing shall be performed on the pump skid components, consistent with examples and recommendations found in 5-LST-0003.</w:t>
      </w:r>
    </w:p>
    <w:p>
      <w:pPr>
        <w:pStyle w:val="Heading2"/>
      </w:pPr>
      <w:r>
        <w:t>6. Risk Considerations</w:t>
      </w:r>
    </w:p>
    <w:p>
      <w:r>
        <w:t>No active risk flags have been identified for this project that require specific engineering implications beyond the standard design criteria outlined in this document.</w:t>
      </w:r>
    </w:p>
    <w:p>
      <w:pPr>
        <w:pStyle w:val="Heading2"/>
      </w:pPr>
      <w:r>
        <w:t>7. References</w:t>
      </w:r>
    </w:p>
    <w:p>
      <w:pPr>
        <w:pStyle w:val="ListBullet"/>
      </w:pPr>
      <w:r>
        <w:t xml:space="preserve">  1-LST-0002 — Fluid Data List</w:t>
      </w:r>
    </w:p>
    <w:p>
      <w:pPr>
        <w:pStyle w:val="ListBullet"/>
      </w:pPr>
      <w:r>
        <w:t xml:space="preserve">  4-PDS-XXXX-R1 (Template Brine Ion Exchange Pkg).xls — Flow Margin Basis</w:t>
      </w:r>
    </w:p>
    <w:p>
      <w:pPr>
        <w:pStyle w:val="ListBullet"/>
      </w:pPr>
      <w:r>
        <w:t xml:space="preserve">  5-LST-0003 — Material Selection Examples, Corrosion Allowance, Hydrostatic Test Practices</w:t>
      </w:r>
    </w:p>
    <w:p>
      <w:pPr>
        <w:pStyle w:val="ListBullet"/>
      </w:pPr>
      <w:r>
        <w:t xml:space="preserve">  4-SPC-0001 — Corrosive Material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