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an exercise next. Once you receive it, create a new AgentFEM project, check and run it, and save the model and results. Show only one result figure, key values with units, and a two- or three-sentence explanation. Avoid lengthy analysis. Tell me if essential information is missing or you cannot run it. For now, reply only: ‘Ready. Please send the exercise.’ Do not start calculating or guess the exercise.</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6–7.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Fourier’s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and AI connection guides in the references. Windows uses WSL2.</w:t>
      </w:r>
    </w:p>
    <w:p>
      <w:pPr>
        <w:pStyle w:val="Caption"/>
        <w:keepNext w:val="0"/>
        <w:widowControl/>
        <w:spacing w:after="120" w:before="0" w:line="230" w:lineRule="exact"/>
      </w:pPr>
      <w:r>
        <w:rPr>
          <w:rFonts w:ascii="Times New Roman" w:hAnsi="Times New Roman" w:eastAsia="Times New Roman"/>
          <w:sz w:val="18"/>
        </w:rPr>
        <w:t>Acknowledgments: Renzi Bai of Northwestern Polytechnical University completed the first AgentFEM installation on Windows and contributed to the preparation of this teaching handout.</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Fourier’s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en"/>
            <wp:cNvGraphicFramePr>
              <a:graphicFrameLocks noChangeAspect="1"/>
            </wp:cNvGraphicFramePr>
            <a:graphic>
              <a:graphicData uri="http://schemas.openxmlformats.org/drawingml/2006/picture">
                <pic:pic>
                  <pic:nvPicPr>
                    <pic:cNvPr id="0" name="beam-en.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en"/>
            <wp:cNvGraphicFramePr>
              <a:graphicFrameLocks noChangeAspect="1"/>
            </wp:cNvGraphicFramePr>
            <a:graphic>
              <a:graphicData uri="http://schemas.openxmlformats.org/drawingml/2006/picture">
                <pic:pic>
                  <pic:nvPicPr>
                    <pic:cNvPr id="0" name="cylinder-en.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810000" cy="1086406"/>
            <wp:docPr id="7" name="Picture 7" descr="steady-en"/>
            <wp:cNvGraphicFramePr>
              <a:graphicFrameLocks noChangeAspect="1"/>
            </wp:cNvGraphicFramePr>
            <a:graphic>
              <a:graphicData uri="http://schemas.openxmlformats.org/drawingml/2006/picture">
                <pic:pic>
                  <pic:nvPicPr>
                    <pic:cNvPr id="0" name="steady-en.png"/>
                    <pic:cNvPicPr/>
                  </pic:nvPicPr>
                  <pic:blipFill>
                    <a:blip r:embed="rId17"/>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810000" cy="1086406"/>
            <wp:docPr id="8" name="Picture 8" descr="transient-en"/>
            <wp:cNvGraphicFramePr>
              <a:graphicFrameLocks noChangeAspect="1"/>
            </wp:cNvGraphicFramePr>
            <a:graphic>
              <a:graphicData uri="http://schemas.openxmlformats.org/drawingml/2006/picture">
                <pic:pic>
                  <pic:nvPicPr>
                    <pic:cNvPr id="0" name="transient-en.png"/>
                    <pic:cNvPicPr/>
                  </pic:nvPicPr>
                  <pic:blipFill>
                    <a:blip r:embed="rId18"/>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19">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Connecting an AI assistant to AgentFEM. </w:t>
      </w:r>
      <w:hyperlink r:id="rId21">
        <w:r>
          <w:rPr>
            <w:color w:val="336B85"/>
          </w:rPr>
          <w:t>https://haoming-luo.github.io/agentfem/agents/mcp/</w:t>
        </w:r>
      </w:hyperlink>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en.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