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widowControl/>
        <w:spacing w:after="160" w:before="0" w:line="680" w:lineRule="exact"/>
      </w:pPr>
      <w:r>
        <w:rPr>
          <w:rFonts w:ascii="Heiti SC" w:hAnsi="Heiti SC" w:eastAsia="Heiti SC"/>
          <w:sz w:val="48"/>
        </w:rPr>
        <w:t>AI 辅助有限元分析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AgentFEM 基础实验讲义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姓名：________________ 日期：________________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一、实验目的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通过六个基本问题，学习描述有限元任务、检查建模条件，并用理论解或数值对比判断结果是否合理。无需预先编写程序，但应能识别几何、材料、约束、载荷及输出量。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二、运行准备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使用已接入本地 AgentFEM 的 AI 助手。先发送环境检查提示词：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请先检查能否调用 AgentFEM，告诉我软件版本和项目保存位置。若需安装或配置，先征求我的同意。现在只检查环境，不开始仿真。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确认可用后，发送以下约定；等 AI 回复，再选择一道题发送。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接下来我会发送题目。收到后，请新建 AgentFEM 项目，检查并运行，保留模型和结果。完成后只展示一张结果图、关键数值与单位，并用两三句话解释，不展开长篇分析。缺少必要条件或无法运行时请说明。现在只回复“准备好了，请发送题目”，不要开始计算或猜测题目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三、实验步骤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• 阅读题目，预判结果方向和量级；发送本题提示词，检查图、数值和单位。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• 完成参数对比或步长检查，填写实验记录，独立解释结果。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• 最后核对末尾参考解答；差异较大时先检查条件，再加密网格或减小步长。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四、练习安排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00"/>
        <w:gridCol w:w="4400"/>
        <w:gridCol w:w="4680"/>
      </w:tblGrid>
      <w:tr>
        <w:trPr>
          <w:tblHeader/>
        </w:trP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页码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练习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主要核对方法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悬臂梁的静力变形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梁理论；载荷比例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厚壁圆筒的内压响应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拉梅解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矩形板的稳态导热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线性温度分布；傅里叶定律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矩形板的瞬态升温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解析级数；时间步长比较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压杆的受压响应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载荷曲线；欧拉临界载荷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7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内凹蜂窝的拉伸响应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实心板对照；变形动画</w:t>
            </w:r>
          </w:p>
        </w:tc>
      </w:tr>
    </w:tbl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每题至少保留建模文件、关键数值表和一张结果图。使用一致的单位制，展示时按题目要求换算为 mm、μm 或 ℃。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配置资料：</w:t>
      </w:r>
      <w:hyperlink r:id="rId11">
        <w:r>
          <w:rPr>
            <w:color w:val="336B85"/>
          </w:rPr>
          <w:t>AgentFEM 安装说明</w:t>
        </w:r>
      </w:hyperlink>
      <w:r>
        <w:rPr>
          <w:rFonts w:ascii="Songti SC" w:hAnsi="Songti SC" w:eastAsia="Songti SC"/>
          <w:sz w:val="17"/>
        </w:rPr>
        <w:t>；</w:t>
      </w:r>
      <w:hyperlink r:id="rId12">
        <w:r>
          <w:rPr>
            <w:color w:val="336B85"/>
          </w:rPr>
          <w:t>AI 助手连接说明</w:t>
        </w:r>
      </w:hyperlink>
      <w:r>
        <w:rPr>
          <w:rFonts w:ascii="Songti SC" w:hAnsi="Songti SC" w:eastAsia="Songti SC"/>
          <w:sz w:val="17"/>
        </w:rPr>
        <w:t>。Windows 使用 WSL2。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1 悬臂梁的静力变形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建立线弹性模型；区分真实位移与显示放大；检验载荷与位移的比例关系。</w:t>
      </w:r>
    </w:p>
    <w:p>
      <w:pPr>
        <w:spacing w:after="60" w:line="240" w:lineRule="auto" w:before="0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1" name="Picture 1" descr="实验 1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长度 L = 200 mm；高度 h = 20 mm；厚度 b = 10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E = 210 GPa；ν = 0.30；均匀各向同性线弹性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约束与载荷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左端固定；右端均匀分布向下的总力 F = 200 N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模型假设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二维平面应力、小变形；忽略重力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算一根钢悬臂梁：长 200 mm、高 20 mm、厚 10 mm，弹性模量 210 GPa、泊松比 0.3。左端固定，右端面均布向下的总力 200 N。采用二维平面应力、小变形线弹性，忽略重力。给我变形图和右端中点下沉量（mm），图上注明变形放大倍数。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运行基准模型，记录右端中点下沉量，并检查位移方向是否与载荷一致。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将总力改为 400 N，其余条件不变。计算两次下沉量之比。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使用悬臂梁理论估算端部挠度，与有限元结果比较；说明差异可能来自哪里。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把总力改成 400 N，其他不变，再算一次。比较两次端部下沉量及其比值，用梁理论解释结果。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提交：变形图一张；载荷与端部位移对照表；理论核对及简短结论。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200 N：________ mm 400 N：________ mm 比值：________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理论挠度：________ mm 相对差异：________ %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2 厚壁圆筒的内压响应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建立轴对称模型；读取径向位移；用拉梅解核对计算结果。</w:t>
      </w:r>
    </w:p>
    <w:p>
      <w:pPr>
        <w:spacing w:after="60" w:line="240" w:lineRule="auto" w:before="0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2" name="Picture 2" descr="实验 2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内半径 a = 25 mm；外半径 b = 50 mm；取轴向长度 100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E = 210 GPa；ν = 0.30；均匀各向同性线弹性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载荷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内压 p = 10 MPa；外表面压力为零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模型假设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轴对称、轴向平面应变；全域轴向位移 u_z = 0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算一个厚壁圆筒：内半径 25 mm、外半径 50 mm、长 100 mm，弹性模量 210 GPa、泊松比 0.3。内压 10 MPa，外壁径向自由，不加封头载荷。采用线弹性轴对称模型，全域轴向位移为零。给我内壁径向位移（μm）和轴向中部沿壁厚的位移曲线，用拉梅解核对。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运行基准模型，检查内压方向与径向位移方向。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将外半径改为 60 mm，内半径与内压保持不变，比较内壁径向位移。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计算两种外半径下的解析位移。解释为什么增加壁厚会改变内壁变形。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把外半径改成 60 mm，其他不变，再算一次。比较两次内壁径向位移，用拉梅解核对，说明加厚筒壁的影响。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提交：径向位移曲线及解析解对照图；两种壁厚的内壁位移表。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外半径 50 mm：________ μm 外半径 60 mm：________ μm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内壁位移降低：________ %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3 矩形板的稳态导热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理解温度边界与绝热边界；区分温度分布和热流密度。</w:t>
      </w:r>
    </w:p>
    <w:p>
      <w:pPr>
        <w:spacing w:after="60" w:line="240" w:lineRule="auto" w:before="0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3" name="Picture 3" descr="实验 3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几何与材料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 100 mm × 40 mm；均匀导热系数 k = 45 W/(m·K)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温度边界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左边 100 ℃；右边 20 ℃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其余边界绝热；无内部热源；二维稳态导热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做二维稳态导热：金属板长 100 mm、高 40 mm，均匀导热系数 45 W/(m·K)。左边保持 100 ℃，右边保持 20 ℃，其余边界绝热，没有内部热源。给我温度云图、中心温度（℃）、水平中线温度曲线和向右的热流密度（W/m²）。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记录中心温度，判断沿长度方向的温度曲线形状。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将导热系数改为 90 W/(m·K)，保持边界条件不变，比较温度和热流密度。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根据一维稳态导热方程写出温度分布，并用傅里叶定律计算热流密度。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把导热系数改成 90 W/(m·K)，其他不变，再算一次。比较温度分布和热流密度，用傅里叶定律解释结果。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提交：温度云图；两种导热系数的中心温度与热流密度表；解析核对。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k = 45：中心温度 ________ ℃；热流密度 ________ W/m²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k = 90：中心温度 ________ ℃；热流密度 ________ W/m²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4 矩形板的瞬态升温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读取温度时间历程；比较瞬态与稳态；检验时间步长的影响。</w:t>
      </w:r>
    </w:p>
    <w:p>
      <w:pPr>
        <w:spacing w:after="60" w:line="240" w:lineRule="auto" w:before="0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4" name="Picture 4" descr="实验 4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 100 mm × 40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k = 45 W/(m·K)；ρ = 7800 kg/m³；c = 500 J/(kg·K)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初始与边界条件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初温 20 ℃；从 0 秒之后左边保持 100 ℃、右边保持 20 ℃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其余边界绝热；无内部热源；材料参数保持常数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时间离散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计算至 600 s；隐式 Euler；初始时间步长 Δt = 2 s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算二维金属板升温：长 100 mm、高 40 mm，初温 20 ℃。导热系数 45 W/(m·K)、密度 7800 kg/m³、比热 500 J/(kg·K)，均保持常数。开始加热后左边保持 100 ℃、右边保持 20 ℃，其余边界绝热，无内部热源。用隐式 Euler、2 秒步长算到 600 秒。给我中心温度曲线及数据表（℃），每 10 秒保存一帧 ParaView 可播放的温度场。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绘制中心温度随时间的曲线，记录 60、120、300、600 s 的温度。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将时间步长减为 1 s，网格与其他设置不变；比较共同采样时刻的温度差。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与练习 3 的稳态解比较，说明 600 s 时是否已足够接近稳态，并给出判断依据。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将时间步长减到 1 秒，网格和其他条件不变，再算一次。叠加两条中心温度曲线，比较共同采样时刻的最大温差和 600 秒时的温差，判断原步长是否足够。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提交：两种时间步长的温度曲线；四个时刻的温度表；时间序列文件及步长检查结论。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60 s：________ ℃ 120 s：________ ℃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300 s：________ ℃ 600 s：________ ℃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两种步长最大温差：________ ℃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5 压杆的受压响应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慢慢加大压力，杆端的侧向位移会一直按比例增加吗？画出载荷与侧向位移的关系，看看接近欧拉临界载荷时发生了什么。</w:t>
      </w:r>
    </w:p>
    <w:p>
      <w:pPr>
        <w:spacing w:after="60" w:line="240" w:lineRule="auto" w:before="0"/>
        <w:jc w:val="center"/>
      </w:pPr>
      <w:r>
        <w:drawing>
          <wp:inline xmlns:a="http://schemas.openxmlformats.org/drawingml/2006/main" xmlns:pic="http://schemas.openxmlformats.org/drawingml/2006/picture">
            <wp:extent cx="5842000" cy="1525411"/>
            <wp:docPr id="5" name="Picture 5" descr="column-setup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lumn-setu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1525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运行条件：支持几何非线性与平面应力 StVK 材料的新版 AgentFEM。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40" w:lineRule="exact"/>
      </w:pPr>
      <w:r>
        <w:rPr>
          <w:rFonts w:ascii="Songti SC" w:hAnsi="Songti SC" w:eastAsia="Songti SC"/>
          <w:sz w:val="21"/>
        </w:rPr>
        <w:t>请用 AgentFEM 模拟细杆逐步受压：长 200 mm，截面 10×10 mm，E=210 GPa、泊松比 0.3。左端固定，右端受沿原轴线方向的均布压力，其余边界自由。采用线弹性材料，考虑几何非线性；加入幅值 0.1 mm 的一阶屈曲形状作为初始弯曲。将总压力从 0 逐步加到 10.7 kN，画出载荷与端部侧向位移的关系，与欧拉临界载荷比较。展示几个载荷下的变形图，用两三句话解释。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再问一句</w:t>
      </w:r>
    </w:p>
    <w:p>
      <w:pPr>
        <w:keepNext w:val="0"/>
        <w:widowControl/>
        <w:spacing w:after="160" w:before="100" w:line="340" w:lineRule="exact"/>
      </w:pPr>
      <w:r>
        <w:rPr>
          <w:rFonts w:ascii="Songti SC" w:hAnsi="Songti SC" w:eastAsia="Songti SC"/>
          <w:sz w:val="21"/>
        </w:rPr>
        <w:t>把初始弯曲幅值从 0.1 mm 改成 0.2 mm，其他条件不变。将两条载荷—侧向位移曲线画在同一张图上，比较相同载荷下的弯曲程度。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欧拉临界载荷：________ kN 9 kN 时侧移：________ mm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接近临界载荷时，曲线怎样变化？________________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提交：一张对比图、关键数值及两三句话解释。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6 内凹蜂窝的拉伸响应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实心板被拉长时通常会变窄。换成内凹蜂窝，使用相同材料，它却可以同时变宽。先下载网格包，解压后把文件夹交给 AI 助手。</w:t>
      </w:r>
    </w:p>
    <w:p>
      <w:pPr>
        <w:spacing w:after="60" w:line="240" w:lineRule="auto" w:before="0"/>
        <w:jc w:val="center"/>
      </w:pPr>
      <w:r>
        <w:drawing>
          <wp:inline xmlns:a="http://schemas.openxmlformats.org/drawingml/2006/main" xmlns:pic="http://schemas.openxmlformats.org/drawingml/2006/picture">
            <wp:extent cx="5842000" cy="2155976"/>
            <wp:docPr id="6" name="Picture 6" descr="honeycomb-setup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neycomb-setu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2155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先下载并解压附件，将 honeycomb.msh 所在文件夹交给 AI。坐标单位为米。</w:t>
      </w:r>
    </w:p>
    <w:p>
      <w:pPr>
        <w:pStyle w:val="Caption"/>
        <w:keepNext w:val="0"/>
        <w:widowControl/>
        <w:spacing w:after="60" w:before="0" w:line="220" w:lineRule="exact"/>
      </w:pPr>
      <w:hyperlink r:id="rId19">
        <w:r>
          <w:rPr>
            <w:color w:val="336B85"/>
          </w:rPr>
          <w:t>https://lab.haoming-luo.com/learn/files/honeycomb.zip</w:t>
        </w:r>
      </w:hyperlink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40" w:lineRule="exact"/>
      </w:pPr>
      <w:r>
        <w:rPr>
          <w:rFonts w:ascii="Songti SC" w:hAnsi="Songti SC" w:eastAsia="Songti SC"/>
          <w:sz w:val="21"/>
        </w:rPr>
        <w:t>请用 AgentFEM 导入附件 honeycomb.msh，不重新绘制几何。坐标单位为米，宽 51.9615 mm、高 60 mm；边界标签 11/12/13/14 分别为左/右/下/上。采用二维平面应力、小变形线弹性，E=1 GPa、泊松比 0.3，忽略重力。左侧水平位移为零，右侧水平拉伸宽度的 0.1%，竖向自由，仅固定左边界最下端节点的竖向位移（蜂窝坐标为 x=0、y=5 mm；实心板为左下角）。用四侧边界平均位移计算轴向、横向应变及表观泊松比。与相同尺寸、材料和约束的实心板并排画变形图，叠加原形轮廓，位移统一放大 100 倍并注明。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再问一句</w:t>
      </w:r>
    </w:p>
    <w:p>
      <w:pPr>
        <w:keepNext w:val="0"/>
        <w:widowControl/>
        <w:spacing w:after="160" w:before="100" w:line="340" w:lineRule="exact"/>
      </w:pPr>
      <w:r>
        <w:rPr>
          <w:rFonts w:ascii="Songti SC" w:hAnsi="Songti SC" w:eastAsia="Songti SC"/>
          <w:sz w:val="21"/>
        </w:rPr>
        <w:t>用这次结果生成蜂窝与实心板同步拉伸、回到原形的循环 GIF。固定视角和坐标范围，位移统一放大 100 倍并注明，保留原形轮廓。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蜂窝：轴向应变 ________ 横向应变 ________ 表观泊松比 ________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实心板泊松比：________ GIF 文件：________________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提交：一张对比图、关键数值及两三句话解释。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参考解答（一）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建议完成实验记录后再核对。表中数值用于核查量级与趋势，不要求不同网格逐位一致。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1 悬臂梁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矩形截面惯性矩与 Euler–Bernoulli 梁的端部挠度为：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I = bh</w:t>
      </w:r>
      <w:r>
        <w:rPr>
          <w:rFonts w:ascii="Songti SC" w:hAnsi="Songti SC" w:eastAsia="Songti SC"/>
          <w:sz w:val="22"/>
          <w:vertAlign w:val="superscript"/>
        </w:rPr>
        <w:t>3</w:t>
      </w:r>
      <w:r>
        <w:rPr>
          <w:rFonts w:ascii="Songti SC" w:hAnsi="Songti SC" w:eastAsia="Songti SC"/>
          <w:sz w:val="22"/>
        </w:rPr>
        <w:t>/12 = 6.667 × 10</w:t>
      </w:r>
      <w:r>
        <w:rPr>
          <w:rFonts w:ascii="Songti SC" w:hAnsi="Songti SC" w:eastAsia="Songti SC"/>
          <w:sz w:val="22"/>
          <w:vertAlign w:val="superscript"/>
        </w:rPr>
        <w:t>−9</w:t>
      </w:r>
      <w:r>
        <w:rPr>
          <w:rFonts w:ascii="Songti SC" w:hAnsi="Songti SC" w:eastAsia="Songti SC"/>
          <w:sz w:val="22"/>
        </w:rPr>
        <w:t xml:space="preserve"> m</w:t>
      </w:r>
      <w:r>
        <w:rPr>
          <w:rFonts w:ascii="Songti SC" w:hAnsi="Songti SC" w:eastAsia="Songti SC"/>
          <w:sz w:val="22"/>
          <w:vertAlign w:val="superscript"/>
        </w:rPr>
        <w:t>4</w:t>
      </w:r>
      <w:r>
        <w:rPr>
          <w:rFonts w:ascii="Songti SC" w:hAnsi="Songti SC" w:eastAsia="Songti SC"/>
          <w:sz w:val="22"/>
        </w:rPr>
        <w:t>； δ = FL</w:t>
      </w:r>
      <w:r>
        <w:rPr>
          <w:rFonts w:ascii="Songti SC" w:hAnsi="Songti SC" w:eastAsia="Songti SC"/>
          <w:sz w:val="22"/>
          <w:vertAlign w:val="superscript"/>
        </w:rPr>
        <w:t>3</w:t>
      </w:r>
      <w:r>
        <w:rPr>
          <w:rFonts w:ascii="Songti SC" w:hAnsi="Songti SC" w:eastAsia="Songti SC"/>
          <w:sz w:val="22"/>
        </w:rPr>
        <w:t>/(3EI)。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00"/>
        <w:gridCol w:w="3400"/>
        <w:gridCol w:w="4680"/>
      </w:tblGrid>
      <w:tr>
        <w:trPr>
          <w:tblHeader/>
        </w:trP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总力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梁理论 / mm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有限元或比例推算 / mm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200 N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0.381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0.383（有限元）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400 N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0.762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0.766（按线性比例推算）</w:t>
            </w:r>
          </w:p>
        </w:tc>
      </w:tr>
    </w:tbl>
    <w:p>
      <w:pPr>
        <w:spacing w:after="60" w:line="240" w:lineRule="auto" w:before="0"/>
        <w:jc w:val="center"/>
      </w:pPr>
      <w:r>
        <w:drawing>
          <wp:inline xmlns:a="http://schemas.openxmlformats.org/drawingml/2006/main" xmlns:pic="http://schemas.openxmlformats.org/drawingml/2006/picture">
            <wp:extent cx="4699000" cy="1255578"/>
            <wp:docPr id="7" name="Picture 7" descr="beam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a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1255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1 基准梁的位移；虚线为原形，变形放大 15 倍。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端部向下位移在 y 向上为正时带负号，表中列下沉量的绝对值。基准有限元值比梁理论高约 0.59%；二维弹性解包含剪切及端部约束影响，梁理论属于近似。线弹性条件下，载荷翻倍时位移比例为 2。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2 厚壁圆筒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对本题轴向平面应变、外压为零的圆筒，拉梅解为：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A = pa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/(b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 xml:space="preserve"> − 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)； B = pa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/(b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 xml:space="preserve"> − 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)。</w:t>
      </w:r>
      <w:r>
        <w:rPr>
          <w:rFonts w:ascii="Songti SC" w:hAnsi="Songti SC" w:eastAsia="Songti SC"/>
          <w:sz w:val="22"/>
        </w:rPr>
        <w:br/>
      </w:r>
      <w:r>
        <w:rPr>
          <w:rFonts w:ascii="Songti SC" w:hAnsi="Songti SC" w:eastAsia="Songti SC"/>
          <w:sz w:val="22"/>
        </w:rPr>
        <w:t>u</w:t>
      </w:r>
      <w:r>
        <w:rPr>
          <w:rFonts w:ascii="Songti SC" w:hAnsi="Songti SC" w:eastAsia="Songti SC"/>
          <w:sz w:val="22"/>
          <w:vertAlign w:val="subscript"/>
        </w:rPr>
        <w:t>r</w:t>
      </w:r>
      <w:r>
        <w:rPr>
          <w:rFonts w:ascii="Songti SC" w:hAnsi="Songti SC" w:eastAsia="Songti SC"/>
          <w:sz w:val="22"/>
        </w:rPr>
        <w:t>(r) = [(1 + ν)/E] [(1 − 2ν)Ar + B/r]。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00"/>
        <w:gridCol w:w="3400"/>
        <w:gridCol w:w="4680"/>
      </w:tblGrid>
      <w:tr>
        <w:trPr>
          <w:tblHeader/>
        </w:trP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外半径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内壁径向位移 / μm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数值来源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50 mm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2.270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解析解与基准有限元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 mm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2.003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</w:t>
            </w:r>
          </w:p>
        </w:tc>
      </w:tr>
    </w:tbl>
    <w:p>
      <w:pPr>
        <w:spacing w:after="60" w:line="240" w:lineRule="auto" w:before="0"/>
        <w:jc w:val="center"/>
      </w:pPr>
      <w:r>
        <w:drawing>
          <wp:inline xmlns:a="http://schemas.openxmlformats.org/drawingml/2006/main" xmlns:pic="http://schemas.openxmlformats.org/drawingml/2006/picture">
            <wp:extent cx="4699000" cy="1339900"/>
            <wp:docPr id="8" name="Picture 8" descr="cylinder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lind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1339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2 基准圆筒沿壁厚的径向位移与拉梅解。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外半径从 50 mm 增至 60 mm，内壁径向位移降低约 11.76%。这里的轴向约束保持不变；自由伸长或带封头的圆筒不应直接套用上述位移公式。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参考解答（二）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3 稳态导热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材料均匀、无内热源且上下绝热，温度只随 x 变化。令 L = 0.1 m，x 从左向右，则：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T(x) = 100 − 80x/L （℃）； q</w:t>
      </w:r>
      <w:r>
        <w:rPr>
          <w:rFonts w:ascii="Songti SC" w:hAnsi="Songti SC" w:eastAsia="Songti SC"/>
          <w:sz w:val="22"/>
          <w:vertAlign w:val="subscript"/>
        </w:rPr>
        <w:t>x</w:t>
      </w:r>
      <w:r>
        <w:rPr>
          <w:rFonts w:ascii="Songti SC" w:hAnsi="Songti SC" w:eastAsia="Songti SC"/>
          <w:sz w:val="22"/>
        </w:rPr>
        <w:t xml:space="preserve"> = −k dT/dx = 80k/L。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900"/>
        <w:gridCol w:w="2600"/>
        <w:gridCol w:w="3480"/>
      </w:tblGrid>
      <w:tr>
        <w:trPr>
          <w:tblHeader/>
        </w:trP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导热系数 / W/(m·K)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中心温度 / ℃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热流密度 / W/m²</w:t>
            </w:r>
          </w:p>
        </w:tc>
      </w:tr>
      <w:t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45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36 000</w:t>
            </w:r>
          </w:p>
        </w:tc>
      </w:tr>
      <w:t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90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72 000</w:t>
            </w:r>
          </w:p>
        </w:tc>
      </w:tr>
    </w:tbl>
    <w:p>
      <w:pPr>
        <w:spacing w:after="60" w:line="240" w:lineRule="auto" w:before="0"/>
        <w:jc w:val="center"/>
      </w:pPr>
      <w:r>
        <w:drawing>
          <wp:inline xmlns:a="http://schemas.openxmlformats.org/drawingml/2006/main" xmlns:pic="http://schemas.openxmlformats.org/drawingml/2006/picture">
            <wp:extent cx="2921000" cy="832911"/>
            <wp:docPr id="9" name="Picture 9" descr="steady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ad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83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3 基准板沿水平中线的温度。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两端温度固定时，改变均匀导热系数不会改变本题的稳态温度分布，但会改变热流密度；正热流指向右侧。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4 瞬态升温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热扩散率 α = k/(ρc) = 1.154 × 10</w:t>
      </w:r>
      <w:r>
        <w:rPr>
          <w:rFonts w:ascii="Songti SC" w:hAnsi="Songti SC" w:eastAsia="Songti SC"/>
          <w:sz w:val="21"/>
          <w:vertAlign w:val="superscript"/>
        </w:rPr>
        <w:t>−5</w:t>
      </w:r>
      <w:r>
        <w:rPr>
          <w:rFonts w:ascii="Songti SC" w:hAnsi="Songti SC" w:eastAsia="Songti SC"/>
          <w:sz w:val="21"/>
        </w:rPr>
        <w:t xml:space="preserve"> m²/s。中心点的解析级数（t &gt; 0）为：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T(L/2,t) = 60 − (160/π) Σ</w:t>
      </w:r>
      <w:r>
        <w:rPr>
          <w:rFonts w:ascii="Songti SC" w:hAnsi="Songti SC" w:eastAsia="Songti SC"/>
          <w:sz w:val="22"/>
          <w:vertAlign w:val="subscript"/>
        </w:rPr>
        <w:t>n=1</w:t>
      </w:r>
      <w:r>
        <w:rPr>
          <w:rFonts w:ascii="Songti SC" w:hAnsi="Songti SC" w:eastAsia="Songti SC"/>
          <w:sz w:val="22"/>
          <w:vertAlign w:val="superscript"/>
        </w:rPr>
        <w:t>∞</w:t>
      </w:r>
      <w:r>
        <w:rPr>
          <w:rFonts w:ascii="Songti SC" w:hAnsi="Songti SC" w:eastAsia="Songti SC"/>
          <w:sz w:val="22"/>
        </w:rPr>
        <w:t xml:space="preserve"> [sin(nπ/2)/n] exp(−n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π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αt/L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00"/>
        <w:gridCol w:w="2820"/>
        <w:gridCol w:w="2820"/>
        <w:gridCol w:w="2840"/>
      </w:tblGrid>
      <w:tr>
        <w:trPr>
          <w:tblHeader/>
        </w:trP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时间 / s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Δt = 2 s / ℃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Δt = 1 s / ℃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 / ℃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34.147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34.231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34.319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120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46.814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46.914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47.014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300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58.263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58.296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58.328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59.941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59.943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59.945</w:t>
            </w:r>
          </w:p>
        </w:tc>
      </w:tr>
    </w:tbl>
    <w:p>
      <w:pPr>
        <w:spacing w:after="60" w:line="240" w:lineRule="auto" w:before="0"/>
        <w:jc w:val="center"/>
      </w:pPr>
      <w:r>
        <w:drawing>
          <wp:inline xmlns:a="http://schemas.openxmlformats.org/drawingml/2006/main" xmlns:pic="http://schemas.openxmlformats.org/drawingml/2006/picture">
            <wp:extent cx="2921000" cy="832911"/>
            <wp:docPr id="10" name="Picture 10" descr="transient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i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83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4 中心温度时间历程；虚线为稳态温度 60 ℃。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共同采样时刻的两步长最大温差为 0.133 ℃，600 s 时温差为 0.0022 ℃。终点温度接近不能代替全过程检查；是否足够准确，应结合所需温度精度判断。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参考计算：AgentFEM 0.4.0.dev0 / DOLFINx 0.11.0。梁：80 × 8 二次单元；圆筒：40 × 4 二次单元；导热：80 × 16 一次单元。瞬态采用隐式 Euler；显示值按指定单位换算。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参考解答 三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5 压杆失稳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I = bh</w:t>
      </w:r>
      <w:r>
        <w:rPr>
          <w:rFonts w:ascii="Songti SC" w:hAnsi="Songti SC" w:eastAsia="Songti SC"/>
          <w:sz w:val="22"/>
          <w:vertAlign w:val="superscript"/>
        </w:rPr>
        <w:t>3</w:t>
      </w:r>
      <w:r>
        <w:rPr>
          <w:rFonts w:ascii="Songti SC" w:hAnsi="Songti SC" w:eastAsia="Songti SC"/>
          <w:sz w:val="22"/>
        </w:rPr>
        <w:t>/12; P</w:t>
      </w:r>
      <w:r>
        <w:rPr>
          <w:rFonts w:ascii="Songti SC" w:hAnsi="Songti SC" w:eastAsia="Songti SC"/>
          <w:sz w:val="22"/>
          <w:vertAlign w:val="subscript"/>
        </w:rPr>
        <w:t>cr</w:t>
      </w:r>
      <w:r>
        <w:rPr>
          <w:rFonts w:ascii="Songti SC" w:hAnsi="Songti SC" w:eastAsia="Songti SC"/>
          <w:sz w:val="22"/>
        </w:rPr>
        <w:t xml:space="preserve"> = π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EI/(4L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800"/>
        <w:gridCol w:w="6180"/>
      </w:tblGrid>
      <w:tr>
        <w:trPr>
          <w:tblHeader/>
        </w:trPr>
        <w:tc>
          <w:tcPr>
            <w:tcW w:type="dxa" w:w="3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总压力 / kN</w:t>
            </w:r>
          </w:p>
        </w:tc>
        <w:tc>
          <w:tcPr>
            <w:tcW w:type="dxa" w:w="6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右端平均侧移 / mm</w:t>
            </w:r>
          </w:p>
        </w:tc>
      </w:tr>
      <w:tr>
        <w:tc>
          <w:tcPr>
            <w:tcW w:type="dxa" w:w="3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6.0</w:t>
            </w:r>
          </w:p>
        </w:tc>
        <w:tc>
          <w:tcPr>
            <w:tcW w:type="dxa" w:w="6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0.125</w:t>
            </w:r>
          </w:p>
        </w:tc>
      </w:tr>
      <w:tr>
        <w:tc>
          <w:tcPr>
            <w:tcW w:type="dxa" w:w="3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9.0</w:t>
            </w:r>
          </w:p>
        </w:tc>
        <w:tc>
          <w:tcPr>
            <w:tcW w:type="dxa" w:w="6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0.505</w:t>
            </w:r>
          </w:p>
        </w:tc>
      </w:tr>
      <w:tr>
        <w:tc>
          <w:tcPr>
            <w:tcW w:type="dxa" w:w="3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10.7</w:t>
            </w:r>
          </w:p>
        </w:tc>
        <w:tc>
          <w:tcPr>
            <w:tcW w:type="dxa" w:w="6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11.953</w:t>
            </w:r>
          </w:p>
        </w:tc>
      </w:tr>
    </w:tbl>
    <w:p>
      <w:pPr>
        <w:spacing w:after="60" w:line="240" w:lineRule="auto" w:before="160"/>
        <w:jc w:val="center"/>
      </w:pPr>
      <w:r>
        <w:drawing>
          <wp:inline xmlns:a="http://schemas.openxmlformats.org/drawingml/2006/main" xmlns:pic="http://schemas.openxmlformats.org/drawingml/2006/picture">
            <wp:extent cx="3302000" cy="1816100"/>
            <wp:docPr id="11" name="Picture 11" descr="column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lum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02000" cy="181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欧拉值为 10.795 kN。侧移从初始弯曲形状量起，在临界值附近迅速增长。含缺陷杆的平滑响应不是理想直杆的分岔点；本例不考虑屈服。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6 负泊松比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ν</w:t>
      </w:r>
      <w:r>
        <w:rPr>
          <w:rFonts w:ascii="Songti SC" w:hAnsi="Songti SC" w:eastAsia="Songti SC"/>
          <w:sz w:val="22"/>
          <w:vertAlign w:val="subscript"/>
        </w:rPr>
        <w:t>app</w:t>
      </w:r>
      <w:r>
        <w:rPr>
          <w:rFonts w:ascii="Songti SC" w:hAnsi="Songti SC" w:eastAsia="Songti SC"/>
          <w:sz w:val="22"/>
        </w:rPr>
        <w:t xml:space="preserve"> = −ε</w:t>
      </w:r>
      <w:r>
        <w:rPr>
          <w:rFonts w:ascii="Songti SC" w:hAnsi="Songti SC" w:eastAsia="Songti SC"/>
          <w:sz w:val="22"/>
          <w:vertAlign w:val="subscript"/>
        </w:rPr>
        <w:t>y</w:t>
      </w:r>
      <w:r>
        <w:rPr>
          <w:rFonts w:ascii="Songti SC" w:hAnsi="Songti SC" w:eastAsia="Songti SC"/>
          <w:sz w:val="22"/>
        </w:rPr>
        <w:t>/ε</w:t>
      </w:r>
      <w:r>
        <w:rPr>
          <w:rFonts w:ascii="Songti SC" w:hAnsi="Songti SC" w:eastAsia="Songti SC"/>
          <w:sz w:val="22"/>
          <w:vertAlign w:val="subscript"/>
        </w:rPr>
        <w:t>x</w:t>
      </w:r>
      <w:r>
        <w:rPr>
          <w:rFonts w:ascii="Songti SC" w:hAnsi="Songti SC" w:eastAsia="Songti SC"/>
          <w:sz w:val="22"/>
        </w:rPr>
        <w:t>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00"/>
        <w:gridCol w:w="2400"/>
        <w:gridCol w:w="2700"/>
        <w:gridCol w:w="2680"/>
      </w:tblGrid>
      <w:tr>
        <w:trPr>
          <w:tblHeader/>
        </w:trPr>
        <w:tc>
          <w:tcPr>
            <w:tcW w:type="dxa" w:w="22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试样</w:t>
            </w:r>
          </w:p>
        </w:tc>
        <w:tc>
          <w:tcPr>
            <w:tcW w:type="dxa" w:w="2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轴向应变</w:t>
            </w:r>
          </w:p>
        </w:tc>
        <w:tc>
          <w:tcPr>
            <w:tcW w:type="dxa" w:w="27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横向应变</w:t>
            </w:r>
          </w:p>
        </w:tc>
        <w:tc>
          <w:tcPr>
            <w:tcW w:type="dxa" w:w="2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表观泊松比</w:t>
            </w:r>
          </w:p>
        </w:tc>
      </w:tr>
      <w:tr>
        <w:tc>
          <w:tcPr>
            <w:tcW w:type="dxa" w:w="22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蜂窝</w:t>
            </w:r>
          </w:p>
        </w:tc>
        <w:tc>
          <w:tcPr>
            <w:tcW w:type="dxa" w:w="2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0.001000</w:t>
            </w:r>
          </w:p>
        </w:tc>
        <w:tc>
          <w:tcPr>
            <w:tcW w:type="dxa" w:w="27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0.001303</w:t>
            </w:r>
          </w:p>
        </w:tc>
        <w:tc>
          <w:tcPr>
            <w:tcW w:type="dxa" w:w="2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-1.3026</w:t>
            </w:r>
          </w:p>
        </w:tc>
      </w:tr>
      <w:tr>
        <w:tc>
          <w:tcPr>
            <w:tcW w:type="dxa" w:w="22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实心板</w:t>
            </w:r>
          </w:p>
        </w:tc>
        <w:tc>
          <w:tcPr>
            <w:tcW w:type="dxa" w:w="2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0.001000</w:t>
            </w:r>
          </w:p>
        </w:tc>
        <w:tc>
          <w:tcPr>
            <w:tcW w:type="dxa" w:w="27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-0.000300</w:t>
            </w:r>
          </w:p>
        </w:tc>
        <w:tc>
          <w:tcPr>
            <w:tcW w:type="dxa" w:w="2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0.3000</w:t>
            </w:r>
          </w:p>
        </w:tc>
      </w:tr>
    </w:tbl>
    <w:p>
      <w:pPr>
        <w:spacing w:after="60" w:line="240" w:lineRule="auto" w:before="160"/>
        <w:jc w:val="center"/>
      </w:pPr>
      <w:r>
        <w:drawing>
          <wp:inline xmlns:a="http://schemas.openxmlformats.org/drawingml/2006/main" xmlns:pic="http://schemas.openxmlformats.org/drawingml/2006/picture">
            <wp:extent cx="2794000" cy="1615807"/>
            <wp:docPr id="12" name="Picture 12" descr="honeycomb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neycomb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94000" cy="1615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图与 GIF 显示放大 100 倍，实际拉伸仍为 0.1%。GIF 插值展示线性结果，不是动力学仿真。加密网格给出 −1.3062，相差约 0.28%。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参考资料</w:t>
      </w:r>
    </w:p>
    <w:p>
      <w:pPr>
        <w:pStyle w:val="Caption"/>
        <w:keepNext w:val="0"/>
        <w:widowControl/>
        <w:spacing w:after="60" w:before="0" w:line="220" w:lineRule="exact"/>
      </w:pPr>
      <w:r>
        <w:rPr>
          <w:rFonts w:ascii="Songti SC" w:hAnsi="Songti SC" w:eastAsia="Songti SC"/>
          <w:sz w:val="16"/>
        </w:rPr>
        <w:t xml:space="preserve">[1] 本讲义网页互动版：可复制提示词、查看结果图与操作说明。 </w:t>
      </w:r>
      <w:hyperlink r:id="rId26">
        <w:r>
          <w:rPr>
            <w:color w:val="336B85"/>
          </w:rPr>
          <w:t>https://lab.haoming-luo.com/learn/</w:t>
        </w:r>
      </w:hyperlink>
    </w:p>
    <w:p>
      <w:pPr>
        <w:pStyle w:val="Caption"/>
        <w:keepNext w:val="0"/>
        <w:widowControl/>
        <w:spacing w:after="60" w:before="0" w:line="220" w:lineRule="exact"/>
      </w:pPr>
      <w:r>
        <w:rPr>
          <w:rFonts w:ascii="Songti SC" w:hAnsi="Songti SC" w:eastAsia="Songti SC"/>
          <w:sz w:val="16"/>
        </w:rPr>
        <w:t xml:space="preserve">[2] AgentFEM 安装说明。 </w:t>
      </w:r>
      <w:hyperlink r:id="rId11">
        <w:r>
          <w:rPr>
            <w:color w:val="336B85"/>
          </w:rPr>
          <w:t>https://github.com/haoming-luo/agentfem/blob/main/INSTALL.md</w:t>
        </w:r>
      </w:hyperlink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致谢：感谢北京理工大学王猛教授最早提出将 AI 原生有限元仿真引入课堂的建议，感谢西北工业大学白任梓老师首次完成 AgentFEM 的 Windows 安装验证，并参与教学讲义编制。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0" w:right="960" w:bottom="900" w:left="960" w:header="440" w:footer="4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tabs>
        <w:tab w:pos="9400" w:val="left"/>
      </w:tabs>
    </w:pPr>
    <w:r>
      <w:t>添加页脚</w:t>
    </w:r>
    <w:r>
      <w:tab/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AgentFEM  /  基础实验讲义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exact" w:before="0"/>
    </w:pPr>
    <w:rPr>
      <w:rFonts w:ascii="Songti SC" w:hAnsi="Songti SC" w:eastAsia="Songti SC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00" w:line="300" w:lineRule="exact"/>
      <w:outlineLvl w:val="0"/>
    </w:pPr>
    <w:rPr>
      <w:rFonts w:ascii="Heiti SC" w:hAnsi="Heiti SC" w:eastAsia="Heiti SC"/>
      <w:b/>
      <w:bCs/>
      <w:i w:val="0"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100" w:line="300" w:lineRule="exact"/>
      <w:outlineLvl w:val="1"/>
    </w:pPr>
    <w:rPr>
      <w:rFonts w:ascii="Heiti SC" w:hAnsi="Heiti SC" w:eastAsia="Heiti SC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300" w:lineRule="exact" w:before="0"/>
      <w:contextualSpacing/>
    </w:pPr>
    <w:rPr>
      <w:rFonts w:ascii="Heiti SC" w:hAnsi="Heiti SC" w:eastAsia="Heiti SC"/>
      <w:b w:val="0"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exact" w:after="100" w:before="0"/>
    </w:pPr>
    <w:rPr>
      <w:rFonts w:ascii="Songti SC" w:hAnsi="Songti SC" w:eastAsia="Songti SC"/>
      <w:b w:val="0"/>
      <w:bCs/>
      <w:i w:val="0"/>
      <w:color w:val="000000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haoming-luo/agentfem/blob/main/INSTALL.md" TargetMode="External"/><Relationship Id="rId12" Type="http://schemas.openxmlformats.org/officeDocument/2006/relationships/hyperlink" Target="https://haoming-luo.github.io/agentfem/agents/mcp/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hyperlink" Target="https://lab.haoming-luo.com/learn/files/honeycomb.zip" TargetMode="External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hyperlink" Target="https://lab.haoming-luo.com/lear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辅助有限元分析</dc:title>
  <dc:subject>AgentFEM 基础实验讲义</dc:subject>
  <dc:creator>Haoming Luo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