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通过四个基本问题，学习如何向 AI 助手清楚描述有限元任务，检查建模条件，并利用理论解或数值对比判断结果是否合理。学生无需预先编写程序，但应能识别几何、材料、约束、载荷及输出量。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使用能够调用本地 AgentFEM 的 AI 助手，并准备独立的练习文件夹。首次使用时，发送以下环境检查提示词；确认软件可运行后再开始练习。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请检查当前环境能否调用 AgentFEM 并运行计算，报告软件版本、可用工具和项目保存位置。若尚未安装或接入，请先说明需要完成的配置；安装或授权前征求我的同意。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阅读题目，先判断结果的方向、量级或变化趋势。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复制本题提示词，请 AI 建立项目并实际运行。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查看图、数值与单位，记录所用网格和求解设置。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完成参数对比或步长检查，再独立作出解释。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• 完成记录后，阅读第 6—7 页参考解答；差异较大时先核对条件，再加密网格或减小步长。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计算钢悬臂梁的静力变形。梁长 200 mm、高 20 mm、厚 10 mm，弹性模量 210 GPa、泊松比 0.30。采用二维平面应力、小变形线弹性模型，忽略重力。左端两个位移分量均固定，右端施加均匀向下的总力 200 N；请按厚度换算面力，不要将总力直接作为面力。输出右端中点的竖向位移（mm）、位移云图和变形图，注明变形放大倍数。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保留原模型，将总力改为 400 N 再计算。列出两次端部下沉量及其比值，并用梁理论解释结果。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计算厚壁圆筒的内压响应。内半径 25 mm、外半径 50 mm，取轴向长度 100 mm，弹性模量 210 GPa、泊松比 0.30。采用线弹性轴对称模型，全域轴向位移设为零，以表示轴向平面应变。内壁承受 10 MPa 压力，外壁径向自由，不添加封头载荷。输出内壁径向位移（μm），以及轴向中部从内壁到外壁的径向位移曲线；用相同假设下的拉梅解核对。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保留基准结果，将外半径改为 60 mm 后重新计算。比较两种厚度的内壁径向位移，并与拉梅解核对。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计算二维矩形板的稳态导热。板长 100 mm、高 40 mm，导热系数为常数 45 W/(m·K)。左边保持 100 ℃，右边保持 20 ℃，其余边界绝热，无内部热源。输出温度云图、中心点温度（℃）、沿水平中线的温度曲线，以及沿长度方向的热流密度（W/m²）。规定 x 从左向右，不计算流动和热应力。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把导热系数改为 90 W/(m·K)，其余条件不变，重新计算。将两次中心温度和热流密度列表比较，解释二者为什么不一定同时改变。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使用 AgentFEM 计算二维矩形板的瞬态升温。板长 100 mm、高 40 mm，初温 20 ℃；导热系数 45 W/(m·K)、密度 7800 kg/m³、比热 500 J/(kg·K)，材料参数不随温度变化。从 0 秒之后左边保持 100 ℃、右边保持 20 ℃，其余边界绝热，无内部热源。采用隐式 Euler，时间步长 2 秒，计算至 600 秒。输出中心温度时间曲线和 CSV 表，每 10 秒保存一帧 ParaView 可读温度场；温度图和表统一用 ℃，同时保留原始计算结果。 请建立独立的 AgentFEM 项目并实际运行，保留建模文件、计算结果和关键数值表，报告采用的网格与求解设置。若无法运行，请说明原因，不要用估算值替代计算结果。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将时间步长改为 1 秒，网格与其他条件不变。叠加两条中心温度曲线，报告共同采样时刻的最大温度差及 600 秒温度差；说明结果对时间步长是否敏感。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5" name="Picture 5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6" name="Picture 6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7" name="Picture 7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10000" cy="1086406"/>
            <wp:docPr id="8" name="Picture 8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1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[3] AgentFEM：AI 助手连接与配置。 </w:t>
      </w:r>
      <w:hyperlink r:id="rId12">
        <w:r>
          <w:rPr>
            <w:color w:val="336B85"/>
          </w:rPr>
          <w:t>https://haoming-luo.github.io/agentfem/agents/mcp/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Haoming Luo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