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after="160" w:before="0" w:line="680" w:lineRule="exact"/>
      </w:pPr>
      <w:r>
        <w:rPr>
          <w:rFonts w:ascii="Heiti SC" w:hAnsi="Heiti SC" w:eastAsia="Heiti SC"/>
          <w:sz w:val="48"/>
        </w:rPr>
        <w:t>AI 辅助有限元分析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AgentFEM 基础实验讲义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姓名：________________ 日期：________________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一、实验目的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通过六个基本问题，学习描述有限元任务、检查建模条件，并用理论解或数值对比判断结果是否合理。无需预先编写程序，但应能识别几何、材料、约束、载荷及输出量。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二、运行准备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使用已接入本地 AgentFEM 的 AI 助手。先发送环境检查提示词：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请先检查能否调用 AgentFEM，告诉我软件版本和项目保存位置。若需安装或配置，先征求我的同意。现在只检查环境，不开始仿真。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确认可用后，发送以下约定；等 AI 回复，再选择一道题发送。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接下来我会发送题目。收到后，请新建 AgentFEM 项目，检查并运行，保留模型和结果。完成后只展示一张结果图、关键数值与单位，并用两三句话解释，不展开长篇分析。缺少必要条件或无法运行时请说明。现在只回复“准备好了，请发送题目”，不要开始计算或猜测题目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三、实验步骤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阅读题目，预判结果方向和量级；发送本题提示词，检查图、数值和单位。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完成参数对比或步长检查，填写实验记录，独立解释结果。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最后核对末尾参考解答；差异较大时先检查条件，再加密网格或减小步长。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四、练习安排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00"/>
        <w:gridCol w:w="4400"/>
        <w:gridCol w:w="4680"/>
      </w:tblGrid>
      <w:tr>
        <w:trPr>
          <w:tblHeader/>
        </w:trP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序号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练习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主要核对方法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悬臂梁的静力变形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梁理论；载荷比例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厚壁圆筒的内压响应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拉梅解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矩形板的稳态导热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线性温度分布；傅里叶定律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矩形板的瞬态升温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解析级数；时间步长比较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压杆的受压响应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载荷曲线；欧拉临界载荷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内凹蜂窝的拉伸响应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实心板对照；变形动画</w:t>
            </w:r>
          </w:p>
        </w:tc>
      </w:tr>
    </w:tbl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每题至少保留建模文件、关键数值表和一张结果图。使用一致的单位制，展示时按题目要求换算为 mm、μm 或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配置资料：</w:t>
      </w:r>
      <w:hyperlink r:id="rId11">
        <w:r>
          <w:rPr>
            <w:color w:val="336B85"/>
          </w:rPr>
          <w:t>AgentFEM 安装说明</w:t>
        </w:r>
      </w:hyperlink>
      <w:r>
        <w:rPr>
          <w:rFonts w:ascii="Songti SC" w:hAnsi="Songti SC" w:eastAsia="Songti SC"/>
          <w:sz w:val="17"/>
        </w:rPr>
        <w:t>。Windows 使用 WSL2。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1 悬臂梁的静力变形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建立线弹性模型；区分真实位移与显示放大；检验载荷与位移的比例关系。</w:t>
      </w:r>
    </w:p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1" name="Picture 1" descr="实验 1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长度 L = 200 mm；高度 h = 20 mm；厚度 b = 10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约束与载荷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左端固定；右端均匀分布向下的总力 F = 200 N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二维平面应力、小变形；忽略重力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算一根钢悬臂梁：长 200 mm、高 20 mm、厚 10 mm，弹性模量 210 GPa、泊松比 0.3。左端固定，右端面均布向下的总力 200 N。采用二维平面应力、小变形线弹性，忽略重力。给我变形图和右端中点下沉量（mm），图上注明变形放大倍数。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运行基准模型，记录右端中点下沉量，并检查位移方向是否与载荷一致。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将总力改为 400 N，其余条件不变。计算两次下沉量之比。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使用悬臂梁理论估算端部挠度，与有限元结果比较；说明差异可能来自哪里。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把总力改成 400 N，其他不变，再算一次。比较两次端部下沉量及其比值，用梁理论解释结果。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提交：变形图一张；载荷与端部位移对照表；理论核对及简短结论。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200 N：________ mm 400 N：________ mm 比值：________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理论挠度：________ mm 相对差异：________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2 厚壁圆筒的内压响应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建立轴对称模型；读取径向位移；用拉梅解核对计算结果。</w:t>
      </w:r>
    </w:p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2" name="Picture 2" descr="实验 2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内半径 a = 25 mm；外半径 b = 50 mm；取轴向长度 100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内压 p = 10 MPa；外表面压力为零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轴对称、轴向平面应变；全域轴向位移 u_z = 0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算一个厚壁圆筒：内半径 25 mm、外半径 50 mm、长 100 mm，弹性模量 210 GPa、泊松比 0.3。内压 10 MPa，外壁径向自由，不加封头载荷。采用线弹性轴对称模型，全域轴向位移为零。给我内壁径向位移（μm）和轴向中部沿壁厚的位移曲线，用拉梅解核对。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运行基准模型，检查内压方向与径向位移方向。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将外半径改为 60 mm，内半径与内压保持不变，比较内壁径向位移。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计算两种外半径下的解析位移。解释为什么增加壁厚会改变内壁变形。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把外半径改成 60 mm，其他不变，再算一次。比较两次内壁径向位移，用拉梅解核对，说明加厚筒壁的影响。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提交：径向位移曲线及解析解对照图；两种壁厚的内壁位移表。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 50 mm：________ μm 外半径 60 mm：________ μm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内壁位移降低：________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3 矩形板的稳态导热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理解温度边界与绝热边界；区分温度分布和热流密度。</w:t>
      </w:r>
    </w:p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3" name="Picture 3" descr="实验 3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几何与材料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mm；均匀导热系数 k = 45 W/(m·K)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温度边界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左边 100 ℃；右边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其余边界绝热；无内部热源；二维稳态导热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做二维稳态导热：金属板长 100 mm、高 40 mm，均匀导热系数 45 W/(m·K)。左边保持 100 ℃，右边保持 20 ℃，其余边界绝热，没有内部热源。给我温度云图、中心温度（℃）、水平中线温度曲线和向右的热流密度（W/m²）。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记录中心温度，判断沿长度方向的温度曲线形状。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将导热系数改为 90 W/(m·K)，保持边界条件不变，比较温度和热流密度。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根据一维稳态导热方程写出温度分布，并用傅里叶定律计算热流密度。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把导热系数改成 90 W/(m·K)，其他不变，再算一次。比较温度分布和热流密度，用傅里叶定律解释结果。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提交：温度云图；两种导热系数的中心温度与热流密度表；解析核对。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45：中心温度 ________ ℃；热流密度 ________ W/m²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90：中心温度 ________ ℃；热流密度 ________ W/m²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4 矩形板的瞬态升温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读取温度时间历程；比较瞬态与稳态；检验时间步长的影响。</w:t>
      </w:r>
    </w:p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4" name="Picture 4" descr="实验 4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k = 45 W/(m·K)；ρ = 7800 kg/m³；c = 500 J/(kg·K)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初始与边界条件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初温 20 ℃；从 0 秒之后左边保持 100 ℃、右边保持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其余边界绝热；无内部热源；材料参数保持常数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时间离散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计算至 600 s；隐式 Euler；初始时间步长 Δt = 2 s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算二维金属板升温：长 100 mm、高 40 mm，初温 20 ℃。导热系数 45 W/(m·K)、密度 7800 kg/m³、比热 500 J/(kg·K)，均保持常数。开始加热后左边保持 100 ℃、右边保持 20 ℃，其余边界绝热，无内部热源。用隐式 Euler、2 秒步长算到 600 秒。给我中心温度曲线及数据表（℃），每 10 秒保存一帧 ParaView 可播放的温度场。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绘制中心温度随时间的曲线，记录 60、120、300、600 s 的温度。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将时间步长减为 1 s，网格与其他设置不变；比较共同采样时刻的温度差。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与练习 3 的稳态解比较，说明 600 s 时是否已足够接近稳态，并给出判断依据。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将时间步长减到 1 秒，网格和其他条件不变，再算一次。叠加两条中心温度曲线，比较共同采样时刻的最大温差和 600 秒时的温差，判断原步长是否足够。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提交：两种时间步长的温度曲线；四个时刻的温度表；时间序列文件及步长检查结论。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60 s：________ ℃ 120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300 s：________ ℃ 600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两种步长最大温差：________ ℃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5 压杆的受压响应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慢慢加大压力，杆端的侧向位移会一直按比例增加吗？画出载荷与侧向位移的关系，看看接近欧拉临界载荷时发生了什么。</w:t>
      </w:r>
    </w:p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5842000" cy="1525411"/>
            <wp:docPr id="5" name="Picture 5" descr="column-setup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umn-set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1525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运行条件：支持几何非线性与平面应力 StVK 材料的新版 AgentFEM。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请用 AgentFEM 模拟细杆逐步受压：长 200 mm，截面 10×10 mm，E=210 GPa、泊松比 0.3。左端固定，右端受沿原轴线方向的均布压力，其余边界自由。采用线弹性材料，考虑几何非线性；加入幅值 0.1 mm 的一阶屈曲形状作为初始弯曲。将总压力从 0 逐步加到 10.7 kN，画出载荷与端部侧向位移的关系，与欧拉临界载荷比较。展示几个载荷下的变形图，用两三句话解释。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再问一句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把初始弯曲幅值从 0.1 mm 改成 0.2 mm，其他条件不变。将两条载荷—侧向位移曲线画在同一张图上，比较相同载荷下的弯曲程度。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欧拉临界载荷：________ kN 9 kN 时侧移：________ mm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接近临界载荷时，曲线怎样变化？________________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提交：一张对比图、关键数值及两三句话解释。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6 内凹蜂窝的拉伸响应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实心板被拉长时通常会变窄。换成内凹蜂窝，使用相同材料，它却可以同时变宽。先下载网格包，解压后把文件夹交给 AI 助手。</w:t>
      </w:r>
    </w:p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5842000" cy="2155976"/>
            <wp:docPr id="6" name="Picture 6" descr="honeycomb-setup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neycomb-set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155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先下载并解压附件，将 honeycomb.msh 所在文件夹交给 AI。坐标单位为米。</w:t>
      </w:r>
    </w:p>
    <w:p>
      <w:pPr>
        <w:pStyle w:val="Caption"/>
        <w:keepNext w:val="0"/>
        <w:widowControl/>
        <w:spacing w:after="60" w:before="0" w:line="220" w:lineRule="exact"/>
      </w:pPr>
      <w:hyperlink r:id="rId18">
        <w:r>
          <w:rPr>
            <w:color w:val="336B85"/>
          </w:rPr>
          <w:t>https://lab.haoming-luo.com/learn/files/honeycomb.zip</w:t>
        </w:r>
      </w:hyperlink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请用 AgentFEM 导入附件 honeycomb.msh，不重新绘制几何。坐标单位为米，宽 51.9615 mm、高 60 mm；边界标签 11/12/13/14 分别为左/右/下/上。采用二维平面应力、小变形线弹性，E=1 GPa、泊松比 0.3，忽略重力。左侧水平位移为零，右侧水平拉伸宽度的 0.1%，竖向自由，仅固定左边界最下端节点的竖向位移（蜂窝坐标为 x=0、y=5 mm；实心板为左下角）。用四侧边界平均位移计算轴向、横向应变及表观泊松比。与相同尺寸、材料和约束的实心板并排画变形图，叠加原形轮廓，位移统一放大 100 倍并注明。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再问一句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用这次结果生成蜂窝与实心板同步拉伸、回到原形的循环 GIF。固定视角和坐标范围，位移统一放大 100 倍并注明，保留原形轮廓。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蜂窝：轴向应变 ________ 横向应变 ________ 表观泊松比 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实心板泊松比：________ GIF 文件：________________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提交：一张对比图、关键数值及两三句话解释。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参考解答（一）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建议完成实验记录后再核对。表中数值用于核查量级与趋势，不要求不同网格逐位一致。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1 悬臂梁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矩形截面惯性矩与 Euler–Bernoulli 梁的端部挠度为：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I = bh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/12 = 6.667 × 10</w:t>
      </w:r>
      <w:r>
        <w:rPr>
          <w:rFonts w:ascii="Songti SC" w:hAnsi="Songti SC" w:eastAsia="Songti SC"/>
          <w:sz w:val="22"/>
          <w:vertAlign w:val="superscript"/>
        </w:rPr>
        <w:t>−9</w:t>
      </w:r>
      <w:r>
        <w:rPr>
          <w:rFonts w:ascii="Songti SC" w:hAnsi="Songti SC" w:eastAsia="Songti SC"/>
          <w:sz w:val="22"/>
        </w:rPr>
        <w:t xml:space="preserve"> m</w:t>
      </w:r>
      <w:r>
        <w:rPr>
          <w:rFonts w:ascii="Songti SC" w:hAnsi="Songti SC" w:eastAsia="Songti SC"/>
          <w:sz w:val="22"/>
          <w:vertAlign w:val="superscript"/>
        </w:rPr>
        <w:t>4</w:t>
      </w:r>
      <w:r>
        <w:rPr>
          <w:rFonts w:ascii="Songti SC" w:hAnsi="Songti SC" w:eastAsia="Songti SC"/>
          <w:sz w:val="22"/>
        </w:rPr>
        <w:t>； δ = FL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/(3EI)。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总力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 / mm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有限元或比例推算 / mm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0.381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0.383（有限元）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0.762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0.766（按线性比例推算）</w:t>
            </w:r>
          </w:p>
        </w:tc>
      </w:tr>
    </w:tbl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4699000" cy="1255578"/>
            <wp:docPr id="7" name="Picture 7" descr="beam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255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1 基准梁的位移；虚线为原形，变形放大 15 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端部向下位移在 y 向上为正时带负号，表中列下沉量的绝对值。基准有限元值比梁理论高约 0.59%；二维弹性解包含剪切及端部约束影响，梁理论属于近似。线弹性条件下，载荷翻倍时位移比例为 2。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2 厚壁圆筒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对本题轴向平面应变、外压为零的圆筒，拉梅解为：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A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)； B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  <w:r>
        <w:rPr>
          <w:rFonts w:ascii="Songti SC" w:hAnsi="Songti SC" w:eastAsia="Songti SC"/>
          <w:sz w:val="22"/>
        </w:rPr>
        <w:br/>
      </w:r>
      <w:r>
        <w:rPr>
          <w:rFonts w:ascii="Songti SC" w:hAnsi="Songti SC" w:eastAsia="Songti SC"/>
          <w:sz w:val="22"/>
        </w:rPr>
        <w:t>u</w:t>
      </w:r>
      <w:r>
        <w:rPr>
          <w:rFonts w:ascii="Songti SC" w:hAnsi="Songti SC" w:eastAsia="Songti SC"/>
          <w:sz w:val="22"/>
          <w:vertAlign w:val="subscript"/>
        </w:rPr>
        <w:t>r</w:t>
      </w:r>
      <w:r>
        <w:rPr>
          <w:rFonts w:ascii="Songti SC" w:hAnsi="Songti SC" w:eastAsia="Songti SC"/>
          <w:sz w:val="22"/>
        </w:rPr>
        <w:t>(r) = [(1 + ν)/E] [(1 − 2ν)Ar + B/r]。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外半径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内壁径向位移 / μm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数值来源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2.270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解析解与基准有限元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2.003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</w:t>
            </w:r>
          </w:p>
        </w:tc>
      </w:tr>
    </w:tbl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4699000" cy="1339900"/>
            <wp:docPr id="8" name="Picture 8" descr="cylinder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lind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33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2 基准圆筒沿壁厚的径向位移与拉梅解。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外半径从 50 mm 增至 60 mm，内壁径向位移降低约 11.76%。这里的轴向约束保持不变；自由伸长或带封头的圆筒不应直接套用上述位移公式。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参考解答（二）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3 稳态导热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材料均匀、无内热源且上下绝热，温度只随 x 变化。令 L = 0.1 m，x 从左向右，则：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T(x) = 100 − 80x/L （℃）； q</w:t>
      </w:r>
      <w:r>
        <w:rPr>
          <w:rFonts w:ascii="Songti SC" w:hAnsi="Songti SC" w:eastAsia="Songti SC"/>
          <w:sz w:val="22"/>
          <w:vertAlign w:val="subscript"/>
        </w:rPr>
        <w:t>x</w:t>
      </w:r>
      <w:r>
        <w:rPr>
          <w:rFonts w:ascii="Songti SC" w:hAnsi="Songti SC" w:eastAsia="Songti SC"/>
          <w:sz w:val="22"/>
        </w:rPr>
        <w:t xml:space="preserve"> = −k dT/dx = 80k/L。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900"/>
        <w:gridCol w:w="2600"/>
        <w:gridCol w:w="3480"/>
      </w:tblGrid>
      <w:tr>
        <w:trPr>
          <w:tblHeader/>
        </w:trP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导热系数 / W/(m·K)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中心温度 / ℃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热流密度 / W/m²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45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36 000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90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72 000</w:t>
            </w:r>
          </w:p>
        </w:tc>
      </w:tr>
    </w:tbl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2921000" cy="832911"/>
            <wp:docPr id="9" name="Picture 9" descr="steady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ad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3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3 基准板沿水平中线的温度。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两端温度固定时，改变均匀导热系数不会改变本题的稳态温度分布，但会改变热流密度；正热流指向右侧。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4 瞬态升温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热扩散率 α = k/(ρc) = 1.154 × 10</w:t>
      </w:r>
      <w:r>
        <w:rPr>
          <w:rFonts w:ascii="Songti SC" w:hAnsi="Songti SC" w:eastAsia="Songti SC"/>
          <w:sz w:val="21"/>
          <w:vertAlign w:val="superscript"/>
        </w:rPr>
        <w:t>−5</w:t>
      </w:r>
      <w:r>
        <w:rPr>
          <w:rFonts w:ascii="Songti SC" w:hAnsi="Songti SC" w:eastAsia="Songti SC"/>
          <w:sz w:val="21"/>
        </w:rPr>
        <w:t xml:space="preserve"> m²/s。中心点的解析级数（t &gt; 0）为：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T(L/2,t) = 60 − (160/π) Σ</w:t>
      </w:r>
      <w:r>
        <w:rPr>
          <w:rFonts w:ascii="Songti SC" w:hAnsi="Songti SC" w:eastAsia="Songti SC"/>
          <w:sz w:val="22"/>
          <w:vertAlign w:val="subscript"/>
        </w:rPr>
        <w:t>n=1</w:t>
      </w:r>
      <w:r>
        <w:rPr>
          <w:rFonts w:ascii="Songti SC" w:hAnsi="Songti SC" w:eastAsia="Songti SC"/>
          <w:sz w:val="22"/>
          <w:vertAlign w:val="superscript"/>
        </w:rPr>
        <w:t>∞</w:t>
      </w:r>
      <w:r>
        <w:rPr>
          <w:rFonts w:ascii="Songti SC" w:hAnsi="Songti SC" w:eastAsia="Songti SC"/>
          <w:sz w:val="22"/>
        </w:rPr>
        <w:t xml:space="preserve"> [sin(nπ/2)/n] exp(−n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π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αt/L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00"/>
        <w:gridCol w:w="2820"/>
        <w:gridCol w:w="2820"/>
        <w:gridCol w:w="2840"/>
      </w:tblGrid>
      <w:tr>
        <w:trPr>
          <w:tblHeader/>
        </w:trP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 / s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2 s / ℃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1 s / ℃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 / ℃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34.147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34.231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34.319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120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46.814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46.914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47.014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58.263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58.296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58.328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59.941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59.943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59.945</w:t>
            </w:r>
          </w:p>
        </w:tc>
      </w:tr>
    </w:tbl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2921000" cy="832911"/>
            <wp:docPr id="10" name="Picture 10" descr="transient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ie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3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4 中心温度时间历程；虚线为稳态温度 60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共同采样时刻的两步长最大温差为 0.133 ℃，600 s 时温差为 0.0022 ℃。终点温度接近不能代替全过程检查；是否足够准确，应结合所需温度精度判断。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参考计算：AgentFEM 0.4.0.dev0 / DOLFINx 0.11.0。梁：80 × 8 二次单元；圆筒：40 × 4 二次单元；导热：80 × 16 一次单元。瞬态采用隐式 Euler；显示值按指定单位换算。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 三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5 压杆失稳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I = bh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/12; P</w:t>
      </w:r>
      <w:r>
        <w:rPr>
          <w:rFonts w:ascii="Songti SC" w:hAnsi="Songti SC" w:eastAsia="Songti SC"/>
          <w:sz w:val="22"/>
          <w:vertAlign w:val="subscript"/>
        </w:rPr>
        <w:t>cr</w:t>
      </w:r>
      <w:r>
        <w:rPr>
          <w:rFonts w:ascii="Songti SC" w:hAnsi="Songti SC" w:eastAsia="Songti SC"/>
          <w:sz w:val="22"/>
        </w:rPr>
        <w:t xml:space="preserve"> = π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EI/(4L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800"/>
        <w:gridCol w:w="6180"/>
      </w:tblGrid>
      <w:tr>
        <w:trPr>
          <w:tblHeader/>
        </w:trPr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总压力 / kN</w:t>
            </w:r>
          </w:p>
        </w:tc>
        <w:tc>
          <w:tcPr>
            <w:tcW w:type="dxa" w:w="6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右端平均侧移 / mm</w:t>
            </w:r>
          </w:p>
        </w:tc>
      </w:tr>
      <w:tr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6.0</w:t>
            </w:r>
          </w:p>
        </w:tc>
        <w:tc>
          <w:tcPr>
            <w:tcW w:type="dxa" w:w="6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0.125</w:t>
            </w:r>
          </w:p>
        </w:tc>
      </w:tr>
      <w:tr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9.0</w:t>
            </w:r>
          </w:p>
        </w:tc>
        <w:tc>
          <w:tcPr>
            <w:tcW w:type="dxa" w:w="6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0.505</w:t>
            </w:r>
          </w:p>
        </w:tc>
      </w:tr>
      <w:tr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10.7</w:t>
            </w:r>
          </w:p>
        </w:tc>
        <w:tc>
          <w:tcPr>
            <w:tcW w:type="dxa" w:w="6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11.953</w:t>
            </w:r>
          </w:p>
        </w:tc>
      </w:tr>
    </w:tbl>
    <w:p>
      <w:pPr>
        <w:spacing w:after="60" w:line="240" w:lineRule="auto" w:before="160"/>
        <w:jc w:val="center"/>
      </w:pPr>
      <w:r>
        <w:drawing>
          <wp:inline xmlns:a="http://schemas.openxmlformats.org/drawingml/2006/main" xmlns:pic="http://schemas.openxmlformats.org/drawingml/2006/picture">
            <wp:extent cx="3302000" cy="1816100"/>
            <wp:docPr id="11" name="Picture 11" descr="column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um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02000" cy="181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欧拉值为 10.795 kN。侧移从初始弯曲形状量起，在临界值附近迅速增长。含缺陷杆的平滑响应不是理想直杆的分岔点；本例不考虑屈服。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6 负泊松比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ν</w:t>
      </w:r>
      <w:r>
        <w:rPr>
          <w:rFonts w:ascii="Songti SC" w:hAnsi="Songti SC" w:eastAsia="Songti SC"/>
          <w:sz w:val="22"/>
          <w:vertAlign w:val="subscript"/>
        </w:rPr>
        <w:t>app</w:t>
      </w:r>
      <w:r>
        <w:rPr>
          <w:rFonts w:ascii="Songti SC" w:hAnsi="Songti SC" w:eastAsia="Songti SC"/>
          <w:sz w:val="22"/>
        </w:rPr>
        <w:t xml:space="preserve"> = −ε</w:t>
      </w:r>
      <w:r>
        <w:rPr>
          <w:rFonts w:ascii="Songti SC" w:hAnsi="Songti SC" w:eastAsia="Songti SC"/>
          <w:sz w:val="22"/>
          <w:vertAlign w:val="subscript"/>
        </w:rPr>
        <w:t>y</w:t>
      </w:r>
      <w:r>
        <w:rPr>
          <w:rFonts w:ascii="Songti SC" w:hAnsi="Songti SC" w:eastAsia="Songti SC"/>
          <w:sz w:val="22"/>
        </w:rPr>
        <w:t>/ε</w:t>
      </w:r>
      <w:r>
        <w:rPr>
          <w:rFonts w:ascii="Songti SC" w:hAnsi="Songti SC" w:eastAsia="Songti SC"/>
          <w:sz w:val="22"/>
          <w:vertAlign w:val="subscript"/>
        </w:rPr>
        <w:t>x</w:t>
      </w:r>
      <w:r>
        <w:rPr>
          <w:rFonts w:ascii="Songti SC" w:hAnsi="Songti SC" w:eastAsia="Songti SC"/>
          <w:sz w:val="22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00"/>
        <w:gridCol w:w="2400"/>
        <w:gridCol w:w="2700"/>
        <w:gridCol w:w="2680"/>
      </w:tblGrid>
      <w:tr>
        <w:trPr>
          <w:tblHeader/>
        </w:trPr>
        <w:tc>
          <w:tcPr>
            <w:tcW w:type="dxa" w:w="22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试样</w:t>
            </w:r>
          </w:p>
        </w:tc>
        <w:tc>
          <w:tcPr>
            <w:tcW w:type="dxa" w:w="2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轴向应变</w:t>
            </w:r>
          </w:p>
        </w:tc>
        <w:tc>
          <w:tcPr>
            <w:tcW w:type="dxa" w:w="27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横向应变</w:t>
            </w:r>
          </w:p>
        </w:tc>
        <w:tc>
          <w:tcPr>
            <w:tcW w:type="dxa" w:w="2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表观泊松比</w:t>
            </w:r>
          </w:p>
        </w:tc>
      </w:tr>
      <w:tr>
        <w:tc>
          <w:tcPr>
            <w:tcW w:type="dxa" w:w="22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蜂窝</w:t>
            </w:r>
          </w:p>
        </w:tc>
        <w:tc>
          <w:tcPr>
            <w:tcW w:type="dxa" w:w="2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0.001000</w:t>
            </w:r>
          </w:p>
        </w:tc>
        <w:tc>
          <w:tcPr>
            <w:tcW w:type="dxa" w:w="27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0.001303</w:t>
            </w:r>
          </w:p>
        </w:tc>
        <w:tc>
          <w:tcPr>
            <w:tcW w:type="dxa" w:w="2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-1.3026</w:t>
            </w:r>
          </w:p>
        </w:tc>
      </w:tr>
      <w:tr>
        <w:tc>
          <w:tcPr>
            <w:tcW w:type="dxa" w:w="22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实心板</w:t>
            </w:r>
          </w:p>
        </w:tc>
        <w:tc>
          <w:tcPr>
            <w:tcW w:type="dxa" w:w="2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0.001000</w:t>
            </w:r>
          </w:p>
        </w:tc>
        <w:tc>
          <w:tcPr>
            <w:tcW w:type="dxa" w:w="27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-0.000300</w:t>
            </w:r>
          </w:p>
        </w:tc>
        <w:tc>
          <w:tcPr>
            <w:tcW w:type="dxa" w:w="2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0.3000</w:t>
            </w:r>
          </w:p>
        </w:tc>
      </w:tr>
    </w:tbl>
    <w:p>
      <w:pPr>
        <w:spacing w:after="60" w:line="240" w:lineRule="auto" w:before="160"/>
        <w:jc w:val="center"/>
      </w:pPr>
      <w:r>
        <w:drawing>
          <wp:inline xmlns:a="http://schemas.openxmlformats.org/drawingml/2006/main" xmlns:pic="http://schemas.openxmlformats.org/drawingml/2006/picture">
            <wp:extent cx="2794000" cy="1615807"/>
            <wp:docPr id="12" name="Picture 12" descr="honeycomb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neycom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94000" cy="1615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图与 GIF 显示放大 100 倍，实际拉伸仍为 0.1%。GIF 插值展示线性结果，不是动力学仿真。加密网格给出 −1.3062，相差约 0.28%。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参考资料</w:t>
      </w:r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[1] 本讲义网页互动版：可复制提示词、查看结果图与操作说明。 </w:t>
      </w:r>
      <w:hyperlink r:id="rId25">
        <w:r>
          <w:rPr>
            <w:color w:val="336B85"/>
          </w:rPr>
          <w:t>https://lab.haoming-luo.com/learn/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[2] AgentFEM 安装说明。 </w:t>
      </w:r>
      <w:hyperlink r:id="rId11">
        <w:r>
          <w:rPr>
            <w:color w:val="336B85"/>
          </w:rPr>
          <w:t>https://github.com/haoming-luo/agentfem/blob/main/INSTALL.md</w:t>
        </w:r>
      </w:hyperlink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致谢：感谢北京理工大学王猛教授最早提出将 AI 原生有限元仿真引入课堂的建议，感谢西北工业大学白任梓老师首次完成 AgentFEM 的 Windows 安装验证，并参与教学讲义编制。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0" w:right="960" w:bottom="900" w:left="960" w:header="440" w:footer="4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tabs>
        <w:tab w:pos="9400" w:val="left"/>
      </w:tabs>
    </w:pPr>
    <w:r>
      <w:t>添加页脚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AgentFEM  /  基础实验讲义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exact" w:before="0"/>
    </w:pPr>
    <w:rPr>
      <w:rFonts w:ascii="Songti SC" w:hAnsi="Songti SC" w:eastAsia="Song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 w:line="300" w:lineRule="exact"/>
      <w:outlineLvl w:val="0"/>
    </w:pPr>
    <w:rPr>
      <w:rFonts w:ascii="Heiti SC" w:hAnsi="Heiti SC" w:eastAsia="Heiti SC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00" w:line="300" w:lineRule="exact"/>
      <w:outlineLvl w:val="1"/>
    </w:pPr>
    <w:rPr>
      <w:rFonts w:ascii="Heiti SC" w:hAnsi="Heiti SC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 w:before="0"/>
      <w:contextualSpacing/>
    </w:pPr>
    <w:rPr>
      <w:rFonts w:ascii="Heiti SC" w:hAnsi="Heiti SC" w:eastAsia="Heiti SC"/>
      <w:b w:val="0"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exact" w:after="100" w:before="0"/>
    </w:pPr>
    <w:rPr>
      <w:rFonts w:ascii="Songti SC" w:hAnsi="Songti SC" w:eastAsia="Songti SC"/>
      <w:b w:val="0"/>
      <w:bCs/>
      <w:i w:val="0"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haoming-luo/agentfem/blob/main/INSTALL.md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hyperlink" Target="https://lab.haoming-luo.com/learn/files/honeycomb.zip" TargetMode="External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hyperlink" Target="https://lab.haoming-luo.com/lear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辅助有限元分析</dc:title>
  <dc:subject>AgentFEM 基础实验讲义</dc:subject>
  <dc:creator>Haoming Luo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