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Finite element analysis with AI</w:t>
      </w:r>
    </w:p>
    <w:p>
      <w:pPr>
        <w:pStyle w:val="Heading2"/>
        <w:keepNext/>
        <w:widowControl/>
        <w:spacing w:after="120" w:before="100" w:line="320" w:lineRule="exact"/>
      </w:pPr>
      <w:r>
        <w:rPr>
          <w:rFonts w:ascii="Arial" w:hAnsi="Arial" w:eastAsia="Arial"/>
          <w:sz w:val="24"/>
        </w:rPr>
        <w:t>AgentFEM introductory exercises</w:t>
      </w:r>
    </w:p>
    <w:p>
      <w:pPr>
        <w:pStyle w:val="Caption"/>
        <w:keepNext w:val="0"/>
        <w:widowControl/>
        <w:spacing w:after="120" w:before="0" w:line="230" w:lineRule="exact"/>
      </w:pPr>
      <w:r>
        <w:rPr>
          <w:rFonts w:ascii="Times New Roman" w:hAnsi="Times New Roman" w:eastAsia="Times New Roman"/>
          <w:sz w:val="18"/>
        </w:rPr>
        <w:t>Name ____________________ Date ____________________</w:t>
      </w:r>
    </w:p>
    <w:p>
      <w:pPr>
        <w:pStyle w:val="Heading2"/>
        <w:keepNext/>
        <w:widowControl/>
        <w:spacing w:after="120" w:before="100" w:line="320" w:lineRule="exact"/>
      </w:pPr>
      <w:r>
        <w:rPr>
          <w:rFonts w:ascii="Arial" w:hAnsi="Arial" w:eastAsia="Arial"/>
          <w:sz w:val="24"/>
        </w:rPr>
        <w:t>Learning objectives</w:t>
      </w:r>
    </w:p>
    <w:p>
      <w:pPr>
        <w:keepNext w:val="0"/>
        <w:widowControl/>
        <w:spacing w:after="120" w:before="0" w:line="280" w:lineRule="exact"/>
      </w:pPr>
      <w:r>
        <w:rPr>
          <w:rFonts w:ascii="Times New Roman" w:hAnsi="Times New Roman" w:eastAsia="Times New Roman"/>
          <w:sz w:val="21"/>
        </w:rPr>
        <w:t>Describe a finite element problem, check modelling conditions and assess results using theory and numerical comparisons. No programming is required; identify the geometry, material, boundary conditions and quantities of interest.</w:t>
      </w:r>
    </w:p>
    <w:p>
      <w:pPr>
        <w:pStyle w:val="Heading2"/>
        <w:keepNext/>
        <w:widowControl/>
        <w:spacing w:after="120" w:before="100" w:line="320" w:lineRule="exact"/>
      </w:pPr>
      <w:r>
        <w:rPr>
          <w:rFonts w:ascii="Arial" w:hAnsi="Arial" w:eastAsia="Arial"/>
          <w:sz w:val="24"/>
        </w:rPr>
        <w:t>Getting ready</w:t>
      </w:r>
    </w:p>
    <w:p>
      <w:pPr>
        <w:pStyle w:val="Caption"/>
        <w:keepNext w:val="0"/>
        <w:widowControl/>
        <w:spacing w:after="120" w:before="0" w:line="230" w:lineRule="exact"/>
      </w:pPr>
      <w:r>
        <w:rPr>
          <w:rFonts w:ascii="Times New Roman" w:hAnsi="Times New Roman" w:eastAsia="Times New Roman"/>
          <w:sz w:val="18"/>
        </w:rPr>
        <w:t>Use an AI assistant connected to a local AgentFEM installation. First send:</w:t>
      </w:r>
    </w:p>
    <w:p>
      <w:pPr>
        <w:keepNext w:val="0"/>
        <w:widowControl/>
        <w:spacing w:after="120" w:before="0" w:line="270" w:lineRule="exact"/>
      </w:pPr>
      <w:r>
        <w:rPr>
          <w:rFonts w:ascii="Times New Roman" w:hAnsi="Times New Roman" w:eastAsia="Times New Roman"/>
          <w:sz w:val="21"/>
        </w:rPr>
        <w:t>Check whether you can run AgentFEM. Tell me its version and where projects will be saved. Ask for my approval before installing or configuring anything. For now, check the environment only; do not start a simulation.</w:t>
      </w:r>
    </w:p>
    <w:p>
      <w:pPr>
        <w:pStyle w:val="Caption"/>
        <w:keepNext w:val="0"/>
        <w:widowControl/>
        <w:spacing w:after="120" w:before="0" w:line="230" w:lineRule="exact"/>
      </w:pPr>
      <w:r>
        <w:rPr>
          <w:rFonts w:ascii="Times New Roman" w:hAnsi="Times New Roman" w:eastAsia="Times New Roman"/>
          <w:sz w:val="18"/>
        </w:rPr>
        <w:t>Once available, send these instructions. Wait for the reply before sending an exercise.</w:t>
      </w:r>
    </w:p>
    <w:p>
      <w:pPr>
        <w:keepNext w:val="0"/>
        <w:widowControl/>
        <w:spacing w:after="120" w:before="0" w:line="270" w:lineRule="exact"/>
      </w:pPr>
      <w:r>
        <w:rPr>
          <w:rFonts w:ascii="Times New Roman" w:hAnsi="Times New Roman" w:eastAsia="Times New Roman"/>
          <w:sz w:val="21"/>
        </w:rPr>
        <w:t>I will send an exercise next. Once you receive it, create a new AgentFEM project, check and run it, and save the model and results. Show only one result figure, key values with units, and a two- or three-sentence explanation. Avoid lengthy analysis. Tell me if essential information is missing or you cannot run it. For now, reply only: ‘Ready. Please send the exercise.’ Do not start calculating or guess the exercise.</w:t>
      </w:r>
    </w:p>
    <w:p>
      <w:pPr>
        <w:pStyle w:val="Heading2"/>
        <w:keepNext/>
        <w:widowControl/>
        <w:spacing w:after="120" w:before="100" w:line="320" w:lineRule="exact"/>
      </w:pPr>
      <w:r>
        <w:rPr>
          <w:rFonts w:ascii="Arial" w:hAnsi="Arial" w:eastAsia="Arial"/>
          <w:sz w:val="24"/>
        </w:rPr>
        <w:t>Procedure</w:t>
      </w:r>
    </w:p>
    <w:p>
      <w:pPr>
        <w:keepNext w:val="0"/>
        <w:widowControl/>
        <w:spacing w:after="120" w:before="0" w:line="270" w:lineRule="exact"/>
      </w:pPr>
      <w:r>
        <w:rPr>
          <w:rFonts w:ascii="Times New Roman" w:hAnsi="Times New Roman" w:eastAsia="Times New Roman"/>
          <w:sz w:val="21"/>
        </w:rPr>
        <w:t>1. Read the problem and predict the direction and magnitude of the response. Send the prompt, then check the figure, values and units.</w:t>
      </w:r>
    </w:p>
    <w:p>
      <w:pPr>
        <w:keepNext w:val="0"/>
        <w:widowControl/>
        <w:spacing w:after="120" w:before="0" w:line="270" w:lineRule="exact"/>
      </w:pPr>
      <w:r>
        <w:rPr>
          <w:rFonts w:ascii="Times New Roman" w:hAnsi="Times New Roman" w:eastAsia="Times New Roman"/>
          <w:sz w:val="21"/>
        </w:rPr>
        <w:t>2. Complete the comparison, fill in your observations and explain the results in your own words.</w:t>
      </w:r>
    </w:p>
    <w:p>
      <w:pPr>
        <w:keepNext w:val="0"/>
        <w:widowControl/>
        <w:spacing w:after="120" w:before="0" w:line="270" w:lineRule="exact"/>
      </w:pPr>
      <w:r>
        <w:rPr>
          <w:rFonts w:ascii="Times New Roman" w:hAnsi="Times New Roman" w:eastAsia="Times New Roman"/>
          <w:sz w:val="21"/>
        </w:rPr>
        <w:t>3. Check the reference answers on pages 6–7. If results differ substantially, check conditions before refining the mesh or time step.</w:t>
      </w:r>
    </w:p>
    <w:p>
      <w:pPr>
        <w:pStyle w:val="Heading2"/>
        <w:keepNext/>
        <w:widowControl/>
        <w:spacing w:after="120" w:before="100" w:line="320" w:lineRule="exact"/>
      </w:pPr>
      <w:r>
        <w:rPr>
          <w:rFonts w:ascii="Arial" w:hAnsi="Arial" w:eastAsia="Arial"/>
          <w:sz w:val="24"/>
        </w:rPr>
        <w:t>Exercise guide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Exercise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Check</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Cantilever deflection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Beam theory and load scaling</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Thick cylinder under internal pressure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Lamé solution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Steady heat conduction in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Linear temperature and Fourier’s law</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Transient heating of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series and time-step comparison</w:t>
            </w:r>
          </w:p>
        </w:tc>
      </w:tr>
    </w:tbl>
    <w:p>
      <w:pPr>
        <w:pStyle w:val="Caption"/>
        <w:keepNext w:val="0"/>
        <w:widowControl/>
        <w:spacing w:after="120" w:before="0" w:line="230" w:lineRule="exact"/>
      </w:pPr>
      <w:r>
        <w:rPr>
          <w:rFonts w:ascii="Times New Roman" w:hAnsi="Times New Roman" w:eastAsia="Times New Roman"/>
          <w:sz w:val="18"/>
        </w:rPr>
        <w:t>Keep the model, a table of key values and a result figure for each exercise. Calculate in SI units and convert displayed values to mm, μm or °C as requested.</w:t>
      </w:r>
    </w:p>
    <w:p>
      <w:pPr>
        <w:pStyle w:val="Caption"/>
        <w:keepNext w:val="0"/>
        <w:widowControl/>
        <w:spacing w:after="120" w:before="0" w:line="230" w:lineRule="exact"/>
      </w:pPr>
      <w:r>
        <w:rPr>
          <w:rFonts w:ascii="Times New Roman" w:hAnsi="Times New Roman" w:eastAsia="Times New Roman"/>
          <w:sz w:val="18"/>
        </w:rPr>
        <w:t>Setup: see the installation and AI connection guides in the references. Windows uses WSL2.</w:t>
      </w:r>
    </w:p>
    <w:p>
      <w:r>
        <w:br w:type="page"/>
      </w:r>
    </w:p>
    <w:p>
      <w:pPr>
        <w:pStyle w:val="Heading1"/>
        <w:keepNext/>
        <w:widowControl/>
        <w:spacing w:after="120" w:before="0" w:line="420" w:lineRule="exact"/>
      </w:pPr>
      <w:r>
        <w:rPr>
          <w:rFonts w:ascii="Arial" w:hAnsi="Arial" w:eastAsia="Arial"/>
          <w:sz w:val="32"/>
        </w:rPr>
        <w:t>Exercise 1 Cantilever deflection</w:t>
      </w:r>
    </w:p>
    <w:p>
      <w:pPr>
        <w:pStyle w:val="Caption"/>
        <w:keepNext w:val="0"/>
        <w:widowControl/>
        <w:spacing w:after="120" w:before="0" w:line="230" w:lineRule="exact"/>
      </w:pPr>
      <w:r>
        <w:rPr>
          <w:rFonts w:ascii="Times New Roman" w:hAnsi="Times New Roman" w:eastAsia="Times New Roman"/>
          <w:sz w:val="18"/>
        </w:rPr>
        <w:t>Distinguish true displacement from display magnification and check load–displacement proportionality.</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s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h = 20 mm; thickness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 and restraint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end fixed; total downward force 200 N uniformly distributed on the right end face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2D plane stress; small displacements; no gravity</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steel cantilever beam: length 200 mm, height 20 mm, thickness 10 mm, Young’s modulus 210 GPa and Poisson’s ratio 0.3. Fix the left end and distribute a total downward force of 200 N uniformly over the right end face. Use a 2D plane-stress, small-displacement linear-elastic model and neglect gravity. Show the deformed shape and the downward displacement at the midpoint of the right end (mm). State the deformation scale factor on the figure.</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downward displacement at the right-end midpoint and check its direction.</w:t>
      </w:r>
    </w:p>
    <w:p>
      <w:pPr>
        <w:keepNext w:val="0"/>
        <w:widowControl/>
        <w:spacing w:after="120" w:before="0" w:line="270" w:lineRule="exact"/>
      </w:pPr>
      <w:r>
        <w:rPr>
          <w:rFonts w:ascii="Times New Roman" w:hAnsi="Times New Roman" w:eastAsia="Times New Roman"/>
          <w:sz w:val="21"/>
        </w:rPr>
        <w:t>2. Repeat at 400 N with all other conditions unchanged. Calculate the deflection ratio.</w:t>
      </w:r>
    </w:p>
    <w:p>
      <w:pPr>
        <w:keepNext w:val="0"/>
        <w:widowControl/>
        <w:spacing w:after="120" w:before="0" w:line="270" w:lineRule="exact"/>
      </w:pPr>
      <w:r>
        <w:rPr>
          <w:rFonts w:ascii="Times New Roman" w:hAnsi="Times New Roman" w:eastAsia="Times New Roman"/>
          <w:sz w:val="21"/>
        </w:rPr>
        <w:t>3. Compare with cantilever beam theory and discuss possible sources of discrepancy.</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total force to 400 N, keep everything else unchanged and run again. Compare the two tip deflections and their ratio. Explain the result using beam theory.</w:t>
      </w:r>
    </w:p>
    <w:p>
      <w:pPr>
        <w:pStyle w:val="Caption"/>
        <w:keepNext w:val="0"/>
        <w:widowControl/>
        <w:spacing w:after="120" w:before="0" w:line="230" w:lineRule="exact"/>
      </w:pPr>
      <w:r>
        <w:rPr>
          <w:rFonts w:ascii="Times New Roman" w:hAnsi="Times New Roman" w:eastAsia="Times New Roman"/>
          <w:sz w:val="18"/>
        </w:rPr>
        <w:t>Submit the deformed shape, a load–deflection table and a short comparison with theory.</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200 N: ______ mm 400 N: ______ mm Ratio: ______</w:t>
      </w:r>
    </w:p>
    <w:p>
      <w:pPr>
        <w:pStyle w:val="Caption"/>
        <w:keepNext w:val="0"/>
        <w:widowControl/>
        <w:spacing w:after="120" w:before="0" w:line="230" w:lineRule="exact"/>
      </w:pPr>
      <w:r>
        <w:rPr>
          <w:rFonts w:ascii="Times New Roman" w:hAnsi="Times New Roman" w:eastAsia="Times New Roman"/>
          <w:sz w:val="18"/>
        </w:rPr>
        <w:t>Theoretical deflection: ______ mm Relative difference: ______ %</w:t>
      </w:r>
    </w:p>
    <w:p>
      <w:r>
        <w:br w:type="page"/>
      </w:r>
    </w:p>
    <w:p>
      <w:pPr>
        <w:pStyle w:val="Heading1"/>
        <w:keepNext/>
        <w:widowControl/>
        <w:spacing w:after="120" w:before="0" w:line="420" w:lineRule="exact"/>
      </w:pPr>
      <w:r>
        <w:rPr>
          <w:rFonts w:ascii="Arial" w:hAnsi="Arial" w:eastAsia="Arial"/>
          <w:sz w:val="32"/>
        </w:rPr>
        <w:t>Exercise 2 Thick cylinder under internal pressure</w:t>
      </w:r>
    </w:p>
    <w:p>
      <w:pPr>
        <w:pStyle w:val="Caption"/>
        <w:keepNext w:val="0"/>
        <w:widowControl/>
        <w:spacing w:after="120" w:before="0" w:line="230" w:lineRule="exact"/>
      </w:pPr>
      <w:r>
        <w:rPr>
          <w:rFonts w:ascii="Times New Roman" w:hAnsi="Times New Roman" w:eastAsia="Times New Roman"/>
          <w:sz w:val="18"/>
        </w:rPr>
        <w:t>Use an axisymmetric model and check radial displacement against Lamé’s solution.</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s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radius a = 25 mm; outer radius b = 50 mm; length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Internal pressure p = 10 MPa; zero external pressure; no end-cap load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Axisymmetry; zero axial strain; axial displacement u_z = 0 throughout</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thick-walled cylinder: inner radius 25 mm, outer radius 50 mm, length 100 mm, Young’s modulus 210 GPa and Poisson’s ratio 0.3. Apply 10 MPa internal pressure, leave the outer wall radially free and apply no end-cap load. Use a linear-elastic axisymmetric model with zero axial displacement throughout. Report the inner-wall radial displacement (μm) and plot radial displacement through the wall at mid-length. Check against Lamé’s solution.</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Check the directions of internal pressure and radial displacement.</w:t>
      </w:r>
    </w:p>
    <w:p>
      <w:pPr>
        <w:keepNext w:val="0"/>
        <w:widowControl/>
        <w:spacing w:after="120" w:before="0" w:line="270" w:lineRule="exact"/>
      </w:pPr>
      <w:r>
        <w:rPr>
          <w:rFonts w:ascii="Times New Roman" w:hAnsi="Times New Roman" w:eastAsia="Times New Roman"/>
          <w:sz w:val="21"/>
        </w:rPr>
        <w:t>2. Increase the outer radius to 60 mm. Keep inner radius and pressure fixed; compare inner-wall displacement.</w:t>
      </w:r>
    </w:p>
    <w:p>
      <w:pPr>
        <w:keepNext w:val="0"/>
        <w:widowControl/>
        <w:spacing w:after="120" w:before="0" w:line="270" w:lineRule="exact"/>
      </w:pPr>
      <w:r>
        <w:rPr>
          <w:rFonts w:ascii="Times New Roman" w:hAnsi="Times New Roman" w:eastAsia="Times New Roman"/>
          <w:sz w:val="21"/>
        </w:rPr>
        <w:t>3. Calculate analytical displacements for both radii and explain the effect of wall thickness.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outer radius to 60 mm, keep everything else unchanged and run again. Compare the two inner-wall radial displacements, check them against Lamé’s solution and explain the effect of a thicker wall.</w:t>
      </w:r>
    </w:p>
    <w:p>
      <w:pPr>
        <w:pStyle w:val="Caption"/>
        <w:keepNext w:val="0"/>
        <w:widowControl/>
        <w:spacing w:after="120" w:before="0" w:line="230" w:lineRule="exact"/>
      </w:pPr>
      <w:r>
        <w:rPr>
          <w:rFonts w:ascii="Times New Roman" w:hAnsi="Times New Roman" w:eastAsia="Times New Roman"/>
          <w:sz w:val="18"/>
        </w:rPr>
        <w:t>Submit the radial displacement profile with the analytical comparison and a table for both wall thicknesses.</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Outer radius 50 mm: ______ μm 60 mm: ______ μm</w:t>
      </w:r>
    </w:p>
    <w:p>
      <w:pPr>
        <w:pStyle w:val="Caption"/>
        <w:keepNext w:val="0"/>
        <w:widowControl/>
        <w:spacing w:after="120" w:before="0" w:line="230" w:lineRule="exact"/>
      </w:pPr>
      <w:r>
        <w:rPr>
          <w:rFonts w:ascii="Times New Roman" w:hAnsi="Times New Roman" w:eastAsia="Times New Roman"/>
          <w:sz w:val="18"/>
        </w:rPr>
        <w:t>Reduction in inner-wall displacement: ______ %</w:t>
      </w:r>
    </w:p>
    <w:p>
      <w:r>
        <w:br w:type="page"/>
      </w:r>
    </w:p>
    <w:p>
      <w:pPr>
        <w:pStyle w:val="Heading1"/>
        <w:keepNext/>
        <w:widowControl/>
        <w:spacing w:after="120" w:before="0" w:line="420" w:lineRule="exact"/>
      </w:pPr>
      <w:r>
        <w:rPr>
          <w:rFonts w:ascii="Arial" w:hAnsi="Arial" w:eastAsia="Arial"/>
          <w:sz w:val="32"/>
        </w:rPr>
        <w:t>Exercise 3 Steady heat conduction in a plate</w:t>
      </w:r>
    </w:p>
    <w:p>
      <w:pPr>
        <w:pStyle w:val="Caption"/>
        <w:keepNext w:val="0"/>
        <w:widowControl/>
        <w:spacing w:after="120" w:before="0" w:line="230" w:lineRule="exact"/>
      </w:pPr>
      <w:r>
        <w:rPr>
          <w:rFonts w:ascii="Times New Roman" w:hAnsi="Times New Roman" w:eastAsia="Times New Roman"/>
          <w:sz w:val="18"/>
        </w:rPr>
        <w:t>Distinguish prescribed-temperature and insulated boundaries, and temperature from heat flux.</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s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 and material</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uniform k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Temperatures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100 °C;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 2D steady conduction</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for 2D steady-state heat conduction in a metal plate: length 100 mm, height 40 mm and uniform thermal conductivity 45 W/(m·K). Hold the left boundary at 100 °C and the right at 20 °C. Insulate all other boundaries and use no internal heat source. Show the temperature field, centre temperature (°C), temperature profile along the horizontal centreline and rightward heat flux density (W/m²).</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centre temperature and describe the profile along the length.</w:t>
      </w:r>
    </w:p>
    <w:p>
      <w:pPr>
        <w:keepNext w:val="0"/>
        <w:widowControl/>
        <w:spacing w:after="120" w:before="0" w:line="270" w:lineRule="exact"/>
      </w:pPr>
      <w:r>
        <w:rPr>
          <w:rFonts w:ascii="Times New Roman" w:hAnsi="Times New Roman" w:eastAsia="Times New Roman"/>
          <w:sz w:val="21"/>
        </w:rPr>
        <w:t>2. Double conductivity to 90 W/(m·K), without changing the boundaries. Compare temperatures and heat flux.</w:t>
      </w:r>
    </w:p>
    <w:p>
      <w:pPr>
        <w:keepNext w:val="0"/>
        <w:widowControl/>
        <w:spacing w:after="120" w:before="0" w:line="270" w:lineRule="exact"/>
      </w:pPr>
      <w:r>
        <w:rPr>
          <w:rFonts w:ascii="Times New Roman" w:hAnsi="Times New Roman" w:eastAsia="Times New Roman"/>
          <w:sz w:val="21"/>
        </w:rPr>
        <w:t>3. Derive the temperature profile from the 1D steady heat equation and use Fourier’s law to calculate heat flux.</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thermal conductivity to 90 W/(m·K), keep everything else unchanged and run again. Compare the temperature fields and heat flux densities. Explain the result using Fourier’s law.</w:t>
      </w:r>
    </w:p>
    <w:p>
      <w:pPr>
        <w:pStyle w:val="Caption"/>
        <w:keepNext w:val="0"/>
        <w:widowControl/>
        <w:spacing w:after="120" w:before="0" w:line="230" w:lineRule="exact"/>
      </w:pPr>
      <w:r>
        <w:rPr>
          <w:rFonts w:ascii="Times New Roman" w:hAnsi="Times New Roman" w:eastAsia="Times New Roman"/>
          <w:sz w:val="18"/>
        </w:rPr>
        <w:t>Submit the temperature field, a table of centre temperature and heat flux for both conductivities, and an analytical check.</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k = 45: centre ______ °C; heat flux ______ W/m²</w:t>
      </w:r>
    </w:p>
    <w:p>
      <w:pPr>
        <w:pStyle w:val="Caption"/>
        <w:keepNext w:val="0"/>
        <w:widowControl/>
        <w:spacing w:after="120" w:before="0" w:line="230" w:lineRule="exact"/>
      </w:pPr>
      <w:r>
        <w:rPr>
          <w:rFonts w:ascii="Times New Roman" w:hAnsi="Times New Roman" w:eastAsia="Times New Roman"/>
          <w:sz w:val="18"/>
        </w:rPr>
        <w:t>k = 90: centre ______ °C; heat flux ______ W/m²</w:t>
      </w:r>
    </w:p>
    <w:p>
      <w:r>
        <w:br w:type="page"/>
      </w:r>
    </w:p>
    <w:p>
      <w:pPr>
        <w:pStyle w:val="Heading1"/>
        <w:keepNext/>
        <w:widowControl/>
        <w:spacing w:after="120" w:before="0" w:line="420" w:lineRule="exact"/>
      </w:pPr>
      <w:r>
        <w:rPr>
          <w:rFonts w:ascii="Arial" w:hAnsi="Arial" w:eastAsia="Arial"/>
          <w:sz w:val="32"/>
        </w:rPr>
        <w:t>Exercise 4 Transient heating of a plate</w:t>
      </w:r>
    </w:p>
    <w:p>
      <w:pPr>
        <w:pStyle w:val="Caption"/>
        <w:keepNext w:val="0"/>
        <w:widowControl/>
        <w:spacing w:after="120" w:before="0" w:line="230" w:lineRule="exact"/>
      </w:pPr>
      <w:r>
        <w:rPr>
          <w:rFonts w:ascii="Times New Roman" w:hAnsi="Times New Roman" w:eastAsia="Times New Roman"/>
          <w:sz w:val="18"/>
        </w:rPr>
        <w:t>Read a temperature history, compare transient and steady states, and test time-step sensitivity.</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s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plate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ρ = 7800 kg/m³; c = 500 J/(kg·K), all constant</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 and boundary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Initially 20 °C throughout; for t &gt; 0, left 100 °C and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Time integration</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To 600 s; backward Euler; initial time step Δt = 2 s</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simulate transient heating of a 2D metal plate: length 100 mm, height 40 mm and initial temperature 20 °C. Keep thermal conductivity 45 W/(m·K), density 7800 kg/m³ and specific heat capacity 500 J/(kg·K) constant. From the start of heating, hold the left boundary at 100 °C and the right at 20 °C. Insulate all other boundaries and use no internal heat source. Run to 600 s using backward Euler with a 2 s time step. Provide the centre-temperature curve and data table (°C). Save the temperature field every 10 s as a time series playable in ParaView.</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Plot centre temperature and record values at 60, 120, 300 and 600 s.</w:t>
      </w:r>
    </w:p>
    <w:p>
      <w:pPr>
        <w:keepNext w:val="0"/>
        <w:widowControl/>
        <w:spacing w:after="120" w:before="0" w:line="270" w:lineRule="exact"/>
      </w:pPr>
      <w:r>
        <w:rPr>
          <w:rFonts w:ascii="Times New Roman" w:hAnsi="Times New Roman" w:eastAsia="Times New Roman"/>
          <w:sz w:val="21"/>
        </w:rPr>
        <w:t>2. Repeat with a 1 s time step and the same mesh. Compare temperatures at shared sample times.</w:t>
      </w:r>
    </w:p>
    <w:p>
      <w:pPr>
        <w:keepNext w:val="0"/>
        <w:widowControl/>
        <w:spacing w:after="120" w:before="0" w:line="270" w:lineRule="exact"/>
      </w:pPr>
      <w:r>
        <w:rPr>
          <w:rFonts w:ascii="Times New Roman" w:hAnsi="Times New Roman" w:eastAsia="Times New Roman"/>
          <w:sz w:val="21"/>
        </w:rPr>
        <w:t>3. Compare with Exercise 3 and justify whether the plate is sufficiently close to steady state at 600 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Reduce the time step to 1 s, keep the mesh and all other conditions unchanged and run again. Overlay the two centre-temperature curves. Compare the maximum temperature difference at shared sample times and the difference at 600 s to assess whether the original time step is adequate.</w:t>
      </w:r>
    </w:p>
    <w:p>
      <w:pPr>
        <w:pStyle w:val="Caption"/>
        <w:keepNext w:val="0"/>
        <w:widowControl/>
        <w:spacing w:after="120" w:before="0" w:line="230" w:lineRule="exact"/>
      </w:pPr>
      <w:r>
        <w:rPr>
          <w:rFonts w:ascii="Times New Roman" w:hAnsi="Times New Roman" w:eastAsia="Times New Roman"/>
          <w:sz w:val="18"/>
        </w:rPr>
        <w:t>Submit both temperature histories, the four-time table, time-series files and your time-step assessment.</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60 s: ______ °C 120 s: ______ °C</w:t>
      </w:r>
    </w:p>
    <w:p>
      <w:pPr>
        <w:pStyle w:val="Caption"/>
        <w:keepNext w:val="0"/>
        <w:widowControl/>
        <w:spacing w:after="120" w:before="0" w:line="230" w:lineRule="exact"/>
      </w:pPr>
      <w:r>
        <w:rPr>
          <w:rFonts w:ascii="Times New Roman" w:hAnsi="Times New Roman" w:eastAsia="Times New Roman"/>
          <w:sz w:val="18"/>
        </w:rPr>
        <w:t>300 s: ______ °C 600 s: ______ °C</w:t>
      </w:r>
    </w:p>
    <w:p>
      <w:pPr>
        <w:pStyle w:val="Caption"/>
        <w:keepNext w:val="0"/>
        <w:widowControl/>
        <w:spacing w:after="120" w:before="0" w:line="230" w:lineRule="exact"/>
      </w:pPr>
      <w:r>
        <w:rPr>
          <w:rFonts w:ascii="Times New Roman" w:hAnsi="Times New Roman" w:eastAsia="Times New Roman"/>
          <w:sz w:val="18"/>
        </w:rPr>
        <w:t>Maximum difference between time steps: ______ °C</w:t>
      </w:r>
    </w:p>
    <w:p>
      <w:r>
        <w:br w:type="page"/>
      </w:r>
    </w:p>
    <w:p>
      <w:pPr>
        <w:pStyle w:val="Heading1"/>
        <w:keepNext/>
        <w:widowControl/>
        <w:spacing w:after="120" w:before="0" w:line="420" w:lineRule="exact"/>
      </w:pPr>
      <w:r>
        <w:rPr>
          <w:rFonts w:ascii="Arial" w:hAnsi="Arial" w:eastAsia="Arial"/>
          <w:sz w:val="32"/>
        </w:rPr>
        <w:t>Reference answers 1</w:t>
      </w:r>
    </w:p>
    <w:p>
      <w:pPr>
        <w:pStyle w:val="Caption"/>
        <w:keepNext w:val="0"/>
        <w:widowControl/>
        <w:spacing w:after="120" w:before="0" w:line="230" w:lineRule="exact"/>
      </w:pPr>
      <w:r>
        <w:rPr>
          <w:rFonts w:ascii="Times New Roman" w:hAnsi="Times New Roman" w:eastAsia="Times New Roman"/>
          <w:sz w:val="18"/>
        </w:rPr>
        <w:t>Complete your observations before checking. Use these values to verify magnitudes and trends; different meshes need not agree digit for digit.</w:t>
      </w:r>
    </w:p>
    <w:p>
      <w:pPr>
        <w:pStyle w:val="Heading2"/>
        <w:keepNext/>
        <w:widowControl/>
        <w:spacing w:after="120" w:before="100" w:line="320" w:lineRule="exact"/>
      </w:pPr>
      <w:r>
        <w:rPr>
          <w:rFonts w:ascii="Arial" w:hAnsi="Arial" w:eastAsia="Arial"/>
          <w:sz w:val="24"/>
        </w:rPr>
        <w:t>1 Cantilever deflection</w:t>
      </w:r>
    </w:p>
    <w:p>
      <w:pPr>
        <w:keepNext w:val="0"/>
        <w:widowControl/>
        <w:spacing w:after="120" w:before="0" w:line="280" w:lineRule="exact"/>
      </w:pPr>
      <w:r>
        <w:rPr>
          <w:rFonts w:ascii="Times New Roman" w:hAnsi="Times New Roman" w:eastAsia="Times New Roman"/>
          <w:sz w:val="21"/>
        </w:rPr>
        <w:t>For a rectangular section and an Euler–Bernoulli cantilever:</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Total force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Beam theory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FE or linear scaling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(FE)</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(linear scaling)</w:t>
            </w:r>
          </w:p>
        </w:tc>
      </w:tr>
    </w:tbl>
    <w:p>
      <w:pPr>
        <w:spacing w:after="60" w:line="240" w:lineRule="auto" w:before="120"/>
        <w:jc w:val="center"/>
      </w:pPr>
      <w:r>
        <w:drawing>
          <wp:inline xmlns:a="http://schemas.openxmlformats.org/drawingml/2006/main" xmlns:pic="http://schemas.openxmlformats.org/drawingml/2006/picture">
            <wp:extent cx="4572000" cy="1221643"/>
            <wp:docPr id="5" name="Picture 5" descr="beam-en"/>
            <wp:cNvGraphicFramePr>
              <a:graphicFrameLocks noChangeAspect="1"/>
            </wp:cNvGraphicFramePr>
            <a:graphic>
              <a:graphicData uri="http://schemas.openxmlformats.org/drawingml/2006/picture">
                <pic:pic>
                  <pic:nvPicPr>
                    <pic:cNvPr id="0" name="beam-en.png"/>
                    <pic:cNvPicPr/>
                  </pic:nvPicPr>
                  <pic:blipFill>
                    <a:blip r:embed="rId15"/>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Beam displacement; dashed outline: original shape; deformation ×15.</w:t>
      </w:r>
    </w:p>
    <w:p>
      <w:pPr>
        <w:pStyle w:val="Caption"/>
        <w:keepNext w:val="0"/>
        <w:widowControl/>
        <w:spacing w:after="120" w:before="0" w:line="230" w:lineRule="exact"/>
      </w:pPr>
      <w:r>
        <w:rPr>
          <w:rFonts w:ascii="Times New Roman" w:hAnsi="Times New Roman" w:eastAsia="Times New Roman"/>
          <w:sz w:val="18"/>
        </w:rPr>
        <w:t>Downward displacement is negative when y points upwards; the table reports its magnitude. The FE value is about 0.59% above beam theory. The 2D elasticity solution includes shear and end-restraint effects, whereas beam theory is approximate. Doubling the load gives a displacement ratio of 2 in linear elasticity.</w:t>
      </w:r>
    </w:p>
    <w:p>
      <w:pPr>
        <w:pStyle w:val="Heading2"/>
        <w:keepNext/>
        <w:widowControl/>
        <w:spacing w:after="120" w:before="100" w:line="320" w:lineRule="exact"/>
      </w:pPr>
      <w:r>
        <w:rPr>
          <w:rFonts w:ascii="Arial" w:hAnsi="Arial" w:eastAsia="Arial"/>
          <w:sz w:val="24"/>
        </w:rPr>
        <w:t>2 Thick cylinder under internal pressure</w:t>
      </w:r>
    </w:p>
    <w:p>
      <w:pPr>
        <w:keepNext w:val="0"/>
        <w:widowControl/>
        <w:spacing w:after="120" w:before="0" w:line="280" w:lineRule="exact"/>
      </w:pPr>
      <w:r>
        <w:rPr>
          <w:rFonts w:ascii="Times New Roman" w:hAnsi="Times New Roman" w:eastAsia="Times New Roman"/>
          <w:sz w:val="21"/>
        </w:rPr>
        <w:t>For zero axial strain and zero external pressure, Lamé’s solution gives:</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Outer radius</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displacement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and baseline FE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w:t>
            </w:r>
          </w:p>
        </w:tc>
      </w:tr>
    </w:tbl>
    <w:p>
      <w:pPr>
        <w:spacing w:after="60" w:line="240" w:lineRule="auto" w:before="120"/>
        <w:jc w:val="center"/>
      </w:pPr>
      <w:r>
        <w:drawing>
          <wp:inline xmlns:a="http://schemas.openxmlformats.org/drawingml/2006/main" xmlns:pic="http://schemas.openxmlformats.org/drawingml/2006/picture">
            <wp:extent cx="4572000" cy="1303687"/>
            <wp:docPr id="6" name="Picture 6" descr="cylinder-en"/>
            <wp:cNvGraphicFramePr>
              <a:graphicFrameLocks noChangeAspect="1"/>
            </wp:cNvGraphicFramePr>
            <a:graphic>
              <a:graphicData uri="http://schemas.openxmlformats.org/drawingml/2006/picture">
                <pic:pic>
                  <pic:nvPicPr>
                    <pic:cNvPr id="0" name="cylinder-en.png"/>
                    <pic:cNvPicPr/>
                  </pic:nvPicPr>
                  <pic:blipFill>
                    <a:blip r:embed="rId16"/>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Radial displacement through the wall and Lamé’s solution.</w:t>
      </w:r>
    </w:p>
    <w:p>
      <w:pPr>
        <w:pStyle w:val="Caption"/>
        <w:keepNext w:val="0"/>
        <w:widowControl/>
        <w:spacing w:after="120" w:before="0" w:line="230" w:lineRule="exact"/>
      </w:pPr>
      <w:r>
        <w:rPr>
          <w:rFonts w:ascii="Times New Roman" w:hAnsi="Times New Roman" w:eastAsia="Times New Roman"/>
          <w:sz w:val="18"/>
        </w:rPr>
        <w:t>Increasing the outer radius from 50 to 60 mm reduces inner-wall displacement by about 11.76%. The axial restraint is unchanged. Do not apply this displacement formula directly to a freely extending or end-capped cylinder.</w:t>
      </w:r>
    </w:p>
    <w:p>
      <w:r>
        <w:br w:type="page"/>
      </w:r>
    </w:p>
    <w:p>
      <w:pPr>
        <w:pStyle w:val="Heading1"/>
        <w:keepNext/>
        <w:widowControl/>
        <w:spacing w:after="120" w:before="0" w:line="420" w:lineRule="exact"/>
      </w:pPr>
      <w:r>
        <w:rPr>
          <w:rFonts w:ascii="Arial" w:hAnsi="Arial" w:eastAsia="Arial"/>
          <w:sz w:val="32"/>
        </w:rPr>
        <w:t>Reference answers 2</w:t>
      </w:r>
    </w:p>
    <w:p>
      <w:pPr>
        <w:pStyle w:val="Heading2"/>
        <w:keepNext/>
        <w:widowControl/>
        <w:spacing w:after="120" w:before="100" w:line="320" w:lineRule="exact"/>
      </w:pPr>
      <w:r>
        <w:rPr>
          <w:rFonts w:ascii="Arial" w:hAnsi="Arial" w:eastAsia="Arial"/>
          <w:sz w:val="24"/>
        </w:rPr>
        <w:t>3 Steady heat conduction in a plate</w:t>
      </w:r>
    </w:p>
    <w:p>
      <w:pPr>
        <w:keepNext w:val="0"/>
        <w:widowControl/>
        <w:spacing w:after="120" w:before="0" w:line="280" w:lineRule="exact"/>
      </w:pPr>
      <w:r>
        <w:rPr>
          <w:rFonts w:ascii="Times New Roman" w:hAnsi="Times New Roman" w:eastAsia="Times New Roman"/>
          <w:sz w:val="21"/>
        </w:rPr>
        <w:t>With uniform material, no internal source and insulated top and bottom boundaries, temperature depends only on x. Set L = 0.1 m, with x increasing to the right:</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Conductivity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Heat flux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7" name="Picture 7" descr="steady-en"/>
            <wp:cNvGraphicFramePr>
              <a:graphicFrameLocks noChangeAspect="1"/>
            </wp:cNvGraphicFramePr>
            <a:graphic>
              <a:graphicData uri="http://schemas.openxmlformats.org/drawingml/2006/picture">
                <pic:pic>
                  <pic:nvPicPr>
                    <pic:cNvPr id="0" name="steady-en.png"/>
                    <pic:cNvPicPr/>
                  </pic:nvPicPr>
                  <pic:blipFill>
                    <a:blip r:embed="rId17"/>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Temperature along the horizontal centreline.</w:t>
      </w:r>
    </w:p>
    <w:p>
      <w:pPr>
        <w:pStyle w:val="Caption"/>
        <w:keepNext w:val="0"/>
        <w:widowControl/>
        <w:spacing w:after="120" w:before="0" w:line="230" w:lineRule="exact"/>
      </w:pPr>
      <w:r>
        <w:rPr>
          <w:rFonts w:ascii="Times New Roman" w:hAnsi="Times New Roman" w:eastAsia="Times New Roman"/>
          <w:sz w:val="18"/>
        </w:rPr>
        <w:t>At fixed end temperatures, changing uniform conductivity does not change this temperature profile, but it changes heat flux. Positive flux points to the right.</w:t>
      </w:r>
    </w:p>
    <w:p>
      <w:pPr>
        <w:pStyle w:val="Heading2"/>
        <w:keepNext/>
        <w:widowControl/>
        <w:spacing w:after="120" w:before="100" w:line="320" w:lineRule="exact"/>
      </w:pPr>
      <w:r>
        <w:rPr>
          <w:rFonts w:ascii="Arial" w:hAnsi="Arial" w:eastAsia="Arial"/>
          <w:sz w:val="24"/>
        </w:rPr>
        <w:t>4 Transient heating of a plate</w:t>
      </w:r>
    </w:p>
    <w:p>
      <w:pPr>
        <w:keepNext w:val="0"/>
        <w:widowControl/>
        <w:spacing w:after="120" w:before="0" w:line="280" w:lineRule="exact"/>
      </w:pPr>
      <w:r>
        <w:rPr>
          <w:rFonts w:ascii="Times New Roman" w:hAnsi="Times New Roman" w:eastAsia="Times New Roman"/>
          <w:sz w:val="21"/>
        </w:rPr>
        <w:t>Thermal diffusivity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The analytical centre temperature for t &gt; 0 is:</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Time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Analytical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8" name="Picture 8" descr="transient-en"/>
            <wp:cNvGraphicFramePr>
              <a:graphicFrameLocks noChangeAspect="1"/>
            </wp:cNvGraphicFramePr>
            <a:graphic>
              <a:graphicData uri="http://schemas.openxmlformats.org/drawingml/2006/picture">
                <pic:pic>
                  <pic:nvPicPr>
                    <pic:cNvPr id="0" name="transient-en.png"/>
                    <pic:cNvPicPr/>
                  </pic:nvPicPr>
                  <pic:blipFill>
                    <a:blip r:embed="rId18"/>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Centre temperature history; dashed line: steady state at 60 °C.</w:t>
      </w:r>
    </w:p>
    <w:p>
      <w:pPr>
        <w:pStyle w:val="Caption"/>
        <w:keepNext w:val="0"/>
        <w:widowControl/>
        <w:spacing w:after="120" w:before="0" w:line="230" w:lineRule="exact"/>
      </w:pPr>
      <w:r>
        <w:rPr>
          <w:rFonts w:ascii="Times New Roman" w:hAnsi="Times New Roman" w:eastAsia="Times New Roman"/>
          <w:sz w:val="18"/>
        </w:rPr>
        <w:t>The maximum difference at shared sample times is 0.133 °C; at 600 s it is 0.0022 °C. Agreement at the endpoint alone is insufficient: check the whole history against the required accuracy.</w:t>
      </w:r>
    </w:p>
    <w:p>
      <w:pPr>
        <w:pStyle w:val="Caption"/>
        <w:keepNext w:val="0"/>
        <w:widowControl/>
        <w:spacing w:after="120" w:before="0" w:line="230" w:lineRule="exact"/>
      </w:pPr>
      <w:r>
        <w:rPr>
          <w:rFonts w:ascii="Times New Roman" w:hAnsi="Times New Roman" w:eastAsia="Times New Roman"/>
          <w:sz w:val="18"/>
        </w:rPr>
        <w:t>Reference runs: AgentFEM 0.4.0.dev0 / DOLFINx 0.11.0. Beam: 80 × 8 quadratic elements; cylinder: 40 × 4 quadratic elements; heat: 80 × 16 linear elements. Backward Euler for transient heat; values converted to the displayed units.</w:t>
      </w:r>
    </w:p>
    <w:p>
      <w:pPr>
        <w:pStyle w:val="Heading2"/>
        <w:keepNext/>
        <w:widowControl/>
        <w:spacing w:after="120" w:before="100" w:line="320" w:lineRule="exact"/>
      </w:pPr>
      <w:r>
        <w:rPr>
          <w:rFonts w:ascii="Arial" w:hAnsi="Arial" w:eastAsia="Arial"/>
          <w:sz w:val="24"/>
        </w:rPr>
        <w:t>References</w:t>
      </w:r>
    </w:p>
    <w:p>
      <w:pPr>
        <w:pStyle w:val="Caption"/>
        <w:keepNext w:val="0"/>
        <w:widowControl/>
        <w:spacing w:after="120" w:before="0" w:line="210" w:lineRule="exact"/>
      </w:pPr>
      <w:r>
        <w:rPr>
          <w:rFonts w:ascii="Times New Roman" w:hAnsi="Times New Roman" w:eastAsia="Times New Roman"/>
          <w:sz w:val="16"/>
        </w:rPr>
        <w:t xml:space="preserve">[1] Interactive web edition with copyable prompts and results. </w:t>
      </w:r>
      <w:hyperlink r:id="rId19">
        <w:r>
          <w:rPr>
            <w:color w:val="336B85"/>
          </w:rPr>
          <w:t>https://lab.haoming-luo.com/learn/en.html</w:t>
        </w:r>
      </w:hyperlink>
    </w:p>
    <w:p>
      <w:pPr>
        <w:pStyle w:val="Caption"/>
        <w:keepNext w:val="0"/>
        <w:widowControl/>
        <w:spacing w:after="120" w:before="0" w:line="210" w:lineRule="exact"/>
      </w:pPr>
      <w:r>
        <w:rPr>
          <w:rFonts w:ascii="Times New Roman" w:hAnsi="Times New Roman" w:eastAsia="Times New Roman"/>
          <w:sz w:val="16"/>
        </w:rPr>
        <w:t xml:space="preserve">[2] AgentFEM installation guide. </w:t>
      </w:r>
      <w:hyperlink r:id="rId20">
        <w:r>
          <w:rPr>
            <w:color w:val="336B85"/>
          </w:rPr>
          <w:t>https://github.com/haoming-luo/agentfem/blob/main/INSTALL.md</w:t>
        </w:r>
      </w:hyperlink>
    </w:p>
    <w:p>
      <w:pPr>
        <w:pStyle w:val="Caption"/>
        <w:keepNext w:val="0"/>
        <w:widowControl/>
        <w:spacing w:after="120" w:before="0" w:line="210" w:lineRule="exact"/>
      </w:pPr>
      <w:r>
        <w:rPr>
          <w:rFonts w:ascii="Times New Roman" w:hAnsi="Times New Roman" w:eastAsia="Times New Roman"/>
          <w:sz w:val="16"/>
        </w:rPr>
        <w:t xml:space="preserve">[3] Connecting an AI assistant to AgentFEM. </w:t>
      </w:r>
      <w:hyperlink r:id="rId21">
        <w:r>
          <w:rPr>
            <w:color w:val="336B85"/>
          </w:rPr>
          <w:t>https://haoming-luo.github.io/agentfem/agents/mcp/</w:t>
        </w:r>
      </w:hyperlink>
    </w:p>
    <w:p>
      <w:pPr>
        <w:pStyle w:val="Caption"/>
        <w:keepNext w:val="0"/>
        <w:widowControl/>
        <w:spacing w:after="120" w:before="0" w:line="230" w:lineRule="exact"/>
      </w:pPr>
      <w:r>
        <w:rPr>
          <w:rFonts w:ascii="Times New Roman" w:hAnsi="Times New Roman" w:eastAsia="Times New Roman"/>
          <w:sz w:val="18"/>
        </w:rPr>
        <w:t>Acknowledgments: We thank Professor Meng Wang of Beijing Institute of Technology for first proposing the use of AI-native finite-element simulation in the classroom, and Renzi Bai of Northwestern Polytechnical University for Windows installation validation and contributions to this handout.</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Add footer</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AgentFEM introductory exercises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lab.haoming-luo.com/learn/en.html" TargetMode="External"/><Relationship Id="rId20" Type="http://schemas.openxmlformats.org/officeDocument/2006/relationships/hyperlink" Target="https://github.com/haoming-luo/agentfem/blob/main/INSTALL.md" TargetMode="External"/><Relationship Id="rId21" Type="http://schemas.openxmlformats.org/officeDocument/2006/relationships/hyperlink" Target="https://haoming-luo.github.io/agentfem/agents/mc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Finite element analysis with AI</dc:title>
  <dc:subject>AgentFEM introductory exercises</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