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8 à 10.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Sixier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Tige en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Courbe de charge et valeur d’Euler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 rentrant</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Comparaison avec une plaque</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Utilisez des unités cohérentes et présentez les résultats dans les unités demandées.</w:t>
      </w:r>
    </w:p>
    <w:p>
      <w:pPr>
        <w:pStyle w:val="Caption"/>
        <w:keepNext w:val="0"/>
        <w:widowControl/>
        <w:spacing w:after="120" w:before="0" w:line="230" w:lineRule="exact"/>
      </w:pPr>
      <w:r>
        <w:rPr>
          <w:rFonts w:ascii="Times New Roman" w:hAnsi="Times New Roman" w:eastAsia="Times New Roman"/>
          <w:sz w:val="18"/>
        </w:rPr>
        <w:t>Configuration : voir le guide d’installation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Sixier.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Exercice 5 Réponse d’une tige en compression</w:t>
      </w:r>
    </w:p>
    <w:p>
      <w:pPr>
        <w:pStyle w:val="Caption"/>
        <w:keepNext w:val="0"/>
        <w:widowControl/>
        <w:spacing w:after="120" w:before="0" w:line="230" w:lineRule="exact"/>
      </w:pPr>
      <w:r>
        <w:rPr>
          <w:rFonts w:ascii="Times New Roman" w:hAnsi="Times New Roman" w:eastAsia="Times New Roman"/>
          <w:sz w:val="18"/>
        </w:rPr>
        <w:t>Quand la compression augmente, le déplacement latéral reste-t-il proportionnel à la charge ? Tracez la réponse et observez ce qui se passe près de la charge critique d’Euler.</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fr"/>
            <wp:cNvGraphicFramePr>
              <a:graphicFrameLocks noChangeAspect="1"/>
            </wp:cNvGraphicFramePr>
            <a:graphic>
              <a:graphicData uri="http://schemas.openxmlformats.org/drawingml/2006/picture">
                <pic:pic>
                  <pic:nvPicPr>
                    <pic:cNvPr id="0" name="column-setup-fr.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Nécessite AgentFEM avec non-linéarité géométrique et élasticité StVK en contraintes planes.</w:t>
      </w:r>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comprimez progressivement une tige de longueur 200 mm et de section 10×10 mm, avec E=210 GPa et un coefficient de Poisson de 0,3. Encastrez la gauche et appliquez à droite une compression uniforme suivant l’axe initial ; laissez les autres bords libres. Utilisez un matériau élastique linéaire avec non-linéarité géométrique. Ajoutez le premier mode de flambement comme défaut initial d’amplitude 0,1 mm. Augmentez la force totale de 0 à 10,7 kN. Tracez la force en fonction du déplacement latéral en bout et comparez à la charge critique d’Euler. Montrez quelques déformées, expliquez en deux ou trois phrases.</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Portez la courbure initiale de 0,1 à 0,2 mm, sans autre modification. Superposez les deux courbes charge–déplacement latéral et comparez les flèches à charge égale.</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Charge critique d’Euler : ________ kN Déplacement à 9 kN : ________ mm</w:t>
      </w:r>
    </w:p>
    <w:p>
      <w:pPr>
        <w:pStyle w:val="Caption"/>
        <w:keepNext w:val="0"/>
        <w:widowControl/>
        <w:spacing w:after="120" w:before="0" w:line="230" w:lineRule="exact"/>
      </w:pPr>
      <w:r>
        <w:rPr>
          <w:rFonts w:ascii="Times New Roman" w:hAnsi="Times New Roman" w:eastAsia="Times New Roman"/>
          <w:sz w:val="18"/>
        </w:rPr>
        <w:t>Comment la courbe évolue-t-elle près de la charge critique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Exercice 6 Traction d’un nid d’abeilles rentrant</w:t>
      </w:r>
    </w:p>
    <w:p>
      <w:pPr>
        <w:pStyle w:val="Caption"/>
        <w:keepNext w:val="0"/>
        <w:widowControl/>
        <w:spacing w:after="120" w:before="0" w:line="230" w:lineRule="exact"/>
      </w:pPr>
      <w:r>
        <w:rPr>
          <w:rFonts w:ascii="Times New Roman" w:hAnsi="Times New Roman" w:eastAsia="Times New Roman"/>
          <w:sz w:val="18"/>
        </w:rPr>
        <w:t>Une plaque pleine se rétrécit généralement en traction. Un nid d’abeilles rentrant du même matériau peut s’élargir. Téléchargez et décompressez les fichiers, puis transmettez le dossier à votre assistant IA.</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fr"/>
            <wp:cNvGraphicFramePr>
              <a:graphicFrameLocks noChangeAspect="1"/>
            </wp:cNvGraphicFramePr>
            <a:graphic>
              <a:graphicData uri="http://schemas.openxmlformats.org/drawingml/2006/picture">
                <pic:pic>
                  <pic:nvPicPr>
                    <pic:cNvPr id="0" name="honeycomb-setup-fr.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Téléchargez et décompressez le dossier ; transmettez-le à l’IA. Les coordonnées sont en mètres.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importez le fichier joint honeycomb.msh sans redessiner la géométrie. Les coordonnées sont en mètres ; largeur 51,9615 mm, hauteur 60 mm. Les étiquettes 11/12/13/14 désignent gauche/droite/bas/haut. Utilisez l’élasticité linéaire en petites déformations et contraintes planes 2D : E=1 GPa, coefficient de Poisson 0,3 ; négligez la pesanteur. Bloquez le déplacement horizontal à gauche et imposez à droite un allongement horizontal de 0,1 % de la largeur. Le mouvement vertical est libre, sauf au nœud le plus bas du bord gauche (nid d’abeilles : x=0, y=5 mm ; plaque : coin inférieur gauche). Calculez les déformations axiale et transversale et le coefficient de Poisson apparent à partir des déplacements moyens des quatre bords. Comparez à une plaque pleine de mêmes dimensions, matériau et appuis. Tracez les deux déformées côte à côte avec leurs contours initiaux ; amplifiez les déplacements 100 fois et indiquez ce facteur.</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À partir de ces résultats, créez un GIF en boucle montrant le nid d’abeilles et la plaque étirés ensemble, puis revenus à leur forme initiale. Gardez le cadrage et les limites des axes fixes, conservez les contours initiaux et indiquez l’amplification des déplacements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Nid d’abeilles : déformation axiale ________ transversale ________ coefficient ________</w:t>
      </w:r>
    </w:p>
    <w:p>
      <w:pPr>
        <w:pStyle w:val="Caption"/>
        <w:keepNext w:val="0"/>
        <w:widowControl/>
        <w:spacing w:after="120" w:before="0" w:line="230" w:lineRule="exact"/>
      </w:pPr>
      <w:r>
        <w:rPr>
          <w:rFonts w:ascii="Times New Roman" w:hAnsi="Times New Roman" w:eastAsia="Times New Roman"/>
          <w:sz w:val="18"/>
        </w:rPr>
        <w:t>Coefficient de la plaque : ________ Fichier GIF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fr"/>
            <wp:cNvGraphicFramePr>
              <a:graphicFrameLocks noChangeAspect="1"/>
            </wp:cNvGraphicFramePr>
            <a:graphic>
              <a:graphicData uri="http://schemas.openxmlformats.org/drawingml/2006/picture">
                <pic:pic>
                  <pic:nvPicPr>
                    <pic:cNvPr id="0" name="beam-fr.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fr"/>
            <wp:cNvGraphicFramePr>
              <a:graphicFrameLocks noChangeAspect="1"/>
            </wp:cNvGraphicFramePr>
            <a:graphic>
              <a:graphicData uri="http://schemas.openxmlformats.org/drawingml/2006/picture">
                <pic:pic>
                  <pic:nvPicPr>
                    <pic:cNvPr id="0" name="cylinder-fr.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fr"/>
            <wp:cNvGraphicFramePr>
              <a:graphicFrameLocks noChangeAspect="1"/>
            </wp:cNvGraphicFramePr>
            <a:graphic>
              <a:graphicData uri="http://schemas.openxmlformats.org/drawingml/2006/picture">
                <pic:pic>
                  <pic:nvPicPr>
                    <pic:cNvPr id="0" name="steady-fr.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fr"/>
            <wp:cNvGraphicFramePr>
              <a:graphicFrameLocks noChangeAspect="1"/>
            </wp:cNvGraphicFramePr>
            <a:graphic>
              <a:graphicData uri="http://schemas.openxmlformats.org/drawingml/2006/picture">
                <pic:pic>
                  <pic:nvPicPr>
                    <pic:cNvPr id="0" name="transient-fr.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r>
        <w:br w:type="page"/>
      </w:r>
    </w:p>
    <w:p>
      <w:pPr>
        <w:pStyle w:val="Heading1"/>
        <w:keepNext/>
        <w:widowControl/>
        <w:spacing w:after="120" w:before="0" w:line="420" w:lineRule="exact"/>
      </w:pPr>
      <w:r>
        <w:rPr>
          <w:rFonts w:ascii="Arial" w:hAnsi="Arial" w:eastAsia="Arial"/>
          <w:sz w:val="32"/>
        </w:rPr>
        <w:t>Corrigé 3</w:t>
      </w:r>
    </w:p>
    <w:p>
      <w:pPr>
        <w:pStyle w:val="Heading2"/>
        <w:keepNext/>
        <w:widowControl/>
        <w:spacing w:after="120" w:before="100" w:line="320" w:lineRule="exact"/>
      </w:pPr>
      <w:r>
        <w:rPr>
          <w:rFonts w:ascii="Arial" w:hAnsi="Arial" w:eastAsia="Arial"/>
          <w:sz w:val="24"/>
        </w:rPr>
        <w:t>5 Flambement</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latéral moyen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0.505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11.953</w:t>
            </w:r>
          </w:p>
        </w:tc>
      </w:tr>
    </w:tbl>
    <w:p>
      <w:pPr>
        <w:spacing w:after="60" w:line="240" w:lineRule="auto" w:before="160"/>
        <w:jc w:val="center"/>
      </w:pPr>
      <w:r>
        <w:drawing>
          <wp:inline xmlns:a="http://schemas.openxmlformats.org/drawingml/2006/main" xmlns:pic="http://schemas.openxmlformats.org/drawingml/2006/picture">
            <wp:extent cx="3302000" cy="1816100"/>
            <wp:docPr id="11" name="Picture 11" descr="column-fr"/>
            <wp:cNvGraphicFramePr>
              <a:graphicFrameLocks noChangeAspect="1"/>
            </wp:cNvGraphicFramePr>
            <a:graphic>
              <a:graphicData uri="http://schemas.openxmlformats.org/drawingml/2006/picture">
                <pic:pic>
                  <pic:nvPicPr>
                    <pic:cNvPr id="0" name="column-fr.png"/>
                    <pic:cNvPicPr/>
                  </pic:nvPicPr>
                  <pic:blipFill>
                    <a:blip r:embed="rId22"/>
                    <a:stretch>
                      <a:fillRect/>
                    </a:stretch>
                  </pic:blipFill>
                  <pic:spPr>
                    <a:xfrm>
                      <a:off x="0" y="0"/>
                      <a:ext cx="3302000" cy="18161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donne 10,795 kN. La flèche, mesurée depuis la forme initiale, croît rapidement près de cette charge. La réponse imparfaite n’est pas une bifurcation idéale ; la plasticité est exclue.</w:t>
      </w:r>
    </w:p>
    <w:p>
      <w:pPr>
        <w:pStyle w:val="Heading2"/>
        <w:keepNext/>
        <w:widowControl/>
        <w:spacing w:after="120" w:before="100" w:line="320" w:lineRule="exact"/>
      </w:pPr>
      <w:r>
        <w:rPr>
          <w:rFonts w:ascii="Arial" w:hAnsi="Arial" w:eastAsia="Arial"/>
          <w:sz w:val="24"/>
        </w:rPr>
        <w:t>6 Coefficient de Poisson négatif</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Éprouvette</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Déformation axiale</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Transversale</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Coefficient apparent</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Plaque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60"/>
        <w:jc w:val="center"/>
      </w:pPr>
      <w:r>
        <w:drawing>
          <wp:inline xmlns:a="http://schemas.openxmlformats.org/drawingml/2006/main" xmlns:pic="http://schemas.openxmlformats.org/drawingml/2006/picture">
            <wp:extent cx="2794000" cy="1615807"/>
            <wp:docPr id="12" name="Picture 12" descr="honeycomb-fr"/>
            <wp:cNvGraphicFramePr>
              <a:graphicFrameLocks noChangeAspect="1"/>
            </wp:cNvGraphicFramePr>
            <a:graphic>
              <a:graphicData uri="http://schemas.openxmlformats.org/drawingml/2006/picture">
                <pic:pic>
                  <pic:nvPicPr>
                    <pic:cNvPr id="0" name="honeycomb-fr.png"/>
                    <pic:cNvPicPr/>
                  </pic:nvPicPr>
                  <pic:blipFill>
                    <a:blip r:embed="rId23"/>
                    <a:stretch>
                      <a:fillRect/>
                    </a:stretch>
                  </pic:blipFill>
                  <pic:spPr>
                    <a:xfrm>
                      <a:off x="0" y="0"/>
                      <a:ext cx="2794000" cy="161580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et GIF : affichage ×100, allongement réel de 0,1 %. Le GIF interpole les résultats linéaires, sans dynamique. Le maillage affiné donne −1,3062, soit 0,28 % d’écart.</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24">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fr.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