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after="160" w:before="0" w:line="680" w:lineRule="exact"/>
      </w:pPr>
      <w:r>
        <w:rPr>
          <w:rFonts w:ascii="Heiti SC" w:hAnsi="Heiti SC" w:eastAsia="Heiti SC"/>
          <w:sz w:val="48"/>
        </w:rPr>
        <w:t>AI 辅助有限元分析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AgentFEM 基础实验讲义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姓名：________________ 日期：________________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一、实验目的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通过六个基本问题，学习描述有限元任务、检查建模条件，并用理论解或数值对比判断结果是否合理。无需预先编写程序，但应能识别几何、材料、约束、载荷及输出量。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二、运行准备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使用已接入本地 AgentFEM 的 AI 助手。先发送环境检查提示词：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请先检查能否调用 AgentFEM，告诉我软件版本和项目保存位置。若需安装或配置，先征求我的同意。现在只检查环境，不开始仿真。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确认可用后，发送以下约定；等 AI 回复，再选择一道题发送。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接下来我会发送题目。收到后，请新建 AgentFEM 项目，检查并运行，保留模型和结果。完成后只展示一张结果图、关键数值与单位，并用两三句话解释，不展开长篇分析。缺少必要条件或无法运行时请说明。现在只回复“准备好了，请发送题目”，不要开始计算或猜测题目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三、实验步骤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阅读题目，预判结果方向和量级；发送本题提示词，检查图、数值和单位。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完成参数对比或步长检查，填写实验记录，独立解释结果。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• 最后核对末尾参考解答；差异较大时先检查条件，再加密网格或减小步长。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四、练习安排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00"/>
        <w:gridCol w:w="4400"/>
        <w:gridCol w:w="4680"/>
      </w:tblGrid>
      <w:tr>
        <w:trPr>
          <w:tblHeader/>
        </w:trP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页码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练习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主要核对方法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悬臂梁的静力变形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梁理论；载荷比例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厚壁圆筒的内压响应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拉梅解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矩形板的稳态导热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线性温度分布；傅里叶定律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矩形板的瞬态升温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解析级数；时间步长比较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压杆的受压响应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载荷曲线；欧拉临界载荷</w:t>
            </w:r>
          </w:p>
        </w:tc>
      </w:tr>
      <w:tr>
        <w:tc>
          <w:tcPr>
            <w:tcW w:type="dxa" w:w="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</w:t>
            </w:r>
          </w:p>
        </w:tc>
        <w:tc>
          <w:tcPr>
            <w:tcW w:type="dxa" w:w="4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内凹蜂窝的拉伸响应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实心板对照；变形动画</w:t>
            </w:r>
          </w:p>
        </w:tc>
      </w:tr>
    </w:tbl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每题至少保留建模文件、关键数值表和一张结果图。使用一致的单位制，展示时按题目要求换算为 mm、μm 或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配置资料：</w:t>
      </w:r>
      <w:hyperlink r:id="rId11">
        <w:r>
          <w:rPr>
            <w:color w:val="336B85"/>
          </w:rPr>
          <w:t>AgentFEM 安装说明</w:t>
        </w:r>
      </w:hyperlink>
      <w:r>
        <w:rPr>
          <w:rFonts w:ascii="Songti SC" w:hAnsi="Songti SC" w:eastAsia="Songti SC"/>
          <w:sz w:val="17"/>
        </w:rPr>
        <w:t>；</w:t>
      </w:r>
      <w:hyperlink r:id="rId12">
        <w:r>
          <w:rPr>
            <w:color w:val="336B85"/>
          </w:rPr>
          <w:t>AI 助手连接说明</w:t>
        </w:r>
      </w:hyperlink>
      <w:r>
        <w:rPr>
          <w:rFonts w:ascii="Songti SC" w:hAnsi="Songti SC" w:eastAsia="Songti SC"/>
          <w:sz w:val="17"/>
        </w:rPr>
        <w:t>。Windows 使用 WSL2。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1 悬臂梁的静力变形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建立线弹性模型；区分真实位移与显示放大；检验载荷与位移的比例关系。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1" name="Picture 1" descr="实验 1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长度 L = 200 mm；高度 h = 20 mm；厚度 b = 10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约束与载荷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左端固定；右端均匀分布向下的总力 F = 200 N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二维平面应力、小变形；忽略重力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算一根钢悬臂梁：长 200 mm、高 20 mm、厚 10 mm，弹性模量 210 GPa、泊松比 0.3。左端固定，右端面均布向下的总力 200 N。采用二维平面应力、小变形线弹性，忽略重力。给我变形图和右端中点下沉量（mm），图上注明变形放大倍数。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运行基准模型，记录右端中点下沉量，并检查位移方向是否与载荷一致。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将总力改为 400 N，其余条件不变。计算两次下沉量之比。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使用悬臂梁理论估算端部挠度，与有限元结果比较；说明差异可能来自哪里。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把总力改成 400 N，其他不变，再算一次。比较两次端部下沉量及其比值，用梁理论解释结果。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提交：变形图一张；载荷与端部位移对照表；理论核对及简短结论。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200 N：________ mm 400 N：________ mm 比值：________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理论挠度：________ mm 相对差异：________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2 厚壁圆筒的内压响应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建立轴对称模型；读取径向位移；用拉梅解核对计算结果。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2" name="Picture 2" descr="实验 2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内半径 a = 25 mm；外半径 b = 50 mm；取轴向长度 100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E = 210 GPa；ν = 0.30；均匀各向同性线弹性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载荷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内压 p = 10 MPa；外表面压力为零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模型假设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轴对称、轴向平面应变；全域轴向位移 u_z = 0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算一个厚壁圆筒：内半径 25 mm、外半径 50 mm、长 100 mm，弹性模量 210 GPa、泊松比 0.3。内压 10 MPa，外壁径向自由，不加封头载荷。采用线弹性轴对称模型，全域轴向位移为零。给我内壁径向位移（μm）和轴向中部沿壁厚的位移曲线，用拉梅解核对。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运行基准模型，检查内压方向与径向位移方向。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将外半径改为 60 mm，内半径与内压保持不变，比较内壁径向位移。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计算两种外半径下的解析位移。解释为什么增加壁厚会改变内壁变形。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把外半径改成 60 mm，其他不变，再算一次。比较两次内壁径向位移，用拉梅解核对，说明加厚筒壁的影响。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提交：径向位移曲线及解析解对照图；两种壁厚的内壁位移表。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 50 mm：________ μm 外半径 60 mm：________ μm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内壁位移降低：________ %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3 矩形板的稳态导热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理解温度边界与绝热边界；区分温度分布和热流密度。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3" name="Picture 3" descr="实验 3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几何与材料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mm；均匀导热系数 k = 45 W/(m·K)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温度边界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左边 100 ℃；右边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其余边界绝热；无内部热源；二维稳态导热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做二维稳态导热：金属板长 100 mm、高 40 mm，均匀导热系数 45 W/(m·K)。左边保持 100 ℃，右边保持 20 ℃，其余边界绝热，没有内部热源。给我温度云图、中心温度（℃）、水平中线温度曲线和向右的热流密度（W/m²）。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记录中心温度，判断沿长度方向的温度曲线形状。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将导热系数改为 90 W/(m·K)，保持边界条件不变，比较温度和热流密度。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根据一维稳态导热方程写出温度分布，并用傅里叶定律计算热流密度。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把导热系数改成 90 W/(m·K)，其他不变，再算一次。比较温度分布和热流密度，用傅里叶定律解释结果。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提交：温度云图；两种导热系数的中心温度与热流密度表；解析核对。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45：中心温度 ________ ℃；热流密度 ________ W/m²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k = 90：中心温度 ________ ℃；热流密度 ________ W/m²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4 矩形板的瞬态升温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读取温度时间历程；比较瞬态与稳态；检验时间步长的影响。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7300" cy="1425372"/>
            <wp:docPr id="4" name="Picture 4" descr="实验 4 模型与边界条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142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问题条件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180"/>
      </w:tblGrid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几何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矩形板 100 mm × 40 mm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材料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k = 45 W/(m·K)；ρ = 7800 kg/m³；c = 500 J/(kg·K)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初始与边界条件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初温 20 ℃；从 0 秒之后左边保持 100 ℃、右边保持 20 ℃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其余条件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其余边界绝热；无内部热源；材料参数保持常数</w:t>
            </w:r>
          </w:p>
        </w:tc>
      </w:tr>
      <w:tr>
        <w:tc>
          <w:tcPr>
            <w:tcW w:type="dxa" w:w="1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时间离散</w:t>
            </w:r>
          </w:p>
        </w:tc>
        <w:tc>
          <w:tcPr>
            <w:tcW w:type="dxa" w:w="8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计算至 600 s；隐式 Euler；初始时间步长 Δt = 2 s</w:t>
            </w:r>
          </w:p>
        </w:tc>
      </w:tr>
    </w:tbl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请用 AgentFEM 算二维金属板升温：长 100 mm、高 40 mm，初温 20 ℃。导热系数 45 W/(m·K)、密度 7800 kg/m³、比热 500 J/(kg·K)，均保持常数。开始加热后左边保持 100 ℃、右边保持 20 ℃，其余边界绝热，无内部热源。用隐式 Euler、2 秒步长算到 600 秒。给我中心温度曲线及数据表（℃），每 10 秒保存一帧 ParaView 可播放的温度场。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实验任务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1. 绘制中心温度随时间的曲线，记录 60、120、300、600 s 的温度。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2. 将时间步长减为 1 s，网格与其他设置不变；比较共同采样时刻的温度差。</w:t>
      </w:r>
    </w:p>
    <w:p>
      <w:pPr>
        <w:keepNext w:val="0"/>
        <w:widowControl/>
        <w:spacing w:after="100" w:before="0" w:line="300" w:lineRule="exact"/>
      </w:pPr>
      <w:r>
        <w:rPr>
          <w:rFonts w:ascii="Songti SC" w:hAnsi="Songti SC" w:eastAsia="Songti SC"/>
          <w:sz w:val="21"/>
        </w:rPr>
        <w:t>3. 与练习 3 的稳态解比较，说明 600 s 时是否已足够接近稳态，并给出判断依据。</w:t>
      </w:r>
    </w:p>
    <w:p>
      <w:pPr>
        <w:pStyle w:val="Heading2"/>
        <w:keepNext/>
        <w:widowControl/>
        <w:spacing w:after="100" w:before="0" w:line="300" w:lineRule="exact"/>
      </w:pPr>
      <w:r>
        <w:rPr>
          <w:rFonts w:ascii="Heiti SC" w:hAnsi="Heiti SC" w:eastAsia="Heiti SC"/>
          <w:sz w:val="18"/>
        </w:rPr>
        <w:t>对比计算提示词</w:t>
      </w:r>
    </w:p>
    <w:p>
      <w:pPr>
        <w:keepNext w:val="0"/>
        <w:widowControl/>
        <w:spacing w:after="160" w:before="100" w:line="300" w:lineRule="exact"/>
      </w:pPr>
      <w:r>
        <w:rPr>
          <w:rFonts w:ascii="Songti SC" w:hAnsi="Songti SC" w:eastAsia="Songti SC"/>
          <w:sz w:val="21"/>
        </w:rPr>
        <w:t>将时间步长减到 1 秒，网格和其他条件不变，再算一次。叠加两条中心温度曲线，比较共同采样时刻的最大温差和 600 秒时的温差，判断原步长是否足够。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提交：两种时间步长的温度曲线；四个时刻的温度表；时间序列文件及步长检查结论。</w:t>
      </w:r>
    </w:p>
    <w:p>
      <w:pPr>
        <w:pStyle w:val="Heading2"/>
        <w:keepNext/>
        <w:widowControl/>
        <w:spacing w:after="100" w:before="100" w:line="32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60 s：________ ℃ 120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300 s：________ ℃ 600 s：________ ℃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两种步长最大温差：________ ℃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5 压杆的受压响应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慢慢加大压力，杆端的侧向位移会一直按比例增加吗？画出载荷与侧向位移的关系，看看接近欧拉临界载荷时发生了什么。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42000" cy="1525411"/>
            <wp:docPr id="5" name="Picture 5" descr="column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-set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15254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运行条件：支持几何非线性与平面应力 StVK 材料的新版 AgentFEM。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模拟细杆逐步受压：长 200 mm，截面 10×10 mm，E=210 GPa、泊松比 0.3。左端固定，右端受沿原轴线方向的均布压力，其余边界自由。采用线弹性材料，考虑几何非线性；加入幅值 0.1 mm 的一阶屈曲形状作为初始弯曲。将总压力从 0 逐步加到 10.7 kN，画出载荷与端部侧向位移的关系，与欧拉临界载荷比较。展示几个载荷下的变形图，用两三句话解释。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把初始弯曲幅值从 0.1 mm 改成 0.2 mm，其他条件不变。将两条载荷—侧向位移曲线画在同一张图上，比较相同载荷下的弯曲程度。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欧拉临界载荷：________ kN 9 kN 时侧移：________ mm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接近临界载荷时，曲线怎样变化？________________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实验 6 内凹蜂窝的拉伸响应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实心板被拉长时通常会变窄。换成内凹蜂窝，使用相同材料，它却可以同时变宽。先下载网格包，解压后把文件夹交给 AI 助手。</w:t>
      </w:r>
    </w:p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42000" cy="2155976"/>
            <wp:docPr id="6" name="Picture 6" descr="honeycomb-setup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-set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215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先下载并解压附件，将 honeycomb.msh 所在文件夹交给 AI。坐标单位为米。</w:t>
      </w:r>
    </w:p>
    <w:p>
      <w:pPr>
        <w:pStyle w:val="Caption"/>
        <w:keepNext w:val="0"/>
        <w:widowControl/>
        <w:spacing w:after="60" w:before="0" w:line="220" w:lineRule="exact"/>
      </w:pPr>
      <w:hyperlink r:id="rId19">
        <w:r>
          <w:rPr>
            <w:color w:val="336B85"/>
          </w:rPr>
          <w:t>https://lab.haoming-luo.com/learn/files/honeycomb.zip</w:t>
        </w:r>
      </w:hyperlink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建模提示词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请用 AgentFEM 导入附件 honeycomb.msh，不重新绘制几何。坐标单位为米，宽 51.9615 mm、高 60 mm；边界标签 11/12/13/14 分别为左/右/下/上。采用二维平面应力、小变形线弹性，E=1 GPa、泊松比 0.3，忽略重力。左侧水平位移为零，右侧水平拉伸宽度的 0.1%，竖向自由，仅固定左边界最下端节点的竖向位移（蜂窝坐标为 x=0、y=5 mm；实心板为左下角）。用四侧边界平均位移计算轴向、横向应变及表观泊松比。与相同尺寸、材料和约束的实心板并排画变形图，叠加原形轮廓，位移统一放大 100 倍并注明。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再问一句</w:t>
      </w:r>
    </w:p>
    <w:p>
      <w:pPr>
        <w:keepNext w:val="0"/>
        <w:widowControl/>
        <w:spacing w:after="160" w:before="100" w:line="340" w:lineRule="exact"/>
      </w:pPr>
      <w:r>
        <w:rPr>
          <w:rFonts w:ascii="Songti SC" w:hAnsi="Songti SC" w:eastAsia="Songti SC"/>
          <w:sz w:val="21"/>
        </w:rPr>
        <w:t>用这次结果生成蜂窝与实心板同步拉伸、回到原形的循环 GIF。固定视角和坐标范围，位移统一放大 100 倍并注明，保留原形轮廓。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实验记录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蜂窝：轴向应变 ________ 横向应变 ________ 表观泊松比 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实心板泊松比：________ GIF 文件：________________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提交：一张对比图、关键数值及两三句话解释。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参考解答（一）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建议完成实验记录后再核对。表中数值用于核查量级与趋势，不要求不同网格逐位一致。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1 悬臂梁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矩形截面惯性矩与 Euler–Bernoulli 梁的端部挠度为：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 = 6.667 × 10</w:t>
      </w:r>
      <w:r>
        <w:rPr>
          <w:rFonts w:ascii="Songti SC" w:hAnsi="Songti SC" w:eastAsia="Songti SC"/>
          <w:sz w:val="22"/>
          <w:vertAlign w:val="superscript"/>
        </w:rPr>
        <w:t>−9</w:t>
      </w:r>
      <w:r>
        <w:rPr>
          <w:rFonts w:ascii="Songti SC" w:hAnsi="Songti SC" w:eastAsia="Songti SC"/>
          <w:sz w:val="22"/>
        </w:rPr>
        <w:t xml:space="preserve"> m</w:t>
      </w:r>
      <w:r>
        <w:rPr>
          <w:rFonts w:ascii="Songti SC" w:hAnsi="Songti SC" w:eastAsia="Songti SC"/>
          <w:sz w:val="22"/>
          <w:vertAlign w:val="superscript"/>
        </w:rPr>
        <w:t>4</w:t>
      </w:r>
      <w:r>
        <w:rPr>
          <w:rFonts w:ascii="Songti SC" w:hAnsi="Songti SC" w:eastAsia="Songti SC"/>
          <w:sz w:val="22"/>
        </w:rPr>
        <w:t>； δ = FL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/(3EI)。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总力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梁理论 / mm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有限元或比例推算 / mm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0.381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0.383（有限元）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400 N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0.762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0.766（按线性比例推算）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255578"/>
            <wp:docPr id="7" name="Picture 7" descr="beam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25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1 基准梁的位移；虚线为原形，变形放大 15 倍。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端部向下位移在 y 向上为正时带负号，表中列下沉量的绝对值。基准有限元值比梁理论高约 0.59%；二维弹性解包含剪切及端部约束影响，梁理论属于近似。线弹性条件下，载荷翻倍时位移比例为 2。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2 厚壁圆筒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对本题轴向平面应变、外压为零的圆筒，拉梅解为：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A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)； B = pa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/(b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 xml:space="preserve"> − a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  <w:r>
        <w:rPr>
          <w:rFonts w:ascii="Songti SC" w:hAnsi="Songti SC" w:eastAsia="Songti SC"/>
          <w:sz w:val="22"/>
        </w:rPr>
        <w:br/>
      </w:r>
      <w:r>
        <w:rPr>
          <w:rFonts w:ascii="Songti SC" w:hAnsi="Songti SC" w:eastAsia="Songti SC"/>
          <w:sz w:val="22"/>
        </w:rPr>
        <w:t>u</w:t>
      </w:r>
      <w:r>
        <w:rPr>
          <w:rFonts w:ascii="Songti SC" w:hAnsi="Songti SC" w:eastAsia="Songti SC"/>
          <w:sz w:val="22"/>
          <w:vertAlign w:val="subscript"/>
        </w:rPr>
        <w:t>r</w:t>
      </w:r>
      <w:r>
        <w:rPr>
          <w:rFonts w:ascii="Songti SC" w:hAnsi="Songti SC" w:eastAsia="Songti SC"/>
          <w:sz w:val="22"/>
        </w:rPr>
        <w:t>(r) = [(1 + ν)/E] [(1 − 2ν)Ar + B/r]。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0"/>
        <w:gridCol w:w="3400"/>
        <w:gridCol w:w="4680"/>
      </w:tblGrid>
      <w:tr>
        <w:trPr>
          <w:tblHeader/>
        </w:trP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外半径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内壁径向位移 / μm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数值来源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2.270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解析解与基准有限元</w:t>
            </w:r>
          </w:p>
        </w:tc>
      </w:tr>
      <w:tr>
        <w:tc>
          <w:tcPr>
            <w:tcW w:type="dxa" w:w="1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 mm</w:t>
            </w:r>
          </w:p>
        </w:tc>
        <w:tc>
          <w:tcPr>
            <w:tcW w:type="dxa" w:w="3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2.003</w:t>
            </w:r>
          </w:p>
        </w:tc>
        <w:tc>
          <w:tcPr>
            <w:tcW w:type="dxa" w:w="4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99000" cy="1339900"/>
            <wp:docPr id="8" name="Picture 8" descr="cylinder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l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3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2 基准圆筒沿壁厚的径向位移与拉梅解。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外半径从 50 mm 增至 60 mm，内壁径向位移降低约 11.76%。这里的轴向约束保持不变；自由伸长或带封头的圆筒不应直接套用上述位移公式。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参考解答（二）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3 稳态导热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材料均匀、无内热源且上下绝热，温度只随 x 变化。令 L = 0.1 m，x 从左向右，则：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T(x) = 100 − 80x/L （℃）； q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 xml:space="preserve"> = −k dT/dx = 80k/L。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900"/>
        <w:gridCol w:w="2600"/>
        <w:gridCol w:w="3480"/>
      </w:tblGrid>
      <w:tr>
        <w:trPr>
          <w:tblHeader/>
        </w:trP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导热系数 / W/(m·K)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中心温度 / ℃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热流密度 / W/m²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45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36 000</w:t>
            </w:r>
          </w:p>
        </w:tc>
      </w:tr>
      <w:tr>
        <w:tc>
          <w:tcPr>
            <w:tcW w:type="dxa" w:w="39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90</w:t>
            </w:r>
          </w:p>
        </w:tc>
        <w:tc>
          <w:tcPr>
            <w:tcW w:type="dxa" w:w="26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34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72 000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9" name="Picture 9" descr="steady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ad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3 基准板沿水平中线的温度。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两端温度固定时，改变均匀导热系数不会改变本题的稳态温度分布，但会改变热流密度；正热流指向右侧。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4 瞬态升温</w:t>
      </w:r>
    </w:p>
    <w:p>
      <w:pPr>
        <w:keepNext w:val="0"/>
        <w:widowControl/>
        <w:spacing w:after="160" w:before="0" w:line="340" w:lineRule="exact"/>
      </w:pPr>
      <w:r>
        <w:rPr>
          <w:rFonts w:ascii="Songti SC" w:hAnsi="Songti SC" w:eastAsia="Songti SC"/>
          <w:sz w:val="21"/>
        </w:rPr>
        <w:t>热扩散率 α = k/(ρc) = 1.154 × 10</w:t>
      </w:r>
      <w:r>
        <w:rPr>
          <w:rFonts w:ascii="Songti SC" w:hAnsi="Songti SC" w:eastAsia="Songti SC"/>
          <w:sz w:val="21"/>
          <w:vertAlign w:val="superscript"/>
        </w:rPr>
        <w:t>−5</w:t>
      </w:r>
      <w:r>
        <w:rPr>
          <w:rFonts w:ascii="Songti SC" w:hAnsi="Songti SC" w:eastAsia="Songti SC"/>
          <w:sz w:val="21"/>
        </w:rPr>
        <w:t xml:space="preserve"> m²/s。中心点的解析级数（t &gt; 0）为：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T(L/2,t) = 60 − (160/π) Σ</w:t>
      </w:r>
      <w:r>
        <w:rPr>
          <w:rFonts w:ascii="Songti SC" w:hAnsi="Songti SC" w:eastAsia="Songti SC"/>
          <w:sz w:val="22"/>
          <w:vertAlign w:val="subscript"/>
        </w:rPr>
        <w:t>n=1</w:t>
      </w:r>
      <w:r>
        <w:rPr>
          <w:rFonts w:ascii="Songti SC" w:hAnsi="Songti SC" w:eastAsia="Songti SC"/>
          <w:sz w:val="22"/>
          <w:vertAlign w:val="superscript"/>
        </w:rPr>
        <w:t>∞</w:t>
      </w:r>
      <w:r>
        <w:rPr>
          <w:rFonts w:ascii="Songti SC" w:hAnsi="Songti SC" w:eastAsia="Songti SC"/>
          <w:sz w:val="22"/>
        </w:rPr>
        <w:t xml:space="preserve"> [sin(nπ/2)/n] exp(−n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αt/L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00"/>
        <w:gridCol w:w="2820"/>
        <w:gridCol w:w="2820"/>
        <w:gridCol w:w="2840"/>
      </w:tblGrid>
      <w:tr>
        <w:trPr>
          <w:tblHeader/>
        </w:trP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时间 / s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2 s / ℃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Δt = 1 s / ℃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解析解 / ℃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34.147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34.231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34.319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120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46.814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46.914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47.014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300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58.263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58.296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58.328</w:t>
            </w:r>
          </w:p>
        </w:tc>
      </w:tr>
      <w:tr>
        <w:tc>
          <w:tcPr>
            <w:tcW w:type="dxa" w:w="15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600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59.941</w:t>
            </w:r>
          </w:p>
        </w:tc>
        <w:tc>
          <w:tcPr>
            <w:tcW w:type="dxa" w:w="282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59.943</w:t>
            </w:r>
          </w:p>
        </w:tc>
        <w:tc>
          <w:tcPr>
            <w:tcW w:type="dxa" w:w="284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59.945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832911"/>
            <wp:docPr id="10" name="Picture 10" descr="transient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i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83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 4 中心温度时间历程；虚线为稳态温度 60 ℃。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共同采样时刻的两步长最大温差为 0.133 ℃，600 s 时温差为 0.0022 ℃。终点温度接近不能代替全过程检查；是否足够准确，应结合所需温度精度判断。</w:t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参考计算：AgentFEM 0.4.0.dev0 / DOLFINx 0.11.0。梁：80 × 8 二次单元；圆筒：40 × 4 二次单元；导热：80 × 16 一次单元。瞬态采用隐式 Euler；显示值按指定单位换算。</w:t>
      </w:r>
    </w:p>
    <w:p>
      <w:r>
        <w:br w:type="page"/>
      </w:r>
    </w:p>
    <w:p>
      <w:pPr>
        <w:pStyle w:val="Heading1"/>
        <w:keepNext/>
        <w:widowControl/>
        <w:spacing w:after="160" w:before="0" w:line="540" w:lineRule="exact"/>
      </w:pPr>
      <w:r>
        <w:rPr>
          <w:rFonts w:ascii="Heiti SC" w:hAnsi="Heiti SC" w:eastAsia="Heiti SC"/>
          <w:sz w:val="36"/>
        </w:rPr>
        <w:t>参考解答 三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5 压杆失稳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I = bh</w:t>
      </w:r>
      <w:r>
        <w:rPr>
          <w:rFonts w:ascii="Songti SC" w:hAnsi="Songti SC" w:eastAsia="Songti SC"/>
          <w:sz w:val="22"/>
          <w:vertAlign w:val="superscript"/>
        </w:rPr>
        <w:t>3</w:t>
      </w:r>
      <w:r>
        <w:rPr>
          <w:rFonts w:ascii="Songti SC" w:hAnsi="Songti SC" w:eastAsia="Songti SC"/>
          <w:sz w:val="22"/>
        </w:rPr>
        <w:t>/12; P</w:t>
      </w:r>
      <w:r>
        <w:rPr>
          <w:rFonts w:ascii="Songti SC" w:hAnsi="Songti SC" w:eastAsia="Songti SC"/>
          <w:sz w:val="22"/>
          <w:vertAlign w:val="subscript"/>
        </w:rPr>
        <w:t>cr</w:t>
      </w:r>
      <w:r>
        <w:rPr>
          <w:rFonts w:ascii="Songti SC" w:hAnsi="Songti SC" w:eastAsia="Songti SC"/>
          <w:sz w:val="22"/>
        </w:rPr>
        <w:t xml:space="preserve"> = π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EI/(4L</w:t>
      </w:r>
      <w:r>
        <w:rPr>
          <w:rFonts w:ascii="Songti SC" w:hAnsi="Songti SC" w:eastAsia="Songti SC"/>
          <w:sz w:val="22"/>
          <w:vertAlign w:val="superscript"/>
        </w:rPr>
        <w:t>2</w:t>
      </w:r>
      <w:r>
        <w:rPr>
          <w:rFonts w:ascii="Songti SC" w:hAnsi="Songti SC" w:eastAsia="Songti SC"/>
          <w:sz w:val="22"/>
        </w:rPr>
        <w:t>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00"/>
        <w:gridCol w:w="6180"/>
      </w:tblGrid>
      <w:tr>
        <w:trPr>
          <w:tblHeader/>
        </w:trP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总压力 / kN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右端平均侧移 / mm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6.0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0.125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9.0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0.505</w:t>
            </w:r>
          </w:p>
        </w:tc>
      </w:tr>
      <w:tr>
        <w:tc>
          <w:tcPr>
            <w:tcW w:type="dxa" w:w="38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10.7</w:t>
            </w:r>
          </w:p>
        </w:tc>
        <w:tc>
          <w:tcPr>
            <w:tcW w:type="dxa" w:w="61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11.953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556000" cy="1955800"/>
            <wp:docPr id="11" name="Picture 11" descr="column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um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195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欧拉值为 10.795 kN。侧移从初始弯曲形状量起，在临界值附近迅速增长。含缺陷杆的平滑响应不是理想直杆的分岔点；本例不考虑屈服。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6 负泊松比</w:t>
      </w:r>
    </w:p>
    <w:p>
      <w:pPr>
        <w:keepNext w:val="0"/>
        <w:widowControl/>
        <w:spacing w:after="160" w:before="0" w:line="380" w:lineRule="exact"/>
      </w:pPr>
      <w:r>
        <w:rPr>
          <w:rFonts w:ascii="Songti SC" w:hAnsi="Songti SC" w:eastAsia="Songti SC"/>
          <w:sz w:val="22"/>
        </w:rPr>
        <w:t>ν</w:t>
      </w:r>
      <w:r>
        <w:rPr>
          <w:rFonts w:ascii="Songti SC" w:hAnsi="Songti SC" w:eastAsia="Songti SC"/>
          <w:sz w:val="22"/>
          <w:vertAlign w:val="subscript"/>
        </w:rPr>
        <w:t>app</w:t>
      </w:r>
      <w:r>
        <w:rPr>
          <w:rFonts w:ascii="Songti SC" w:hAnsi="Songti SC" w:eastAsia="Songti SC"/>
          <w:sz w:val="22"/>
        </w:rPr>
        <w:t xml:space="preserve"> = −ε</w:t>
      </w:r>
      <w:r>
        <w:rPr>
          <w:rFonts w:ascii="Songti SC" w:hAnsi="Songti SC" w:eastAsia="Songti SC"/>
          <w:sz w:val="22"/>
          <w:vertAlign w:val="subscript"/>
        </w:rPr>
        <w:t>y</w:t>
      </w:r>
      <w:r>
        <w:rPr>
          <w:rFonts w:ascii="Songti SC" w:hAnsi="Songti SC" w:eastAsia="Songti SC"/>
          <w:sz w:val="22"/>
        </w:rPr>
        <w:t>/ε</w:t>
      </w:r>
      <w:r>
        <w:rPr>
          <w:rFonts w:ascii="Songti SC" w:hAnsi="Songti SC" w:eastAsia="Songti SC"/>
          <w:sz w:val="22"/>
          <w:vertAlign w:val="subscript"/>
        </w:rPr>
        <w:t>x</w:t>
      </w:r>
      <w:r>
        <w:rPr>
          <w:rFonts w:ascii="Songti SC" w:hAnsi="Songti SC" w:eastAsia="Songti SC"/>
          <w:sz w:val="22"/>
        </w:rPr>
        <w:t>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00"/>
        <w:gridCol w:w="2400"/>
        <w:gridCol w:w="2700"/>
        <w:gridCol w:w="2680"/>
      </w:tblGrid>
      <w:tr>
        <w:trPr>
          <w:tblHeader/>
        </w:trP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试样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轴向应变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横向应变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  <w:shd w:fill="EEEEEE"/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表观泊松比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蜂窝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0.001303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-1.3026</w:t>
            </w:r>
          </w:p>
        </w:tc>
      </w:tr>
      <w:tr>
        <w:tc>
          <w:tcPr>
            <w:tcW w:type="dxa" w:w="22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实心板</w:t>
            </w:r>
          </w:p>
        </w:tc>
        <w:tc>
          <w:tcPr>
            <w:tcW w:type="dxa" w:w="24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0.001000</w:t>
            </w:r>
          </w:p>
        </w:tc>
        <w:tc>
          <w:tcPr>
            <w:tcW w:type="dxa" w:w="270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-0.000300</w:t>
            </w:r>
          </w:p>
        </w:tc>
        <w:tc>
          <w:tcPr>
            <w:tcW w:type="dxa" w:w="2680"/>
            <w:vAlign w:val="center"/>
            <w:tcMar>
              <w:top w:w="45" w:type="dxa"/>
              <w:bottom w:w="45" w:type="dxa"/>
              <w:left w:w="90" w:type="dxa"/>
              <w:right w:w="90" w:type="dxa"/>
            </w:tcMar>
          </w:tcPr>
          <w:p>
            <w:pPr>
              <w:pStyle w:val="Caption"/>
              <w:keepNext w:val="0"/>
              <w:widowControl/>
              <w:spacing w:after="60" w:before="0" w:line="240" w:lineRule="exact"/>
            </w:pPr>
            <w:r>
              <w:rPr>
                <w:rFonts w:ascii="Songti SC" w:hAnsi="Songti SC" w:eastAsia="Songti SC"/>
                <w:sz w:val="18"/>
              </w:rPr>
              <w:t>0.3000</w:t>
            </w:r>
          </w:p>
        </w:tc>
      </w:tr>
    </w:tbl>
    <w:p>
      <w:pPr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921000" cy="1689253"/>
            <wp:docPr id="12" name="Picture 12" descr="honeycomb 参考结果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neycom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21000" cy="1689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图与 GIF 显示放大 100 倍，实际拉伸仍为 0.1%。GIF 插值展示线性结果，不是动力学仿真。加密网格给出 −1.3062，相差约 0.28%。</w:t>
      </w:r>
    </w:p>
    <w:p>
      <w:pPr>
        <w:pStyle w:val="Heading2"/>
        <w:keepNext/>
        <w:widowControl/>
        <w:spacing w:after="160" w:before="100" w:line="380" w:lineRule="exact"/>
      </w:pPr>
      <w:r>
        <w:rPr>
          <w:rFonts w:ascii="Heiti SC" w:hAnsi="Heiti SC" w:eastAsia="Heiti SC"/>
          <w:sz w:val="24"/>
        </w:rPr>
        <w:t>参考资料</w:t>
      </w:r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[1] 本讲义网页互动版：可复制提示词、查看结果图与操作说明。 </w:t>
      </w:r>
      <w:hyperlink r:id="rId26">
        <w:r>
          <w:rPr>
            <w:color w:val="336B85"/>
          </w:rPr>
          <w:t>https://lab.haoming-luo.com/learn/</w:t>
        </w:r>
      </w:hyperlink>
    </w:p>
    <w:p>
      <w:pPr>
        <w:pStyle w:val="Caption"/>
        <w:keepNext w:val="0"/>
        <w:widowControl/>
        <w:spacing w:after="60" w:before="0" w:line="220" w:lineRule="exact"/>
      </w:pPr>
      <w:r>
        <w:rPr>
          <w:rFonts w:ascii="Songti SC" w:hAnsi="Songti SC" w:eastAsia="Songti SC"/>
          <w:sz w:val="16"/>
        </w:rPr>
        <w:t xml:space="preserve">[2] AgentFEM 安装说明。 </w:t>
      </w:r>
      <w:hyperlink r:id="rId11">
        <w:r>
          <w:rPr>
            <w:color w:val="336B85"/>
          </w:rPr>
          <w:t>https://github.com/haoming-luo/agentfem/blob/main/INSTALL.md</w:t>
        </w:r>
      </w:hyperlink>
    </w:p>
    <w:p>
      <w:pPr>
        <w:pStyle w:val="Caption"/>
        <w:keepNext w:val="0"/>
        <w:widowControl/>
        <w:spacing w:after="100" w:before="0" w:line="260" w:lineRule="exact"/>
      </w:pPr>
      <w:r>
        <w:rPr>
          <w:rFonts w:ascii="Songti SC" w:hAnsi="Songti SC" w:eastAsia="Songti SC"/>
          <w:sz w:val="17"/>
        </w:rPr>
        <w:t>致谢：感谢北京理工大学王猛教授最早提出将 AI 原生有限元仿真引入课堂的建议，感谢西北工业大学白任梓老师首次完成 AgentFEM 的 Windows 安装验证，并参与教学讲义编制。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0" w:right="960" w:bottom="900" w:left="96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tabs>
        <w:tab w:pos="9400" w:val="left"/>
      </w:tabs>
    </w:pPr>
    <w:r>
      <w:t>添加页脚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AgentFEM  /  基础实验讲义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 w:before="0"/>
    </w:pPr>
    <w:rPr>
      <w:rFonts w:ascii="Songti SC" w:hAnsi="Songti SC" w:eastAsia="Song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00" w:line="300" w:lineRule="exact"/>
      <w:outlineLvl w:val="0"/>
    </w:pPr>
    <w:rPr>
      <w:rFonts w:ascii="Heiti SC" w:hAnsi="Heiti SC" w:eastAsia="Heiti SC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00" w:line="300" w:lineRule="exact"/>
      <w:outlineLvl w:val="1"/>
    </w:pPr>
    <w:rPr>
      <w:rFonts w:ascii="Heiti SC" w:hAnsi="Heiti SC" w:eastAsia="Heiti SC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 w:before="0"/>
      <w:contextualSpacing/>
    </w:pPr>
    <w:rPr>
      <w:rFonts w:ascii="Heiti SC" w:hAnsi="Heiti SC" w:eastAsia="Heiti SC"/>
      <w:b w:val="0"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exact" w:after="100" w:before="0"/>
    </w:pPr>
    <w:rPr>
      <w:rFonts w:ascii="Songti SC" w:hAnsi="Songti SC" w:eastAsia="Songti SC"/>
      <w:b w:val="0"/>
      <w:bCs/>
      <w:i w:val="0"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aoming-luo/agentfem/blob/main/INSTALL.md" TargetMode="External"/><Relationship Id="rId12" Type="http://schemas.openxmlformats.org/officeDocument/2006/relationships/hyperlink" Target="https://haoming-luo.github.io/agentfem/agents/mcp/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hyperlink" Target="https://lab.haoming-luo.com/learn/files/honeycomb.zip" TargetMode="External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hyperlink" Target="https://lab.haoming-luo.com/le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辅助有限元分析</dc:title>
  <dc:subject>AgentFEM 基础实验讲义</dc:subject>
  <dc:creator>Haoming Luo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