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À sa réception, crée un nouveau projet AgentFEM, vérifie-le et lance le calcul. Conserve le modèle et les résultats. Présente uniquement une figure, les valeurs principales avec leurs unités et une explication en deux ou trois phrases, sans longue analyse. Signale toute donnée indispensable manquante ou impossibilité de calcul. Pour le moment, réponds seulement : « Prêt. Envoie-moi l’exercice. » Ne lance aucun calcul et ne devine pas l’exercice.</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6 et 7.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Fourier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Calculez en unités SI, puis convertissez l’affichage en mm, μm ou °C selon la consigne.</w:t>
      </w:r>
    </w:p>
    <w:p>
      <w:pPr>
        <w:pStyle w:val="Caption"/>
        <w:keepNext w:val="0"/>
        <w:widowControl/>
        <w:spacing w:after="120" w:before="0" w:line="230" w:lineRule="exact"/>
      </w:pPr>
      <w:r>
        <w:rPr>
          <w:rFonts w:ascii="Times New Roman" w:hAnsi="Times New Roman" w:eastAsia="Times New Roman"/>
          <w:sz w:val="18"/>
        </w:rPr>
        <w:t>Configuration : voir les guides d’installation et de connexion de l’IA en références. Sous Windows, utilisez WSL2.</w:t>
      </w:r>
    </w:p>
    <w:p>
      <w:pPr>
        <w:pStyle w:val="Caption"/>
        <w:keepNext w:val="0"/>
        <w:widowControl/>
        <w:spacing w:after="120" w:before="0" w:line="230" w:lineRule="exact"/>
      </w:pPr>
      <w:r>
        <w:rPr>
          <w:rFonts w:ascii="Times New Roman" w:hAnsi="Times New Roman" w:eastAsia="Times New Roman"/>
          <w:sz w:val="18"/>
        </w:rPr>
        <w:t>Remerciements : Renzi Bai, de Northwestern Polytechnical University, a réalisé la première installation d’AgentFEM sous Windows et contribué à la préparation de ce support pédagogique.</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Fourier.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fr"/>
            <wp:cNvGraphicFramePr>
              <a:graphicFrameLocks noChangeAspect="1"/>
            </wp:cNvGraphicFramePr>
            <a:graphic>
              <a:graphicData uri="http://schemas.openxmlformats.org/drawingml/2006/picture">
                <pic:pic>
                  <pic:nvPicPr>
                    <pic:cNvPr id="0" name="beam-fr.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fr"/>
            <wp:cNvGraphicFramePr>
              <a:graphicFrameLocks noChangeAspect="1"/>
            </wp:cNvGraphicFramePr>
            <a:graphic>
              <a:graphicData uri="http://schemas.openxmlformats.org/drawingml/2006/picture">
                <pic:pic>
                  <pic:nvPicPr>
                    <pic:cNvPr id="0" name="cylinder-fr.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810000" cy="1086406"/>
            <wp:docPr id="7" name="Picture 7" descr="steady-fr"/>
            <wp:cNvGraphicFramePr>
              <a:graphicFrameLocks noChangeAspect="1"/>
            </wp:cNvGraphicFramePr>
            <a:graphic>
              <a:graphicData uri="http://schemas.openxmlformats.org/drawingml/2006/picture">
                <pic:pic>
                  <pic:nvPicPr>
                    <pic:cNvPr id="0" name="steady-fr.png"/>
                    <pic:cNvPicPr/>
                  </pic:nvPicPr>
                  <pic:blipFill>
                    <a:blip r:embed="rId17"/>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810000" cy="1086406"/>
            <wp:docPr id="8" name="Picture 8" descr="transient-fr"/>
            <wp:cNvGraphicFramePr>
              <a:graphicFrameLocks noChangeAspect="1"/>
            </wp:cNvGraphicFramePr>
            <a:graphic>
              <a:graphicData uri="http://schemas.openxmlformats.org/drawingml/2006/picture">
                <pic:pic>
                  <pic:nvPicPr>
                    <pic:cNvPr id="0" name="transient-fr.png"/>
                    <pic:cNvPicPr/>
                  </pic:nvPicPr>
                  <pic:blipFill>
                    <a:blip r:embed="rId18"/>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19">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Connexion d’un assistant IA à AgentFEM. </w:t>
      </w:r>
      <w:hyperlink r:id="rId21">
        <w:r>
          <w:rPr>
            <w:color w:val="336B85"/>
          </w:rPr>
          <w:t>https://haoming-luo.github.io/agentfem/agents/mcp/</w:t>
        </w:r>
      </w:hyperlink>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fr.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