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widowControl/>
        <w:spacing w:after="160" w:before="0" w:line="680" w:lineRule="exact"/>
      </w:pPr>
      <w:r>
        <w:rPr>
          <w:rFonts w:ascii="Heiti SC" w:hAnsi="Heiti SC" w:eastAsia="Heiti SC"/>
          <w:sz w:val="48"/>
        </w:rPr>
        <w:t>AI 辅助有限元分析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AgentFEM 基础实验讲义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姓名：________________ 日期：________________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一、实验目的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通过四个基本问题，学习描述有限元任务、检查建模条件，并用理论解或数值对比判断结果是否合理。无需预先编写程序，但应能识别几何、材料、约束、载荷及输出量。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二、运行准备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使用已接入本地 AgentFEM 的 AI 助手。先发送环境检查提示词：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请先检查能否调用 AgentFEM，告诉我软件版本和项目保存位置。若需安装或配置，先征求我的同意。现在只检查环境，不开始仿真。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确认可用后，发送以下约定；等 AI 回复，再选择一道题发送。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接下来我会发送题目。收到后，请新建 AgentFEM 项目，检查并运行，保留模型和结果。完成后只展示一张结果图、关键数值与单位，并用两三句话解释，不展开长篇分析。缺少必要条件或无法运行时请说明。现在只回复“准备好了，请发送题目”，不要开始计算或猜测题目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三、实验步骤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• 阅读题目，预判结果方向和量级；发送本题提示词，检查图、数值和单位。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• 完成参数对比或步长检查，填写实验记录，独立解释结果。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• 最后核对第 6—7 页参考解答；差异较大时先检查条件，再加密网格或减小步长。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四、练习安排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00"/>
        <w:gridCol w:w="4400"/>
        <w:gridCol w:w="4680"/>
      </w:tblGrid>
      <w:tr>
        <w:trPr>
          <w:tblHeader/>
        </w:trPr>
        <w:tc>
          <w:tcPr>
            <w:tcW w:type="dxa" w:w="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页码</w:t>
            </w:r>
          </w:p>
        </w:tc>
        <w:tc>
          <w:tcPr>
            <w:tcW w:type="dxa" w:w="4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练习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主要核对方法</w:t>
            </w:r>
          </w:p>
        </w:tc>
      </w:tr>
      <w:tr>
        <w:tc>
          <w:tcPr>
            <w:tcW w:type="dxa" w:w="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2</w:t>
            </w:r>
          </w:p>
        </w:tc>
        <w:tc>
          <w:tcPr>
            <w:tcW w:type="dxa" w:w="4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悬臂梁的静力变形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梁理论；载荷比例</w:t>
            </w:r>
          </w:p>
        </w:tc>
      </w:tr>
      <w:tr>
        <w:tc>
          <w:tcPr>
            <w:tcW w:type="dxa" w:w="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3</w:t>
            </w:r>
          </w:p>
        </w:tc>
        <w:tc>
          <w:tcPr>
            <w:tcW w:type="dxa" w:w="4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厚壁圆筒的内压响应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拉梅解</w:t>
            </w:r>
          </w:p>
        </w:tc>
      </w:tr>
      <w:tr>
        <w:tc>
          <w:tcPr>
            <w:tcW w:type="dxa" w:w="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4</w:t>
            </w:r>
          </w:p>
        </w:tc>
        <w:tc>
          <w:tcPr>
            <w:tcW w:type="dxa" w:w="4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矩形板的稳态导热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线性温度分布；傅里叶定律</w:t>
            </w:r>
          </w:p>
        </w:tc>
      </w:tr>
      <w:tr>
        <w:tc>
          <w:tcPr>
            <w:tcW w:type="dxa" w:w="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</w:t>
            </w:r>
          </w:p>
        </w:tc>
        <w:tc>
          <w:tcPr>
            <w:tcW w:type="dxa" w:w="4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矩形板的瞬态升温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解析级数；时间步长比较</w:t>
            </w:r>
          </w:p>
        </w:tc>
      </w:tr>
    </w:tbl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每题至少保留建模文件、关键数值表和一张结果图。计算统一采用 SI 单位，展示时按题目要求换算为 mm、μm 或 ℃。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配置资料：</w:t>
      </w:r>
      <w:hyperlink r:id="rId11">
        <w:r>
          <w:rPr>
            <w:color w:val="336B85"/>
          </w:rPr>
          <w:t>AgentFEM 安装说明</w:t>
        </w:r>
      </w:hyperlink>
      <w:r>
        <w:rPr>
          <w:rFonts w:ascii="Songti SC" w:hAnsi="Songti SC" w:eastAsia="Songti SC"/>
          <w:sz w:val="17"/>
        </w:rPr>
        <w:t>；</w:t>
      </w:r>
      <w:hyperlink r:id="rId12">
        <w:r>
          <w:rPr>
            <w:color w:val="336B85"/>
          </w:rPr>
          <w:t>AI 助手连接说明</w:t>
        </w:r>
      </w:hyperlink>
      <w:r>
        <w:rPr>
          <w:rFonts w:ascii="Songti SC" w:hAnsi="Songti SC" w:eastAsia="Songti SC"/>
          <w:sz w:val="17"/>
        </w:rPr>
        <w:t>。Windows 使用 WSL2。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致谢：感谢西北工业大学白任梓老师首次完成 AgentFEM 的 Windows 安装，并为本教学讲义的编制提供支持。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实验 1 悬臂梁的静力变形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建立线弹性模型；区分真实位移与显示放大；检验载荷与位移的比例关系。</w:t>
      </w:r>
    </w:p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7300" cy="1425372"/>
            <wp:docPr id="1" name="Picture 1" descr="实验 1 模型与边界条件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37300" cy="142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问题条件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8180"/>
      </w:tblGrid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几何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长度 L = 200 mm；高度 h = 20 mm；厚度 b = 10 mm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材料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E = 210 GPa；ν = 0.30；均匀各向同性线弹性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约束与载荷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左端固定；右端均匀分布向下的总力 F = 200 N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模型假设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二维平面应力、小变形；忽略重力</w:t>
            </w:r>
          </w:p>
        </w:tc>
      </w:tr>
    </w:tbl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建模提示词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请用 AgentFEM 算一根钢悬臂梁：长 200 mm、高 20 mm、厚 10 mm，弹性模量 210 GPa、泊松比 0.3。左端固定，右端面均布向下的总力 200 N。采用二维平面应力、小变形线弹性，忽略重力。给我变形图和右端中点下沉量（mm），图上注明变形放大倍数。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实验任务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1. 运行基准模型，记录右端中点下沉量，并检查位移方向是否与载荷一致。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2. 将总力改为 400 N，其余条件不变。计算两次下沉量之比。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3. 使用悬臂梁理论估算端部挠度，与有限元结果比较；说明差异可能来自哪里。</w:t>
      </w:r>
    </w:p>
    <w:p>
      <w:pPr>
        <w:pStyle w:val="Heading2"/>
        <w:keepNext/>
        <w:widowControl/>
        <w:spacing w:after="100" w:before="0" w:line="300" w:lineRule="exact"/>
      </w:pPr>
      <w:r>
        <w:rPr>
          <w:rFonts w:ascii="Heiti SC" w:hAnsi="Heiti SC" w:eastAsia="Heiti SC"/>
          <w:sz w:val="18"/>
        </w:rPr>
        <w:t>对比计算提示词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把总力改成 400 N，其他不变，再算一次。比较两次端部下沉量及其比值，用梁理论解释结果。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提交：变形图一张；载荷与端部位移对照表；理论核对及简短结论。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实验记录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200 N：________ mm 400 N：________ mm 比值：________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理论挠度：________ mm 相对差异：________ %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实验 2 厚壁圆筒的内压响应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建立轴对称模型；读取径向位移；用拉梅解核对计算结果。</w:t>
      </w:r>
    </w:p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7300" cy="1425372"/>
            <wp:docPr id="2" name="Picture 2" descr="实验 2 模型与边界条件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37300" cy="142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问题条件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8180"/>
      </w:tblGrid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几何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内半径 a = 25 mm；外半径 b = 50 mm；取轴向长度 100 mm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材料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E = 210 GPa；ν = 0.30；均匀各向同性线弹性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载荷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内压 p = 10 MPa；外表面压力为零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模型假设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轴对称、轴向平面应变；全域轴向位移 u_z = 0</w:t>
            </w:r>
          </w:p>
        </w:tc>
      </w:tr>
    </w:tbl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建模提示词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请用 AgentFEM 算一个厚壁圆筒：内半径 25 mm、外半径 50 mm、长 100 mm，弹性模量 210 GPa、泊松比 0.3。内压 10 MPa，外壁径向自由，不加封头载荷。采用线弹性轴对称模型，全域轴向位移为零。给我内壁径向位移（μm）和轴向中部沿壁厚的位移曲线，用拉梅解核对。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实验任务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1. 运行基准模型，检查内压方向与径向位移方向。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2. 将外半径改为 60 mm，内半径与内压保持不变，比较内壁径向位移。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3. 计算两种外半径下的解析位移。解释为什么增加壁厚会改变内壁变形。</w:t>
      </w:r>
    </w:p>
    <w:p>
      <w:pPr>
        <w:pStyle w:val="Heading2"/>
        <w:keepNext/>
        <w:widowControl/>
        <w:spacing w:after="100" w:before="0" w:line="300" w:lineRule="exact"/>
      </w:pPr>
      <w:r>
        <w:rPr>
          <w:rFonts w:ascii="Heiti SC" w:hAnsi="Heiti SC" w:eastAsia="Heiti SC"/>
          <w:sz w:val="18"/>
        </w:rPr>
        <w:t>对比计算提示词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把外半径改成 60 mm，其他不变，再算一次。比较两次内壁径向位移，用拉梅解核对，说明加厚筒壁的影响。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提交：径向位移曲线及解析解对照图；两种壁厚的内壁位移表。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实验记录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外半径 50 mm：________ μm 外半径 60 mm：________ μm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内壁位移降低：________ %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实验 3 矩形板的稳态导热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理解温度边界与绝热边界；区分温度分布和热流密度。</w:t>
      </w:r>
    </w:p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7300" cy="1425372"/>
            <wp:docPr id="3" name="Picture 3" descr="实验 3 模型与边界条件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37300" cy="142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问题条件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8180"/>
      </w:tblGrid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几何与材料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矩形板 100 mm × 40 mm；均匀导热系数 k = 45 W/(m·K)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温度边界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左边 100 ℃；右边 20 ℃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其余条件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其余边界绝热；无内部热源；二维稳态导热</w:t>
            </w:r>
          </w:p>
        </w:tc>
      </w:tr>
    </w:tbl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建模提示词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请用 AgentFEM 做二维稳态导热：金属板长 100 mm、高 40 mm，均匀导热系数 45 W/(m·K)。左边保持 100 ℃，右边保持 20 ℃，其余边界绝热，没有内部热源。给我温度云图、中心温度（℃）、水平中线温度曲线和向右的热流密度（W/m²）。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实验任务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1. 记录中心温度，判断沿长度方向的温度曲线形状。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2. 将导热系数改为 90 W/(m·K)，保持边界条件不变，比较温度和热流密度。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3. 根据一维稳态导热方程写出温度分布，并用傅里叶定律计算热流密度。</w:t>
      </w:r>
    </w:p>
    <w:p>
      <w:pPr>
        <w:pStyle w:val="Heading2"/>
        <w:keepNext/>
        <w:widowControl/>
        <w:spacing w:after="100" w:before="0" w:line="300" w:lineRule="exact"/>
      </w:pPr>
      <w:r>
        <w:rPr>
          <w:rFonts w:ascii="Heiti SC" w:hAnsi="Heiti SC" w:eastAsia="Heiti SC"/>
          <w:sz w:val="18"/>
        </w:rPr>
        <w:t>对比计算提示词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把导热系数改成 90 W/(m·K)，其他不变，再算一次。比较温度分布和热流密度，用傅里叶定律解释结果。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提交：温度云图；两种导热系数的中心温度与热流密度表；解析核对。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实验记录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k = 45：中心温度 ________ ℃；热流密度 ________ W/m²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k = 90：中心温度 ________ ℃；热流密度 ________ W/m²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实验 4 矩形板的瞬态升温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读取温度时间历程；比较瞬态与稳态；检验时间步长的影响。</w:t>
      </w:r>
    </w:p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7300" cy="1425372"/>
            <wp:docPr id="4" name="Picture 4" descr="实验 4 模型与边界条件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37300" cy="142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问题条件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8180"/>
      </w:tblGrid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几何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矩形板 100 mm × 40 mm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材料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k = 45 W/(m·K)；ρ = 7800 kg/m³；c = 500 J/(kg·K)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初始与边界条件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初温 20 ℃；从 0 秒之后左边保持 100 ℃、右边保持 20 ℃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其余条件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其余边界绝热；无内部热源；材料参数保持常数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时间离散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计算至 600 s；隐式 Euler；初始时间步长 Δt = 2 s</w:t>
            </w:r>
          </w:p>
        </w:tc>
      </w:tr>
    </w:tbl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建模提示词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请用 AgentFEM 算二维金属板升温：长 100 mm、高 40 mm，初温 20 ℃。导热系数 45 W/(m·K)、密度 7800 kg/m³、比热 500 J/(kg·K)，均保持常数。开始加热后左边保持 100 ℃、右边保持 20 ℃，其余边界绝热，无内部热源。用隐式 Euler、2 秒步长算到 600 秒。给我中心温度曲线及数据表（℃），每 10 秒保存一帧 ParaView 可播放的温度场。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实验任务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1. 绘制中心温度随时间的曲线，记录 60、120、300、600 s 的温度。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2. 将时间步长减为 1 s，网格与其他设置不变；比较共同采样时刻的温度差。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3. 与练习 3 的稳态解比较，说明 600 s 时是否已足够接近稳态，并给出判断依据。</w:t>
      </w:r>
    </w:p>
    <w:p>
      <w:pPr>
        <w:pStyle w:val="Heading2"/>
        <w:keepNext/>
        <w:widowControl/>
        <w:spacing w:after="100" w:before="0" w:line="300" w:lineRule="exact"/>
      </w:pPr>
      <w:r>
        <w:rPr>
          <w:rFonts w:ascii="Heiti SC" w:hAnsi="Heiti SC" w:eastAsia="Heiti SC"/>
          <w:sz w:val="18"/>
        </w:rPr>
        <w:t>对比计算提示词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将时间步长减到 1 秒，网格和其他条件不变，再算一次。叠加两条中心温度曲线，比较共同采样时刻的最大温差和 600 秒时的温差，判断原步长是否足够。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提交：两种时间步长的温度曲线；四个时刻的温度表；时间序列文件及步长检查结论。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实验记录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60 s：________ ℃ 120 s：________ ℃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300 s：________ ℃ 600 s：________ ℃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两种步长最大温差：________ ℃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参考解答（一）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建议完成实验记录后再核对。表中数值用于核查量级与趋势，不要求不同网格逐位一致。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1 悬臂梁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矩形截面惯性矩与 Euler–Bernoulli 梁的端部挠度为：</w:t>
      </w:r>
    </w:p>
    <w:p>
      <w:pPr>
        <w:keepNext w:val="0"/>
        <w:widowControl/>
        <w:spacing w:after="160" w:before="0" w:line="380" w:lineRule="exact"/>
      </w:pPr>
      <w:r>
        <w:rPr>
          <w:rFonts w:ascii="Songti SC" w:hAnsi="Songti SC" w:eastAsia="Songti SC"/>
          <w:sz w:val="22"/>
        </w:rPr>
        <w:t>I = bh</w:t>
      </w:r>
      <w:r>
        <w:rPr>
          <w:rFonts w:ascii="Songti SC" w:hAnsi="Songti SC" w:eastAsia="Songti SC"/>
          <w:sz w:val="22"/>
          <w:vertAlign w:val="superscript"/>
        </w:rPr>
        <w:t>3</w:t>
      </w:r>
      <w:r>
        <w:rPr>
          <w:rFonts w:ascii="Songti SC" w:hAnsi="Songti SC" w:eastAsia="Songti SC"/>
          <w:sz w:val="22"/>
        </w:rPr>
        <w:t>/12 = 6.667 × 10</w:t>
      </w:r>
      <w:r>
        <w:rPr>
          <w:rFonts w:ascii="Songti SC" w:hAnsi="Songti SC" w:eastAsia="Songti SC"/>
          <w:sz w:val="22"/>
          <w:vertAlign w:val="superscript"/>
        </w:rPr>
        <w:t>−9</w:t>
      </w:r>
      <w:r>
        <w:rPr>
          <w:rFonts w:ascii="Songti SC" w:hAnsi="Songti SC" w:eastAsia="Songti SC"/>
          <w:sz w:val="22"/>
        </w:rPr>
        <w:t xml:space="preserve"> m</w:t>
      </w:r>
      <w:r>
        <w:rPr>
          <w:rFonts w:ascii="Songti SC" w:hAnsi="Songti SC" w:eastAsia="Songti SC"/>
          <w:sz w:val="22"/>
          <w:vertAlign w:val="superscript"/>
        </w:rPr>
        <w:t>4</w:t>
      </w:r>
      <w:r>
        <w:rPr>
          <w:rFonts w:ascii="Songti SC" w:hAnsi="Songti SC" w:eastAsia="Songti SC"/>
          <w:sz w:val="22"/>
        </w:rPr>
        <w:t>； δ = FL</w:t>
      </w:r>
      <w:r>
        <w:rPr>
          <w:rFonts w:ascii="Songti SC" w:hAnsi="Songti SC" w:eastAsia="Songti SC"/>
          <w:sz w:val="22"/>
          <w:vertAlign w:val="superscript"/>
        </w:rPr>
        <w:t>3</w:t>
      </w:r>
      <w:r>
        <w:rPr>
          <w:rFonts w:ascii="Songti SC" w:hAnsi="Songti SC" w:eastAsia="Songti SC"/>
          <w:sz w:val="22"/>
        </w:rPr>
        <w:t>/(3EI)。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00"/>
        <w:gridCol w:w="3400"/>
        <w:gridCol w:w="4680"/>
      </w:tblGrid>
      <w:tr>
        <w:trPr>
          <w:tblHeader/>
        </w:trPr>
        <w:tc>
          <w:tcPr>
            <w:tcW w:type="dxa" w:w="1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总力</w:t>
            </w:r>
          </w:p>
        </w:tc>
        <w:tc>
          <w:tcPr>
            <w:tcW w:type="dxa" w:w="3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梁理论 / mm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有限元或比例推算 / mm</w:t>
            </w:r>
          </w:p>
        </w:tc>
      </w:tr>
      <w:tr>
        <w:tc>
          <w:tcPr>
            <w:tcW w:type="dxa" w:w="1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200 N</w:t>
            </w:r>
          </w:p>
        </w:tc>
        <w:tc>
          <w:tcPr>
            <w:tcW w:type="dxa" w:w="3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0.381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0.383（有限元）</w:t>
            </w:r>
          </w:p>
        </w:tc>
      </w:tr>
      <w:tr>
        <w:tc>
          <w:tcPr>
            <w:tcW w:type="dxa" w:w="1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400 N</w:t>
            </w:r>
          </w:p>
        </w:tc>
        <w:tc>
          <w:tcPr>
            <w:tcW w:type="dxa" w:w="3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0.762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0.766（按线性比例推算）</w:t>
            </w:r>
          </w:p>
        </w:tc>
      </w:tr>
    </w:tbl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99000" cy="1255578"/>
            <wp:docPr id="5" name="Picture 5" descr="beam 参考结果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a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99000" cy="1255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图 1 基准梁的位移；虚线为原形，变形放大 15 倍。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端部向下位移在 y 向上为正时带负号，表中列下沉量的绝对值。基准有限元值比梁理论高约 0.59%；二维弹性解包含剪切及端部约束影响，梁理论属于近似。线弹性条件下，载荷翻倍时位移比例为 2。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2 厚壁圆筒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对本题轴向平面应变、外压为零的圆筒，拉梅解为：</w:t>
      </w:r>
    </w:p>
    <w:p>
      <w:pPr>
        <w:keepNext w:val="0"/>
        <w:widowControl/>
        <w:spacing w:after="160" w:before="0" w:line="380" w:lineRule="exact"/>
      </w:pPr>
      <w:r>
        <w:rPr>
          <w:rFonts w:ascii="Songti SC" w:hAnsi="Songti SC" w:eastAsia="Songti SC"/>
          <w:sz w:val="22"/>
        </w:rPr>
        <w:t>A = pa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/(b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 xml:space="preserve"> − a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)； B = pa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b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/(b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 xml:space="preserve"> − a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)。</w:t>
      </w:r>
      <w:r>
        <w:rPr>
          <w:rFonts w:ascii="Songti SC" w:hAnsi="Songti SC" w:eastAsia="Songti SC"/>
          <w:sz w:val="22"/>
        </w:rPr>
        <w:br/>
      </w:r>
      <w:r>
        <w:rPr>
          <w:rFonts w:ascii="Songti SC" w:hAnsi="Songti SC" w:eastAsia="Songti SC"/>
          <w:sz w:val="22"/>
        </w:rPr>
        <w:t>u</w:t>
      </w:r>
      <w:r>
        <w:rPr>
          <w:rFonts w:ascii="Songti SC" w:hAnsi="Songti SC" w:eastAsia="Songti SC"/>
          <w:sz w:val="22"/>
          <w:vertAlign w:val="subscript"/>
        </w:rPr>
        <w:t>r</w:t>
      </w:r>
      <w:r>
        <w:rPr>
          <w:rFonts w:ascii="Songti SC" w:hAnsi="Songti SC" w:eastAsia="Songti SC"/>
          <w:sz w:val="22"/>
        </w:rPr>
        <w:t>(r) = [(1 + ν)/E] [(1 − 2ν)Ar + B/r]。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00"/>
        <w:gridCol w:w="3400"/>
        <w:gridCol w:w="4680"/>
      </w:tblGrid>
      <w:tr>
        <w:trPr>
          <w:tblHeader/>
        </w:trPr>
        <w:tc>
          <w:tcPr>
            <w:tcW w:type="dxa" w:w="1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外半径</w:t>
            </w:r>
          </w:p>
        </w:tc>
        <w:tc>
          <w:tcPr>
            <w:tcW w:type="dxa" w:w="3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内壁径向位移 / μm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数值来源</w:t>
            </w:r>
          </w:p>
        </w:tc>
      </w:tr>
      <w:tr>
        <w:tc>
          <w:tcPr>
            <w:tcW w:type="dxa" w:w="1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50 mm</w:t>
            </w:r>
          </w:p>
        </w:tc>
        <w:tc>
          <w:tcPr>
            <w:tcW w:type="dxa" w:w="3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2.270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解析解与基准有限元</w:t>
            </w:r>
          </w:p>
        </w:tc>
      </w:tr>
      <w:tr>
        <w:tc>
          <w:tcPr>
            <w:tcW w:type="dxa" w:w="1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60 mm</w:t>
            </w:r>
          </w:p>
        </w:tc>
        <w:tc>
          <w:tcPr>
            <w:tcW w:type="dxa" w:w="3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2.003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解析解</w:t>
            </w:r>
          </w:p>
        </w:tc>
      </w:tr>
    </w:tbl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99000" cy="1339900"/>
            <wp:docPr id="6" name="Picture 6" descr="cylinder 参考结果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lind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99000" cy="1339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图 2 基准圆筒沿壁厚的径向位移与拉梅解。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外半径从 50 mm 增至 60 mm，内壁径向位移降低约 11.76%。这里的轴向约束保持不变；自由伸长或带封头的圆筒不应直接套用上述位移公式。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参考解答（二）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3 稳态导热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材料均匀、无内热源且上下绝热，温度只随 x 变化。令 L = 0.1 m，x 从左向右，则：</w:t>
      </w:r>
    </w:p>
    <w:p>
      <w:pPr>
        <w:keepNext w:val="0"/>
        <w:widowControl/>
        <w:spacing w:after="160" w:before="0" w:line="380" w:lineRule="exact"/>
      </w:pPr>
      <w:r>
        <w:rPr>
          <w:rFonts w:ascii="Songti SC" w:hAnsi="Songti SC" w:eastAsia="Songti SC"/>
          <w:sz w:val="22"/>
        </w:rPr>
        <w:t>T(x) = 100 − 80x/L （℃）； q</w:t>
      </w:r>
      <w:r>
        <w:rPr>
          <w:rFonts w:ascii="Songti SC" w:hAnsi="Songti SC" w:eastAsia="Songti SC"/>
          <w:sz w:val="22"/>
          <w:vertAlign w:val="subscript"/>
        </w:rPr>
        <w:t>x</w:t>
      </w:r>
      <w:r>
        <w:rPr>
          <w:rFonts w:ascii="Songti SC" w:hAnsi="Songti SC" w:eastAsia="Songti SC"/>
          <w:sz w:val="22"/>
        </w:rPr>
        <w:t xml:space="preserve"> = −k dT/dx = 80k/L。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900"/>
        <w:gridCol w:w="2600"/>
        <w:gridCol w:w="3480"/>
      </w:tblGrid>
      <w:tr>
        <w:trPr>
          <w:tblHeader/>
        </w:trPr>
        <w:tc>
          <w:tcPr>
            <w:tcW w:type="dxa" w:w="3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导热系数 / W/(m·K)</w:t>
            </w:r>
          </w:p>
        </w:tc>
        <w:tc>
          <w:tcPr>
            <w:tcW w:type="dxa" w:w="26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中心温度 / ℃</w:t>
            </w:r>
          </w:p>
        </w:tc>
        <w:tc>
          <w:tcPr>
            <w:tcW w:type="dxa" w:w="34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热流密度 / W/m²</w:t>
            </w:r>
          </w:p>
        </w:tc>
      </w:tr>
      <w:tr>
        <w:tc>
          <w:tcPr>
            <w:tcW w:type="dxa" w:w="3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45</w:t>
            </w:r>
          </w:p>
        </w:tc>
        <w:tc>
          <w:tcPr>
            <w:tcW w:type="dxa" w:w="26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60</w:t>
            </w:r>
          </w:p>
        </w:tc>
        <w:tc>
          <w:tcPr>
            <w:tcW w:type="dxa" w:w="34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36 000</w:t>
            </w:r>
          </w:p>
        </w:tc>
      </w:tr>
      <w:tr>
        <w:tc>
          <w:tcPr>
            <w:tcW w:type="dxa" w:w="3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90</w:t>
            </w:r>
          </w:p>
        </w:tc>
        <w:tc>
          <w:tcPr>
            <w:tcW w:type="dxa" w:w="26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60</w:t>
            </w:r>
          </w:p>
        </w:tc>
        <w:tc>
          <w:tcPr>
            <w:tcW w:type="dxa" w:w="34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72 000</w:t>
            </w:r>
          </w:p>
        </w:tc>
      </w:tr>
    </w:tbl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810000" cy="1086406"/>
            <wp:docPr id="7" name="Picture 7" descr="steady 参考结果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ad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108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图 3 基准板沿水平中线的温度。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两端温度固定时，改变均匀导热系数不会改变本题的稳态温度分布，但会改变热流密度；正热流指向右侧。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4 瞬态升温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热扩散率 α = k/(ρc) = 1.154 × 10</w:t>
      </w:r>
      <w:r>
        <w:rPr>
          <w:rFonts w:ascii="Songti SC" w:hAnsi="Songti SC" w:eastAsia="Songti SC"/>
          <w:sz w:val="21"/>
          <w:vertAlign w:val="superscript"/>
        </w:rPr>
        <w:t>−5</w:t>
      </w:r>
      <w:r>
        <w:rPr>
          <w:rFonts w:ascii="Songti SC" w:hAnsi="Songti SC" w:eastAsia="Songti SC"/>
          <w:sz w:val="21"/>
        </w:rPr>
        <w:t xml:space="preserve"> m²/s。中心点的解析级数（t &gt; 0）为：</w:t>
      </w:r>
    </w:p>
    <w:p>
      <w:pPr>
        <w:keepNext w:val="0"/>
        <w:widowControl/>
        <w:spacing w:after="160" w:before="0" w:line="380" w:lineRule="exact"/>
      </w:pPr>
      <w:r>
        <w:rPr>
          <w:rFonts w:ascii="Songti SC" w:hAnsi="Songti SC" w:eastAsia="Songti SC"/>
          <w:sz w:val="22"/>
        </w:rPr>
        <w:t>T(L/2,t) = 60 − (160/π) Σ</w:t>
      </w:r>
      <w:r>
        <w:rPr>
          <w:rFonts w:ascii="Songti SC" w:hAnsi="Songti SC" w:eastAsia="Songti SC"/>
          <w:sz w:val="22"/>
          <w:vertAlign w:val="subscript"/>
        </w:rPr>
        <w:t>n=1</w:t>
      </w:r>
      <w:r>
        <w:rPr>
          <w:rFonts w:ascii="Songti SC" w:hAnsi="Songti SC" w:eastAsia="Songti SC"/>
          <w:sz w:val="22"/>
          <w:vertAlign w:val="superscript"/>
        </w:rPr>
        <w:t>∞</w:t>
      </w:r>
      <w:r>
        <w:rPr>
          <w:rFonts w:ascii="Songti SC" w:hAnsi="Songti SC" w:eastAsia="Songti SC"/>
          <w:sz w:val="22"/>
        </w:rPr>
        <w:t xml:space="preserve"> [sin(nπ/2)/n] exp(−n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π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αt/L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)。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00"/>
        <w:gridCol w:w="2820"/>
        <w:gridCol w:w="2820"/>
        <w:gridCol w:w="2840"/>
      </w:tblGrid>
      <w:tr>
        <w:trPr>
          <w:tblHeader/>
        </w:trPr>
        <w:tc>
          <w:tcPr>
            <w:tcW w:type="dxa" w:w="15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时间 / s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Δt = 2 s / ℃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Δt = 1 s / ℃</w:t>
            </w:r>
          </w:p>
        </w:tc>
        <w:tc>
          <w:tcPr>
            <w:tcW w:type="dxa" w:w="284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解析解 / ℃</w:t>
            </w:r>
          </w:p>
        </w:tc>
      </w:tr>
      <w:tr>
        <w:tc>
          <w:tcPr>
            <w:tcW w:type="dxa" w:w="15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60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34.147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34.231</w:t>
            </w:r>
          </w:p>
        </w:tc>
        <w:tc>
          <w:tcPr>
            <w:tcW w:type="dxa" w:w="284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34.319</w:t>
            </w:r>
          </w:p>
        </w:tc>
      </w:tr>
      <w:tr>
        <w:tc>
          <w:tcPr>
            <w:tcW w:type="dxa" w:w="15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120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46.814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46.914</w:t>
            </w:r>
          </w:p>
        </w:tc>
        <w:tc>
          <w:tcPr>
            <w:tcW w:type="dxa" w:w="284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47.014</w:t>
            </w:r>
          </w:p>
        </w:tc>
      </w:tr>
      <w:tr>
        <w:tc>
          <w:tcPr>
            <w:tcW w:type="dxa" w:w="15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300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58.263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58.296</w:t>
            </w:r>
          </w:p>
        </w:tc>
        <w:tc>
          <w:tcPr>
            <w:tcW w:type="dxa" w:w="284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58.328</w:t>
            </w:r>
          </w:p>
        </w:tc>
      </w:tr>
      <w:tr>
        <w:tc>
          <w:tcPr>
            <w:tcW w:type="dxa" w:w="15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600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59.941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59.943</w:t>
            </w:r>
          </w:p>
        </w:tc>
        <w:tc>
          <w:tcPr>
            <w:tcW w:type="dxa" w:w="284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59.945</w:t>
            </w:r>
          </w:p>
        </w:tc>
      </w:tr>
    </w:tbl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810000" cy="1086406"/>
            <wp:docPr id="8" name="Picture 8" descr="transient 参考结果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nsien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108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图 4 中心温度时间历程；虚线为稳态温度 60 ℃。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共同采样时刻的两步长最大温差为 0.133 ℃，600 s 时温差为 0.0022 ℃。终点温度接近不能代替全过程检查；是否足够准确，应结合所需温度精度判断。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参考计算：AgentFEM 0.4.0.dev0 / DOLFINx 0.11.0。梁：80 × 8 二次单元；圆筒：40 × 4 二次单元；导热：80 × 16 一次单元。瞬态采用隐式 Euler；显示值按指定单位换算。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参考资料</w:t>
      </w:r>
    </w:p>
    <w:p>
      <w:pPr>
        <w:pStyle w:val="Caption"/>
        <w:keepNext w:val="0"/>
        <w:widowControl/>
        <w:spacing w:after="60" w:before="0" w:line="220" w:lineRule="exact"/>
      </w:pPr>
      <w:r>
        <w:rPr>
          <w:rFonts w:ascii="Songti SC" w:hAnsi="Songti SC" w:eastAsia="Songti SC"/>
          <w:sz w:val="16"/>
        </w:rPr>
        <w:t xml:space="preserve">[1] 本讲义网页互动版：可复制提示词、查看结果图与操作说明。 </w:t>
      </w:r>
      <w:hyperlink r:id="rId21">
        <w:r>
          <w:rPr>
            <w:color w:val="336B85"/>
          </w:rPr>
          <w:t>https://lab.haoming-luo.com/learn/</w:t>
        </w:r>
      </w:hyperlink>
    </w:p>
    <w:p>
      <w:pPr>
        <w:pStyle w:val="Caption"/>
        <w:keepNext w:val="0"/>
        <w:widowControl/>
        <w:spacing w:after="60" w:before="0" w:line="220" w:lineRule="exact"/>
      </w:pPr>
      <w:r>
        <w:rPr>
          <w:rFonts w:ascii="Songti SC" w:hAnsi="Songti SC" w:eastAsia="Songti SC"/>
          <w:sz w:val="16"/>
        </w:rPr>
        <w:t xml:space="preserve">[2] AgentFEM 安装说明。 </w:t>
      </w:r>
      <w:hyperlink r:id="rId11">
        <w:r>
          <w:rPr>
            <w:color w:val="336B85"/>
          </w:rPr>
          <w:t>https://github.com/haoming-luo/agentfem/blob/main/INSTALL.md</w:t>
        </w:r>
      </w:hyperlink>
    </w:p>
    <w:p>
      <w:pPr>
        <w:pStyle w:val="Caption"/>
        <w:keepNext w:val="0"/>
        <w:widowControl/>
        <w:spacing w:after="60" w:before="0" w:line="220" w:lineRule="exact"/>
      </w:pPr>
      <w:r>
        <w:rPr>
          <w:rFonts w:ascii="Songti SC" w:hAnsi="Songti SC" w:eastAsia="Songti SC"/>
          <w:sz w:val="16"/>
        </w:rPr>
        <w:t xml:space="preserve">[3] AgentFEM：AI 助手连接与配置。 </w:t>
      </w:r>
      <w:hyperlink r:id="rId12">
        <w:r>
          <w:rPr>
            <w:color w:val="336B85"/>
          </w:rPr>
          <w:t>https://haoming-luo.github.io/agentfem/agents/mcp/</w:t>
        </w:r>
      </w:hyperlink>
    </w:p>
    <w:sectPr w:rsidR="00FC693F" w:rsidRPr="0006063C" w:rsidSect="00034616">
      <w:headerReference w:type="default" r:id="rId9"/>
      <w:footerReference w:type="default" r:id="rId10"/>
      <w:pgSz w:w="11906" w:h="16838"/>
      <w:pgMar w:top="960" w:right="960" w:bottom="900" w:left="960" w:header="440" w:footer="4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  <w:tabs>
        <w:tab w:pos="9400" w:val="left"/>
      </w:tabs>
    </w:pPr>
    <w:r>
      <w:t>添加页脚</w:t>
    </w:r>
    <w:r>
      <w:tab/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AgentFEM  /  基础实验讲义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0" w:lineRule="exact" w:before="0"/>
    </w:pPr>
    <w:rPr>
      <w:rFonts w:ascii="Songti SC" w:hAnsi="Songti SC" w:eastAsia="Songti SC"/>
      <w:b w:val="0"/>
      <w:i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00" w:line="300" w:lineRule="exact"/>
      <w:outlineLvl w:val="0"/>
    </w:pPr>
    <w:rPr>
      <w:rFonts w:ascii="Heiti SC" w:hAnsi="Heiti SC" w:eastAsia="Heiti SC"/>
      <w:b/>
      <w:bCs/>
      <w:i w:val="0"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100" w:line="300" w:lineRule="exact"/>
      <w:outlineLvl w:val="1"/>
    </w:pPr>
    <w:rPr>
      <w:rFonts w:ascii="Heiti SC" w:hAnsi="Heiti SC" w:eastAsia="Heiti SC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300" w:lineRule="exact" w:before="0"/>
      <w:contextualSpacing/>
    </w:pPr>
    <w:rPr>
      <w:rFonts w:ascii="Heiti SC" w:hAnsi="Heiti SC" w:eastAsia="Heiti SC"/>
      <w:b w:val="0"/>
      <w:i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00" w:lineRule="exact" w:after="100" w:before="0"/>
    </w:pPr>
    <w:rPr>
      <w:rFonts w:ascii="Songti SC" w:hAnsi="Songti SC" w:eastAsia="Songti SC"/>
      <w:b w:val="0"/>
      <w:bCs/>
      <w:i w:val="0"/>
      <w:color w:val="000000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haoming-luo/agentfem/blob/main/INSTALL.md" TargetMode="External"/><Relationship Id="rId12" Type="http://schemas.openxmlformats.org/officeDocument/2006/relationships/hyperlink" Target="https://haoming-luo.github.io/agentfem/agents/mcp/" TargetMode="Externa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hyperlink" Target="https://lab.haoming-luo.com/lear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辅助有限元分析</dc:title>
  <dc:subject>AgentFEM 基础实验讲义</dc:subject>
  <dc:creator>Haoming Luo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