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Loans &amp; Birth/Death Rate Data Warehouse Proposal</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Finding the Correlation Between Loans and Birth/Death Rate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0C">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0D">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0E">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0F">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10">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11">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Members</w:t>
      </w:r>
    </w:p>
    <w:p w:rsidR="00000000" w:rsidDel="00000000" w:rsidP="00000000" w:rsidRDefault="00000000" w:rsidRPr="00000000" w14:paraId="00000012">
      <w:pPr>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1155cc"/>
          <w:sz w:val="32"/>
          <w:szCs w:val="32"/>
        </w:rPr>
      </w:pPr>
      <w:r w:rsidDel="00000000" w:rsidR="00000000" w:rsidRPr="00000000">
        <w:rPr>
          <w:rFonts w:ascii="Times New Roman" w:cs="Times New Roman" w:eastAsia="Times New Roman" w:hAnsi="Times New Roman"/>
          <w:b w:val="1"/>
          <w:sz w:val="32"/>
          <w:szCs w:val="32"/>
          <w:rtl w:val="0"/>
        </w:rPr>
        <w:t xml:space="preserve">Victor Ou </w:t>
      </w:r>
      <w:hyperlink r:id="rId6">
        <w:r w:rsidDel="00000000" w:rsidR="00000000" w:rsidRPr="00000000">
          <w:rPr>
            <w:rFonts w:ascii="Times New Roman" w:cs="Times New Roman" w:eastAsia="Times New Roman" w:hAnsi="Times New Roman"/>
            <w:b w:val="1"/>
            <w:color w:val="1155cc"/>
            <w:sz w:val="32"/>
            <w:szCs w:val="32"/>
            <w:u w:val="single"/>
            <w:rtl w:val="0"/>
          </w:rPr>
          <w:t xml:space="preserve">victor102496@gmail.com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Haonan Ou </w:t>
      </w:r>
      <w:hyperlink r:id="rId7">
        <w:r w:rsidDel="00000000" w:rsidR="00000000" w:rsidRPr="00000000">
          <w:rPr>
            <w:rFonts w:ascii="Times New Roman" w:cs="Times New Roman" w:eastAsia="Times New Roman" w:hAnsi="Times New Roman"/>
            <w:b w:val="1"/>
            <w:color w:val="1155cc"/>
            <w:sz w:val="32"/>
            <w:szCs w:val="32"/>
            <w:u w:val="single"/>
            <w:rtl w:val="0"/>
          </w:rPr>
          <w:t xml:space="preserve">hn737433241@gmail.com</w:t>
        </w:r>
      </w:hyperlink>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sz w:val="32"/>
          <w:szCs w:val="32"/>
          <w:rtl w:val="0"/>
        </w:rPr>
        <w:t xml:space="preserve">Soohun Han </w:t>
      </w:r>
      <w:hyperlink r:id="rId8">
        <w:r w:rsidDel="00000000" w:rsidR="00000000" w:rsidRPr="00000000">
          <w:rPr>
            <w:rFonts w:ascii="Times New Roman" w:cs="Times New Roman" w:eastAsia="Times New Roman" w:hAnsi="Times New Roman"/>
            <w:b w:val="1"/>
            <w:color w:val="1155cc"/>
            <w:sz w:val="32"/>
            <w:szCs w:val="32"/>
            <w:u w:val="single"/>
            <w:rtl w:val="0"/>
          </w:rPr>
          <w:t xml:space="preserve">hsh804@gmail.com</w:t>
        </w:r>
      </w:hyperlink>
      <w:r w:rsidDel="00000000" w:rsidR="00000000" w:rsidRPr="00000000">
        <w:rPr>
          <w:rFonts w:ascii="Times New Roman" w:cs="Times New Roman" w:eastAsia="Times New Roman" w:hAnsi="Times New Roman"/>
          <w:b w:val="1"/>
          <w:i w:val="1"/>
          <w:sz w:val="32"/>
          <w:szCs w:val="32"/>
          <w:rtl w:val="0"/>
        </w:rPr>
        <w:t xml:space="preserve">                             </w:t>
        <w:br w:type="textWrapping"/>
      </w:r>
    </w:p>
    <w:p w:rsidR="00000000" w:rsidDel="00000000" w:rsidP="00000000" w:rsidRDefault="00000000" w:rsidRPr="00000000" w14:paraId="00000016">
      <w:pPr>
        <w:ind w:left="0" w:firstLine="0"/>
        <w:jc w:val="left"/>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i w:val="1"/>
          <w:sz w:val="48"/>
          <w:szCs w:val="48"/>
          <w:rtl w:val="0"/>
        </w:rPr>
        <w:t xml:space="preserve"> </w:t>
      </w:r>
      <w:r w:rsidDel="00000000" w:rsidR="00000000" w:rsidRPr="00000000">
        <w:rPr>
          <w:rFonts w:ascii="Times New Roman" w:cs="Times New Roman" w:eastAsia="Times New Roman" w:hAnsi="Times New Roman"/>
          <w:b w:val="1"/>
          <w:i w:val="1"/>
          <w:sz w:val="48"/>
          <w:szCs w:val="48"/>
          <w:rtl w:val="0"/>
        </w:rPr>
        <w:t xml:space="preserve">CIS4400 – CMWA - Group 2</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br w:type="textWrapping"/>
        <w:t xml:space="preserve">Project Description</w:t>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intended project revolves around the effects loans may have on birth rates and mortality rate in New York. The economic environment over the past decade has forced many individuals and families to take out loans to either make ends meet or to invest in different opportunities. By analyzing annual birth rates with respect to continuous loan data, we hope to find trends that may help to paint an interesting narrative. Regarding the mortality rate, we want to specifically focus on deaths that occur in an unnatural manner, such as deaths relating to firearms, alcohol, and suicides. These unnatural occurrences, while morbid, may provide an insight on the effects loans can have on an individual’s mental health.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Information Needs</w:t>
      </w:r>
    </w:p>
    <w:p w:rsidR="00000000" w:rsidDel="00000000" w:rsidP="00000000" w:rsidRDefault="00000000" w:rsidRPr="00000000" w14:paraId="0000002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source containing information on birth rates by age/race/gender spanning over years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source containing information on mortality rates by age/race/gender spanning over years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loan data over the span of multiple years containing totals for multiple types of loans.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KPI’s Documentation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dividing the total number of births per year and totaling balances of loans in each category per year starting from 2007 - 2014: auto loan, HELOC, credit card, and student loan, we can find ratios for each year. The same can be done to the specific categories of unnatural deaths: firearm, alcohol, and suicide. Along with this, we can also aggregate the balances of each loan categories: auto loan, HELOC, credit card, and student loan per year as well as the total dollar amount for every loan. </w:t>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Ratios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Birthrate to auto loan ratio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Birthrate to HELOC ratio</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Birthrate to Credit card ratio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Birthrate to Student loan ratio</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 death to auto loan ratio</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 death to HELOC ratio</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 death to Credit card ratio</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 death to Student loan ratio</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death to auto loan ratio</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death to HELOC ratio</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death to Credit card ratio</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death to Student loan ratio</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Suicide to auto loan ratio</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Suicide to HELOC ratio</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Suicide to Credit card ratio</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Suicideto Student loan ratio</w:t>
      </w:r>
    </w:p>
    <w:p w:rsidR="00000000" w:rsidDel="00000000" w:rsidP="00000000" w:rsidRDefault="00000000" w:rsidRPr="00000000" w14:paraId="0000004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Balances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Dollar Balance of Loans</w:t>
        <w:br w:type="textWrapping"/>
        <w:t xml:space="preserve">Total Auto loan balance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HELOC balance</w:t>
        <w:br w:type="textWrapping"/>
        <w:t xml:space="preserve">Total Credit Card Balance</w:t>
        <w:br w:type="textWrapping"/>
        <w:t xml:space="preserve">Total Student loan balance</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Dimension and Facts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861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861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Datasets Used</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Debt data for years 04-14</w:t>
      </w:r>
    </w:p>
    <w:p w:rsidR="00000000" w:rsidDel="00000000" w:rsidP="00000000" w:rsidRDefault="00000000" w:rsidRPr="00000000" w14:paraId="00000053">
      <w:pPr>
        <w:rPr>
          <w:rFonts w:ascii="Times New Roman" w:cs="Times New Roman" w:eastAsia="Times New Roman" w:hAnsi="Times New Roman"/>
          <w:color w:val="4a86e8"/>
          <w:sz w:val="24"/>
          <w:szCs w:val="24"/>
        </w:rPr>
      </w:pPr>
      <w:hyperlink r:id="rId10">
        <w:r w:rsidDel="00000000" w:rsidR="00000000" w:rsidRPr="00000000">
          <w:rPr>
            <w:rFonts w:ascii="Times New Roman" w:cs="Times New Roman" w:eastAsia="Times New Roman" w:hAnsi="Times New Roman"/>
            <w:color w:val="4a86e8"/>
            <w:sz w:val="24"/>
            <w:szCs w:val="24"/>
            <w:rtl w:val="0"/>
          </w:rPr>
          <w:t xml:space="preserve">https://data.world/finance/student-loan-debt</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Percent Live Births by Infant Sex and Mother’s Race/Ethnicity for New York City, 2007-2014</w:t>
      </w:r>
    </w:p>
    <w:p w:rsidR="00000000" w:rsidDel="00000000" w:rsidP="00000000" w:rsidRDefault="00000000" w:rsidRPr="00000000" w14:paraId="00000056">
      <w:pPr>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sz w:val="24"/>
            <w:szCs w:val="24"/>
            <w:highlight w:val="white"/>
            <w:u w:val="single"/>
            <w:rtl w:val="0"/>
          </w:rPr>
          <w:t xml:space="preserve">https://data.cityofnewyork.us/Health/Natality/wffy-3iyg</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Vital_Statistics_Suicide_Deaths_by_Age-Group__Race_Ethnicity__Resident_County__Region_and_Gender__Beginning_2003</w:t>
      </w:r>
    </w:p>
    <w:p w:rsidR="00000000" w:rsidDel="00000000" w:rsidP="00000000" w:rsidRDefault="00000000" w:rsidRPr="00000000" w14:paraId="00000059">
      <w:pPr>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healthdata.gov/dataset/vital-statistics-suicide-deaths-age-group-raceethnicity-resident-county-region-and-gender-13#{view-graph:{graphOptions:{hooks:{processOffset:{},bindEvents:{}}}},graphOptions:{hooks:{processOffset:{},bindEvents:{}}},view-grid:{columnsWidth:[{column:!Firearm++Deaths,width:268},{column:!Alcohol-Related++Deaths,width:250},{column:!Suicide++Deaths,width:225</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rPr>
          <w:rtl w:val="0"/>
        </w:rPr>
      </w:r>
    </w:p>
    <w:sectPr>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cityofnewyork.us/Health/Natality/wffy-3iyg" TargetMode="External"/><Relationship Id="rId10" Type="http://schemas.openxmlformats.org/officeDocument/2006/relationships/hyperlink" Target="https://data.world/finance/student-loan-debt" TargetMode="External"/><Relationship Id="rId13" Type="http://schemas.openxmlformats.org/officeDocument/2006/relationships/footer" Target="footer1.xml"/><Relationship Id="rId12" Type="http://schemas.openxmlformats.org/officeDocument/2006/relationships/hyperlink" Target="https://healthdata.gov/dataset/vital-statistics-suicide-deaths-age-group-raceethnicity-resident-county-region-and-gender-13#%7Bview-graph:%7BgraphOptions:%7Bhooks:%7BprocessOffset:%7B%7D,bindEvents:%7B%7D%7D%7D%7D,graphOptions:%7Bhooks:%7BprocessOffset:%7B%7D,bindEvents:%7B%7D%7D%7D,view-grid:%7BcolumnsWidth:%5B%7Bcolumn:!Firearm++Deaths,width:268%7D,%7Bcolumn:!Alcohol-Related++Deaths,width:250%7D,%7Bcolumn:!Suicide++Deaths,width:2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victor102496@gmail.com" TargetMode="External"/><Relationship Id="rId7" Type="http://schemas.openxmlformats.org/officeDocument/2006/relationships/hyperlink" Target="mailto:hn737433241@gmail.com" TargetMode="External"/><Relationship Id="rId8" Type="http://schemas.openxmlformats.org/officeDocument/2006/relationships/hyperlink" Target="mailto:hsh8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