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and Technical Tradeoffs of the V2 Sales Agent</w:t>
      </w:r>
    </w:p>
    <w:p>
      <w:r>
        <w:t>I started this project with a simple question: could an LLM help a study abroad adviser decide what to do next, rather than just write a nicer message? A student may ask about price, timing, or an application task, and the adviser has to work out what is still unclear before replying. V2 is my attempt to make that decision visible. This report looks at what that design might be worth and what it costs. The public browser demo uses fictional data and a fixed script, so it is a demonstration of the workflow, not proof of better sales results.</w:t>
      </w:r>
    </w:p>
    <w:p>
      <w:pPr>
        <w:pStyle w:val="Heading1"/>
      </w:pPr>
      <w:r>
        <w:t>Why I used two agents</w:t>
      </w:r>
    </w:p>
    <w:p>
      <w:r>
        <w:t>The Decision Agent chooses a short-term goal and a next action. The Conversation Agent then turns that plan into a message the student could read. For example, if the student has not said which part of an application they need help with, the decision can be to clarify that need first. The reply should ask the question plainly, without adding a price or a promise that nobody approved.</w:t>
      </w:r>
    </w:p>
    <w:p>
      <w:r>
        <w:t>Splitting the work helps me see whether a poor reply came from the choice of action or from its wording. It also makes the system slower and more complicated than a single model call. A decision can fail validation, and a revision can require another call. That extra work only makes sense if the separation helps advisers make better decisions or catch more mistakes.</w:t>
      </w:r>
    </w:p>
    <w:p>
      <w:pPr>
        <w:pStyle w:val="Heading1"/>
      </w:pPr>
      <w:r>
        <w:t>Cost comparison</w:t>
      </w:r>
    </w:p>
    <w:p>
      <w:r>
        <w:t>I compared three possible designs using the assumed inputs in analysis/COST_ANALYSIS.md. The table uses 200 enquiries per month and a loaded labour cost of $20 per hour. These are coursework assumptions, not bills or measured adviser time.</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tblHeader/>
          <w:tblHeader/>
          <w:cantSplit/>
        </w:trPr>
        <w:tc>
          <w:tcPr>
            <w:tcW w:type="dxa" w:w="2088"/>
            <w:vAlign w:val="center"/>
          </w:tcPr>
          <w:p>
            <w:pPr>
              <w:spacing w:after="60" w:before="60" w:line="259" w:lineRule="auto"/>
            </w:pPr>
            <w:r>
              <w:rPr>
                <w:rFonts w:ascii="Times New Roman" w:hAnsi="Times New Roman"/>
                <w:b/>
                <w:color w:val="000000"/>
                <w:sz w:val="19"/>
              </w:rPr>
              <w:t>Approach</w:t>
            </w:r>
          </w:p>
        </w:tc>
        <w:tc>
          <w:tcPr>
            <w:tcW w:type="dxa" w:w="2160"/>
            <w:vAlign w:val="center"/>
          </w:tcPr>
          <w:p>
            <w:pPr>
              <w:spacing w:after="60" w:before="60" w:line="259" w:lineRule="auto"/>
            </w:pPr>
            <w:r>
              <w:rPr>
                <w:rFonts w:ascii="Times New Roman" w:hAnsi="Times New Roman"/>
                <w:b/>
                <w:color w:val="000000"/>
                <w:sz w:val="19"/>
              </w:rPr>
              <w:t>Estimated cost per month</w:t>
            </w:r>
          </w:p>
        </w:tc>
        <w:tc>
          <w:tcPr>
            <w:tcW w:type="dxa" w:w="5832"/>
            <w:vAlign w:val="center"/>
          </w:tcPr>
          <w:p>
            <w:pPr>
              <w:spacing w:after="60" w:before="60" w:line="259" w:lineRule="auto"/>
            </w:pPr>
            <w:r>
              <w:rPr>
                <w:rFonts w:ascii="Times New Roman" w:hAnsi="Times New Roman"/>
                <w:b/>
                <w:color w:val="000000"/>
                <w:sz w:val="19"/>
              </w:rPr>
              <w:t>What I gain or give up</w:t>
            </w:r>
          </w:p>
        </w:tc>
      </w:tr>
      <w:tr>
        <w:trPr>
          <w:cantSplit/>
        </w:trPr>
        <w:tc>
          <w:tcPr>
            <w:tcW w:type="dxa" w:w="2088"/>
            <w:vAlign w:val="center"/>
          </w:tcPr>
          <w:p>
            <w:pPr>
              <w:spacing w:after="60" w:before="60" w:line="259" w:lineRule="auto"/>
            </w:pPr>
            <w:r>
              <w:rPr>
                <w:rFonts w:ascii="Times New Roman" w:hAnsi="Times New Roman"/>
                <w:b w:val="0"/>
                <w:color w:val="000000"/>
                <w:sz w:val="19"/>
              </w:rPr>
              <w:t>B0  Rules and templates</w:t>
            </w:r>
          </w:p>
        </w:tc>
        <w:tc>
          <w:tcPr>
            <w:tcW w:type="dxa" w:w="2160"/>
            <w:vAlign w:val="center"/>
          </w:tcPr>
          <w:p>
            <w:pPr>
              <w:spacing w:after="60" w:before="60" w:line="259" w:lineRule="auto"/>
            </w:pPr>
            <w:r>
              <w:rPr>
                <w:rFonts w:ascii="Times New Roman" w:hAnsi="Times New Roman"/>
                <w:b w:val="0"/>
                <w:color w:val="000000"/>
                <w:sz w:val="19"/>
              </w:rPr>
              <w:t>$600.00</w:t>
            </w:r>
          </w:p>
        </w:tc>
        <w:tc>
          <w:tcPr>
            <w:tcW w:type="dxa" w:w="5832"/>
            <w:vAlign w:val="center"/>
          </w:tcPr>
          <w:p>
            <w:pPr>
              <w:spacing w:after="60" w:before="60" w:line="259" w:lineRule="auto"/>
            </w:pPr>
            <w:r>
              <w:rPr>
                <w:rFonts w:ascii="Times New Roman" w:hAnsi="Times New Roman"/>
                <w:b w:val="0"/>
                <w:color w:val="000000"/>
                <w:sz w:val="19"/>
              </w:rPr>
              <w:t>No model charge, but limited flexibility for unusual questions.</w:t>
            </w:r>
          </w:p>
        </w:tc>
      </w:tr>
      <w:tr>
        <w:trPr>
          <w:cantSplit/>
        </w:trPr>
        <w:tc>
          <w:tcPr>
            <w:tcW w:type="dxa" w:w="2088"/>
            <w:vAlign w:val="center"/>
          </w:tcPr>
          <w:p>
            <w:pPr>
              <w:spacing w:after="60" w:before="60" w:line="259" w:lineRule="auto"/>
            </w:pPr>
            <w:r>
              <w:rPr>
                <w:rFonts w:ascii="Times New Roman" w:hAnsi="Times New Roman"/>
                <w:b w:val="0"/>
                <w:color w:val="000000"/>
                <w:sz w:val="19"/>
              </w:rPr>
              <w:t>B1  One model call</w:t>
            </w:r>
          </w:p>
        </w:tc>
        <w:tc>
          <w:tcPr>
            <w:tcW w:type="dxa" w:w="2160"/>
            <w:vAlign w:val="center"/>
          </w:tcPr>
          <w:p>
            <w:pPr>
              <w:spacing w:after="60" w:before="60" w:line="259" w:lineRule="auto"/>
            </w:pPr>
            <w:r>
              <w:rPr>
                <w:rFonts w:ascii="Times New Roman" w:hAnsi="Times New Roman"/>
                <w:b w:val="0"/>
                <w:color w:val="000000"/>
                <w:sz w:val="19"/>
              </w:rPr>
              <w:t>$542.26</w:t>
            </w:r>
          </w:p>
        </w:tc>
        <w:tc>
          <w:tcPr>
            <w:tcW w:type="dxa" w:w="5832"/>
            <w:vAlign w:val="center"/>
          </w:tcPr>
          <w:p>
            <w:pPr>
              <w:spacing w:after="60" w:before="60" w:line="259" w:lineRule="auto"/>
            </w:pPr>
            <w:r>
              <w:rPr>
                <w:rFonts w:ascii="Times New Roman" w:hAnsi="Times New Roman"/>
                <w:b w:val="0"/>
                <w:color w:val="000000"/>
                <w:sz w:val="19"/>
              </w:rPr>
              <w:t>Simpler and cheaper here, but the decision and wording are harder to inspect separately.</w:t>
            </w:r>
          </w:p>
        </w:tc>
      </w:tr>
      <w:tr>
        <w:trPr>
          <w:cantSplit/>
        </w:trPr>
        <w:tc>
          <w:tcPr>
            <w:tcW w:type="dxa" w:w="2088"/>
            <w:vAlign w:val="center"/>
          </w:tcPr>
          <w:p>
            <w:pPr>
              <w:spacing w:after="60" w:before="60" w:line="259" w:lineRule="auto"/>
            </w:pPr>
            <w:r>
              <w:rPr>
                <w:rFonts w:ascii="Times New Roman" w:hAnsi="Times New Roman"/>
                <w:b w:val="0"/>
                <w:color w:val="000000"/>
                <w:sz w:val="19"/>
              </w:rPr>
              <w:t>B2  Staged V2</w:t>
            </w:r>
          </w:p>
        </w:tc>
        <w:tc>
          <w:tcPr>
            <w:tcW w:type="dxa" w:w="2160"/>
            <w:vAlign w:val="center"/>
          </w:tcPr>
          <w:p>
            <w:pPr>
              <w:spacing w:after="60" w:before="60" w:line="259" w:lineRule="auto"/>
            </w:pPr>
            <w:r>
              <w:rPr>
                <w:rFonts w:ascii="Times New Roman" w:hAnsi="Times New Roman"/>
                <w:b w:val="0"/>
                <w:color w:val="000000"/>
                <w:sz w:val="19"/>
              </w:rPr>
              <w:t>$594.20</w:t>
            </w:r>
          </w:p>
        </w:tc>
        <w:tc>
          <w:tcPr>
            <w:tcW w:type="dxa" w:w="5832"/>
            <w:vAlign w:val="center"/>
          </w:tcPr>
          <w:p>
            <w:pPr>
              <w:spacing w:after="60" w:before="60" w:line="259" w:lineRule="auto"/>
            </w:pPr>
            <w:r>
              <w:rPr>
                <w:rFonts w:ascii="Times New Roman" w:hAnsi="Times New Roman"/>
                <w:b w:val="0"/>
                <w:color w:val="000000"/>
                <w:sz w:val="19"/>
              </w:rPr>
              <w:t>Clearer decision and review trail, with more calls and maintenance.</w:t>
            </w:r>
          </w:p>
        </w:tc>
      </w:tr>
    </w:tbl>
    <w:p>
      <w:pPr>
        <w:spacing w:after="0"/>
      </w:pPr>
    </w:p>
    <w:p>
      <w:r>
        <w:t>In this example V2 costs $51.94 more per month than the one-call option. It assumes 393 seconds of human work per enquiry, compared with 427.8 seconds for one call, but that saving is not enough to cover V2’s larger fixed and build costs at this volume. With the same assumptions, V2 reaches the one-call cost at about 473 enquiries per month. The estimate counts three model calls for V2’s normal path. It does not cover extra revisions, failed calls, or any future Gold-selection steps. I would not claim that V2 saves money until those costs and the adviser’s time have been measured.</w:t>
      </w:r>
    </w:p>
    <w:p>
      <w:pPr>
        <w:pStyle w:val="Heading1"/>
      </w:pPr>
      <w:r>
        <w:t>Evidence and control</w:t>
      </w:r>
    </w:p>
    <w:p>
      <w:r>
        <w:t>V2 has four read-only tool interfaces for sales methods, approved advantages, anonymised cases, and programme information. The useful part of retrieval is that a decision can point to a source. The difficult part is keeping sources approved and current. In the public demo there is no approved live Cases or programme database, and the scripted walkthrough makes no tool calls. Connecting those sources properly would add work for checking facts, versions, and permissions.</w:t>
      </w:r>
    </w:p>
    <w:p>
      <w:r>
        <w:t>The agent also receives a limited view of the student record: recent student-visible messages, verified profile fields, some older quotes with source links, and working memory. This keeps the prompt smaller and avoids treating an unsent draft or an agent guess as something the student said. The risk is that a relevant older detail may be left out. An adviser still needs access to the original record when checking a draft.</w:t>
      </w:r>
    </w:p>
    <w:p>
      <w:r>
        <w:t>Before any message can be sent, the system checks contact permission, prices, claims, and approvals. A human must review the draft, and the browser does not send it to the student. This creates an extra step, but I think it is justified while the system is experimental. It would be worse to move quickly and make an unsupported offer or contact someone who asked us to stop.</w:t>
      </w:r>
    </w:p>
    <w:p>
      <w:pPr>
        <w:pStyle w:val="Heading1"/>
      </w:pPr>
      <w:r>
        <w:t>What the tests tell me</w:t>
      </w:r>
    </w:p>
    <w:p>
      <w:r>
        <w:t>The public evaluation set has 24 English fictional cases: 16 development cases and eight new challenge cases. A fixed-script first-turn run produced 22 unsent drafts; one case stopped because contact permission was unknown and one because the student had requested no further contact. Four cases lacked matching evidence inputs in the runtime. Of the remaining 18, the canned next-action label matched the reference label in five cases. No case has been independently judged by an adviser for the quality of its wording or decision. The separate two-case local model check ended in handoffs before a decision. These results show that parts of the workflow and safety checks run, but they do not show that the model is a good salesperson. The details are in evals/README.md.</w:t>
      </w:r>
    </w:p>
    <w:p>
      <w:pPr>
        <w:pStyle w:val="Heading1"/>
      </w:pPr>
      <w:r>
        <w:t>My conclusion</w:t>
      </w:r>
    </w:p>
    <w:p>
      <w:r>
        <w:t>I would keep V2 as a human-reviewed project for now. The next useful test is to give the same new cases to the one-call design and V2, then ask advisers who do not know which system produced each answer to judge the next action, factual support, and time needed to edit it. I would also record actual API usage, failed calls, and waiting time. Only then could I decide whether the second agent earns its extra cost. A claim about sales conversion would need later evidence from a real, consented workflow; the current scripted demo and fictional Gold answers cannot establish it.</w:t>
      </w:r>
    </w:p>
    <w:sectPr w:rsidR="00FC693F" w:rsidRPr="0006063C" w:rsidSect="00034616">
      <w:pgSz w:w="12240" w:h="15840"/>
      <w:pgMar w:top="1181" w:right="1296" w:bottom="1181"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Times New Roman" w:hAnsi="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and Technical Tradeoffs of the V2 Sales Agent</dc:title>
  <dc:subject>Coursework business and technical tradeoff analysis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