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100" w:leftChars="0" w:firstLine="420" w:firstLineChars="0"/>
        <w:jc w:val="left"/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一体机部署验收步骤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星光后台创建一体机用户url：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"https://support.istarshine.com/YTJNewcustomer/allcustomer?setsidebar=3"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https://support.istarshine.com/YTJNewcustomer/allcustomer?setsidebar=3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一体机后台定时创建用户url：一体机域名+/AutoRun/createThirdAcc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"http://一体机域名/"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</w:t>
      </w:r>
      <w:r>
        <w:rPr>
          <w:rStyle w:val="4"/>
          <w:rFonts w:hint="eastAsia"/>
        </w:rPr>
        <w:t>一体机域名/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登录用户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eastAsia="zh-CN"/>
        </w:rPr>
        <w:t>新建专题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eastAsia="zh-CN"/>
        </w:rPr>
        <w:t>查看舆情浏览是否有数据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eastAsia="zh-CN"/>
        </w:rPr>
        <w:t>查看可视化搜索页面是否有数据</w:t>
      </w:r>
    </w:p>
    <w:p>
      <w:pPr>
        <w:numPr>
          <w:ilvl w:val="0"/>
          <w:numId w:val="1"/>
        </w:num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BCF3AB"/>
    <w:multiLevelType w:val="singleLevel"/>
    <w:tmpl w:val="E6BCF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1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郝然</cp:lastModifiedBy>
  <dcterms:modified xsi:type="dcterms:W3CDTF">2019-05-09T02:02:54Z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