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7764" w14:textId="77777777" w:rsidR="00202F97" w:rsidRDefault="000E15DD">
      <w:pPr>
        <w:spacing w:line="400" w:lineRule="exact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4D0137AE" w14:textId="77777777" w:rsidR="00202F97" w:rsidRDefault="000E15DD">
      <w:pPr>
        <w:spacing w:line="240" w:lineRule="exact"/>
        <w:jc w:val="center"/>
      </w:pPr>
      <w:r>
        <w:t xml:space="preserve">E-mail: </w:t>
      </w:r>
      <w:hyperlink r:id="rId7">
        <w:r>
          <w:rPr>
            <w:rStyle w:val="a4"/>
          </w:rPr>
          <w:t>havens.teng@gmail.com</w:t>
        </w:r>
      </w:hyperlink>
      <w:r>
        <w:t xml:space="preserve"> </w:t>
      </w:r>
      <w:r>
        <w:rPr>
          <w:color w:val="0563C1"/>
          <w:u w:val="single"/>
        </w:rPr>
        <w:t>haotiant@andrew.cmu.edu</w:t>
      </w:r>
    </w:p>
    <w:p w14:paraId="42C1EDE5" w14:textId="77777777" w:rsidR="00202F97" w:rsidRDefault="000E15DD">
      <w:pPr>
        <w:spacing w:line="240" w:lineRule="exact"/>
        <w:jc w:val="center"/>
      </w:pPr>
      <w:r>
        <w:t xml:space="preserve">Personal Website: </w:t>
      </w:r>
      <w:hyperlink r:id="rId8">
        <w:r>
          <w:rPr>
            <w:rStyle w:val="a4"/>
          </w:rPr>
          <w:t>https://haotianteng.github.io/</w:t>
        </w:r>
      </w:hyperlink>
      <w:r>
        <w:t xml:space="preserve"> </w:t>
      </w:r>
    </w:p>
    <w:p w14:paraId="6E4CED2B" w14:textId="77777777" w:rsidR="00A018E8" w:rsidRPr="00865EC5" w:rsidRDefault="00A018E8" w:rsidP="00A018E8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  <w:r w:rsidRPr="00865EC5">
        <w:rPr>
          <w:b/>
          <w:color w:val="4472C4" w:themeColor="accent1"/>
          <w:sz w:val="24"/>
          <w:u w:val="single"/>
        </w:rPr>
        <w:t>E</w:t>
      </w:r>
      <w:r w:rsidRPr="00865EC5">
        <w:rPr>
          <w:b/>
          <w:color w:val="4472C4" w:themeColor="accent1"/>
          <w:u w:val="single"/>
        </w:rPr>
        <w:t xml:space="preserve">DUCATION                                                                                             </w:t>
      </w:r>
    </w:p>
    <w:p w14:paraId="183376BF" w14:textId="77777777" w:rsidR="00A018E8" w:rsidRDefault="00A018E8" w:rsidP="00A018E8">
      <w:pPr>
        <w:widowControl w:val="0"/>
        <w:snapToGrid w:val="0"/>
        <w:ind w:left="100" w:hanging="100"/>
        <w:jc w:val="both"/>
      </w:pPr>
      <w:r>
        <w:rPr>
          <w:b/>
        </w:rPr>
        <w:t>Carnegie Mellon University (CMU)</w:t>
      </w:r>
      <w:r>
        <w:t>,</w:t>
      </w:r>
      <w:r>
        <w:rPr>
          <w:b/>
        </w:rPr>
        <w:t xml:space="preserve"> </w:t>
      </w:r>
      <w:r>
        <w:t>Pittsburgh, PA, United States</w:t>
      </w:r>
    </w:p>
    <w:p w14:paraId="095F3510" w14:textId="77777777" w:rsidR="00A018E8" w:rsidRPr="00D35B53" w:rsidRDefault="00A018E8" w:rsidP="00A018E8">
      <w:pPr>
        <w:widowControl w:val="0"/>
        <w:snapToGrid w:val="0"/>
        <w:ind w:left="100" w:hanging="100"/>
        <w:jc w:val="both"/>
        <w:rPr>
          <w:i/>
          <w:iCs/>
        </w:rPr>
      </w:pPr>
      <w:r w:rsidRPr="00D35B53">
        <w:rPr>
          <w:i/>
          <w:iCs/>
        </w:rPr>
        <w:t>Doctor of Philosophy, Computational Biology, School of Computer Science</w:t>
      </w:r>
      <w:r>
        <w:rPr>
          <w:i/>
          <w:iCs/>
        </w:rPr>
        <w:t xml:space="preserve"> (SCS)</w:t>
      </w:r>
    </w:p>
    <w:p w14:paraId="248358B7" w14:textId="77777777" w:rsidR="00A018E8" w:rsidRDefault="00A018E8" w:rsidP="00A018E8">
      <w:pPr>
        <w:widowControl w:val="0"/>
        <w:snapToGrid w:val="0"/>
        <w:jc w:val="both"/>
      </w:pPr>
      <w:r>
        <w:t>Advisor: Ziv Bar-Joseph, Machine Learning and Computational Biology department, SCS, CMU.</w:t>
      </w:r>
      <w:r>
        <w:tab/>
        <w:t xml:space="preserve">                          2019 - present</w:t>
      </w:r>
    </w:p>
    <w:p w14:paraId="5DEF3D45" w14:textId="77777777" w:rsidR="00A018E8" w:rsidRDefault="00A018E8" w:rsidP="00A018E8">
      <w:pPr>
        <w:widowControl w:val="0"/>
        <w:tabs>
          <w:tab w:val="left" w:pos="0"/>
          <w:tab w:val="right" w:pos="10466"/>
        </w:tabs>
        <w:snapToGrid w:val="0"/>
        <w:jc w:val="both"/>
        <w:rPr>
          <w:rFonts w:cs="Wingdings"/>
          <w:b/>
          <w:color w:val="5B9BD5" w:themeColor="accent5"/>
          <w:szCs w:val="22"/>
        </w:rPr>
      </w:pPr>
    </w:p>
    <w:p w14:paraId="3E0E6346" w14:textId="77777777" w:rsidR="00A018E8" w:rsidRDefault="00A018E8" w:rsidP="00A018E8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  <w:r w:rsidRPr="00D35B53">
        <w:rPr>
          <w:rFonts w:cs="Wingdings"/>
          <w:b/>
          <w:color w:val="5B9BD5" w:themeColor="accent5"/>
          <w:szCs w:val="22"/>
        </w:rPr>
        <w:t>Core Courses</w:t>
      </w:r>
      <w:r>
        <w:rPr>
          <w:spacing w:val="-4"/>
        </w:rPr>
        <w:t>: Computational Genomics 02-710, Machine Learning 10-701, Deep Reinforcement Learning 10-703, Probabilistic Graphical Models 10-708, Convex Optimization 10-725, Advanced Natural Language Processing 11-711</w:t>
      </w:r>
    </w:p>
    <w:p w14:paraId="49033ACA" w14:textId="77777777" w:rsidR="00A018E8" w:rsidRDefault="00A018E8" w:rsidP="00A018E8">
      <w:pPr>
        <w:widowControl w:val="0"/>
        <w:snapToGrid w:val="0"/>
        <w:ind w:left="100" w:hanging="100"/>
        <w:jc w:val="both"/>
        <w:rPr>
          <w:b/>
        </w:rPr>
      </w:pPr>
    </w:p>
    <w:p w14:paraId="1BF3205E" w14:textId="77777777" w:rsidR="00A018E8" w:rsidRDefault="00A018E8" w:rsidP="00A018E8">
      <w:pPr>
        <w:widowControl w:val="0"/>
        <w:snapToGrid w:val="0"/>
        <w:ind w:left="100" w:hanging="100"/>
        <w:jc w:val="both"/>
      </w:pPr>
      <w:r>
        <w:rPr>
          <w:b/>
        </w:rPr>
        <w:t>University of Queensland</w:t>
      </w:r>
      <w:r>
        <w:t>, Brisbane, Queensland, Australia</w:t>
      </w:r>
    </w:p>
    <w:p w14:paraId="592D667A" w14:textId="77777777" w:rsidR="00A018E8" w:rsidRDefault="00A018E8" w:rsidP="00A018E8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Master of Bioinformatics</w:t>
      </w:r>
      <w:r>
        <w:tab/>
        <w:t>2016 - 2018</w:t>
      </w:r>
    </w:p>
    <w:p w14:paraId="0F7EAB6E" w14:textId="77777777" w:rsidR="008D5BA4" w:rsidRDefault="008D5BA4" w:rsidP="008D5BA4">
      <w:pPr>
        <w:widowControl w:val="0"/>
        <w:spacing w:line="240" w:lineRule="exact"/>
        <w:jc w:val="both"/>
      </w:pPr>
      <w:r>
        <w:t>Advisor: Prof. Lichlan Coin, Institute of Molecular Bioscience, University of Queensland</w:t>
      </w:r>
    </w:p>
    <w:p w14:paraId="09836106" w14:textId="77777777" w:rsidR="008D5BA4" w:rsidRDefault="008D5BA4" w:rsidP="008D5BA4">
      <w:pPr>
        <w:widowControl w:val="0"/>
        <w:spacing w:line="240" w:lineRule="exact"/>
        <w:jc w:val="both"/>
      </w:pPr>
      <w:r>
        <w:t>Advisor: Prof. Geoffrey Goodhill, Queensland Brain Institute, University of Queensland</w:t>
      </w:r>
    </w:p>
    <w:p w14:paraId="3DC1363B" w14:textId="77777777" w:rsidR="00A018E8" w:rsidRPr="008D5BA4" w:rsidRDefault="00A018E8" w:rsidP="00A018E8">
      <w:pPr>
        <w:widowControl w:val="0"/>
        <w:snapToGrid w:val="0"/>
        <w:ind w:left="100" w:hanging="100"/>
        <w:jc w:val="both"/>
        <w:rPr>
          <w:b/>
        </w:rPr>
      </w:pPr>
    </w:p>
    <w:p w14:paraId="384A3C17" w14:textId="77777777" w:rsidR="00A018E8" w:rsidRDefault="00A018E8" w:rsidP="00A018E8">
      <w:pPr>
        <w:widowControl w:val="0"/>
        <w:snapToGrid w:val="0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12F02336" w14:textId="77777777" w:rsidR="00A018E8" w:rsidRDefault="00A018E8" w:rsidP="00A018E8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Bachelor of Science, Physics</w:t>
      </w:r>
      <w:r>
        <w:tab/>
        <w:t>2011 - 2015</w:t>
      </w:r>
    </w:p>
    <w:p w14:paraId="32AB3CEC" w14:textId="77777777" w:rsidR="00A018E8" w:rsidRDefault="00A018E8">
      <w:pPr>
        <w:widowControl w:val="0"/>
        <w:spacing w:before="80"/>
        <w:jc w:val="both"/>
        <w:rPr>
          <w:b/>
          <w:sz w:val="24"/>
          <w:szCs w:val="22"/>
          <w:u w:val="single"/>
        </w:rPr>
      </w:pPr>
    </w:p>
    <w:p w14:paraId="24D0424F" w14:textId="217222BC" w:rsidR="00202F97" w:rsidRDefault="000E15DD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5D4D6857" w14:textId="01D57778" w:rsidR="000E37A4" w:rsidRDefault="000E37A4" w:rsidP="009022B0">
      <w:pPr>
        <w:snapToGrid w:val="0"/>
        <w:rPr>
          <w:b/>
          <w:szCs w:val="22"/>
        </w:rPr>
      </w:pPr>
      <w:r>
        <w:rPr>
          <w:b/>
        </w:rPr>
        <w:t>Ph.D. Research Project</w:t>
      </w:r>
      <w:r w:rsidR="000672A2">
        <w:rPr>
          <w:b/>
        </w:rPr>
        <w:t>s</w:t>
      </w:r>
      <w:r w:rsidR="00DC151B">
        <w:rPr>
          <w:b/>
        </w:rPr>
        <w:t>, Carnegie Mellon University</w:t>
      </w:r>
    </w:p>
    <w:p w14:paraId="3FCE50CB" w14:textId="5E2E95E9" w:rsidR="009022B0" w:rsidRDefault="009022B0" w:rsidP="009022B0">
      <w:pPr>
        <w:snapToGrid w:val="0"/>
        <w:rPr>
          <w:bCs/>
          <w:szCs w:val="22"/>
        </w:rPr>
      </w:pPr>
      <w:r>
        <w:rPr>
          <w:b/>
          <w:szCs w:val="22"/>
        </w:rPr>
        <w:t>Target-based drug generation using graph neural networks with probabilistic diffusion model.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  <w:t xml:space="preserve"> </w:t>
      </w:r>
      <w:r w:rsidRPr="005039A6">
        <w:rPr>
          <w:bCs/>
          <w:szCs w:val="22"/>
        </w:rPr>
        <w:t xml:space="preserve">Nov 2022 </w:t>
      </w:r>
      <w:r>
        <w:rPr>
          <w:bCs/>
          <w:szCs w:val="22"/>
        </w:rPr>
        <w:t>–</w:t>
      </w:r>
      <w:r w:rsidRPr="005039A6">
        <w:rPr>
          <w:bCs/>
          <w:szCs w:val="22"/>
        </w:rPr>
        <w:t xml:space="preserve"> Present</w:t>
      </w:r>
    </w:p>
    <w:p w14:paraId="68FE57E8" w14:textId="77777777" w:rsidR="009022B0" w:rsidRPr="005039A6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Adapted an E(3) equivalent graph neural network with probabilistic diffusion model to generate small molecules with high binding affinity to given target protein pocket and high druggability.</w:t>
      </w:r>
    </w:p>
    <w:p w14:paraId="6DEA6641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007F4929" w14:textId="2FA1D162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Detecting N6-methyladenosine (m6A) modification in RNA using long read sequencing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szCs w:val="22"/>
        </w:rPr>
        <w:t xml:space="preserve">       Jan 2021 – Jan 2023</w:t>
      </w:r>
    </w:p>
    <w:p w14:paraId="2E265042" w14:textId="77777777" w:rsidR="009022B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>Introduced Xron, an interpretable hybrid deep learning model combining non-homogeneous Hidden Markov Model (NHMM) and Convolutional-Recurrent Neural Network (CRNN) that achieve accurate detection of m6A modification in RNA. Obtained a 22% and 7% relative improvement on Yeast and human HEK293T cell lines compared to state-of-the-art.</w:t>
      </w:r>
    </w:p>
    <w:p w14:paraId="0EE1CDD2" w14:textId="77777777" w:rsidR="009022B0" w:rsidRPr="0088530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>Obtained informative chemical parameters of nanopore from the highly interpretable hybrid model. Constructed pore models based on the parameters and completed accurate signal segmentation in an unsupervised manner.</w:t>
      </w:r>
    </w:p>
    <w:p w14:paraId="3BE73324" w14:textId="77777777" w:rsidR="009022B0" w:rsidRDefault="009022B0" w:rsidP="009022B0">
      <w:pPr>
        <w:widowControl w:val="0"/>
        <w:snapToGrid w:val="0"/>
        <w:spacing w:before="80"/>
        <w:rPr>
          <w:b/>
          <w:szCs w:val="22"/>
        </w:rPr>
      </w:pPr>
    </w:p>
    <w:p w14:paraId="07A1A81A" w14:textId="60A88445" w:rsidR="009022B0" w:rsidRDefault="009022B0" w:rsidP="009022B0">
      <w:pPr>
        <w:widowControl w:val="0"/>
        <w:snapToGrid w:val="0"/>
        <w:spacing w:before="80"/>
      </w:pPr>
      <w:r>
        <w:rPr>
          <w:b/>
          <w:szCs w:val="22"/>
        </w:rPr>
        <w:t xml:space="preserve">Clustering the single-cell spatial transcriptomics data </w:t>
      </w:r>
      <w:r>
        <w:rPr>
          <w:rFonts w:hint="eastAsia"/>
          <w:b/>
          <w:szCs w:val="22"/>
        </w:rPr>
        <w:t>with</w:t>
      </w:r>
      <w:r>
        <w:rPr>
          <w:b/>
          <w:szCs w:val="22"/>
        </w:rPr>
        <w:t xml:space="preserve"> novel probabilistic graphical model.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5FBAAF1E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 xml:space="preserve">Developed a robust probabilistic graphical model </w:t>
      </w:r>
      <w:hyperlink r:id="rId9" w:history="1">
        <w:r w:rsidRPr="00BA4B90">
          <w:rPr>
            <w:rStyle w:val="a4"/>
          </w:rPr>
          <w:t>FICT</w:t>
        </w:r>
      </w:hyperlink>
      <w:r>
        <w:t xml:space="preserve"> that clusters the cell for spatial transcriptomics data. By considering the spatial distribution </w:t>
      </w:r>
      <w:r>
        <w:rPr>
          <w:rFonts w:hint="eastAsia"/>
        </w:rPr>
        <w:t>in</w:t>
      </w:r>
      <w:r>
        <w:t xml:space="preserve"> addition to the gene expression, the model can give cell clusters variated in spatial domain.</w:t>
      </w:r>
    </w:p>
    <w:p w14:paraId="17DD06E7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Discovered 5 novel genes related to neuron differentiation by DGE analysis on clusters identified by FICT.</w:t>
      </w:r>
    </w:p>
    <w:p w14:paraId="155E846B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Constructed regularized denoise auto-encoder that achieve dimensional reduction faster than UMAP and applicable to any dimensions. It disentangles complicated clusters failed by t-SNE which does not consider nonlinear transformations.</w:t>
      </w:r>
    </w:p>
    <w:p w14:paraId="06C57866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660AAEB2" w14:textId="07ACAF15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</w:t>
      </w:r>
      <w:r w:rsidRPr="00B87E81">
        <w:rPr>
          <w:bCs/>
          <w:szCs w:val="22"/>
        </w:rPr>
        <w:t>July</w:t>
      </w:r>
      <w:r w:rsidRPr="00B87E81">
        <w:rPr>
          <w:b/>
          <w:szCs w:val="22"/>
        </w:rPr>
        <w:t xml:space="preserve"> </w:t>
      </w:r>
      <w:r w:rsidRPr="00B87E81">
        <w:rPr>
          <w:szCs w:val="22"/>
        </w:rPr>
        <w:t>2022 - Sept 2022</w:t>
      </w:r>
    </w:p>
    <w:p w14:paraId="42DCDAD9" w14:textId="77777777" w:rsidR="009022B0" w:rsidRPr="00865EC5" w:rsidRDefault="009022B0" w:rsidP="009022B0">
      <w:pPr>
        <w:widowControl w:val="0"/>
        <w:numPr>
          <w:ilvl w:val="0"/>
          <w:numId w:val="6"/>
        </w:numPr>
        <w:snapToGrid w:val="0"/>
        <w:spacing w:before="80"/>
        <w:jc w:val="both"/>
      </w:pPr>
      <w:r>
        <w:rPr>
          <w:rFonts w:hint="eastAsia"/>
        </w:rPr>
        <w:t>I</w:t>
      </w:r>
      <w:r>
        <w:t>dentified 3 novel convolutional neural layer structures using neural architecture search, achieved better performance than usual residual connection layer on several common tasks in openAI gym library with 20% fewer parameters.</w:t>
      </w:r>
    </w:p>
    <w:p w14:paraId="154C4BD5" w14:textId="77777777" w:rsidR="00202F97" w:rsidRPr="009022B0" w:rsidRDefault="00202F97">
      <w:pPr>
        <w:widowControl w:val="0"/>
        <w:spacing w:before="80" w:line="240" w:lineRule="exact"/>
        <w:jc w:val="both"/>
      </w:pPr>
    </w:p>
    <w:p w14:paraId="57CC6D62" w14:textId="479C8C28" w:rsidR="00DC151B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Masters Research Project, </w:t>
      </w:r>
      <w:r w:rsidR="00DC151B">
        <w:rPr>
          <w:b/>
        </w:rPr>
        <w:t>Institute for Molecular Bioscience, University of Queensland</w:t>
      </w:r>
    </w:p>
    <w:p w14:paraId="2B05EDD1" w14:textId="7554F874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Using Machine learning algorithm in Nanopore Basecalling</w:t>
      </w:r>
      <w:r>
        <w:tab/>
        <w:t>2017-02 - 2018-07</w:t>
      </w:r>
    </w:p>
    <w:p w14:paraId="1D8130B0" w14:textId="7FED1F4C" w:rsidR="00202F97" w:rsidRDefault="000E15DD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Lachlan Coin</w:t>
      </w:r>
    </w:p>
    <w:p w14:paraId="0035878A" w14:textId="4FD308D5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deep learning-based basecaller </w:t>
      </w:r>
      <w:r>
        <w:rPr>
          <w:b/>
          <w:bCs/>
        </w:rPr>
        <w:t xml:space="preserve">Chiron </w:t>
      </w:r>
      <w:r>
        <w:t>using Tensorflow, for Oxford Nanopore sequencer basecalling</w:t>
      </w:r>
    </w:p>
    <w:p w14:paraId="209D6412" w14:textId="1207A552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preprocessing tool </w:t>
      </w:r>
      <w:r>
        <w:rPr>
          <w:b/>
          <w:bCs/>
        </w:rPr>
        <w:t>Nanopre</w:t>
      </w:r>
      <w:r>
        <w:t xml:space="preserve"> to identify the polyA region in the Nanopore RNA sequencing platform.</w:t>
      </w:r>
    </w:p>
    <w:p w14:paraId="5114BD16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Prepared training dataset of DNA and RNA Nanopore basecalling reads, using Nanoraw and Graphmap to label the data. </w:t>
      </w:r>
    </w:p>
    <w:p w14:paraId="23A6E636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Implemented a pipeline in Google Cloud and Google Compute engine for end-to-end genome analysis.</w:t>
      </w:r>
    </w:p>
    <w:p w14:paraId="54DA6AB3" w14:textId="77777777" w:rsidR="00202F97" w:rsidRDefault="00202F97">
      <w:pPr>
        <w:widowControl w:val="0"/>
        <w:spacing w:line="240" w:lineRule="exact"/>
        <w:ind w:left="420"/>
        <w:jc w:val="both"/>
      </w:pPr>
    </w:p>
    <w:p w14:paraId="2DF17F6B" w14:textId="4969CCB0" w:rsidR="00DC151B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Internship and Winter Scholar, </w:t>
      </w:r>
      <w:r w:rsidR="00DC151B">
        <w:rPr>
          <w:b/>
        </w:rPr>
        <w:t>Queensland Brain Institute, University of Queensland</w:t>
      </w:r>
    </w:p>
    <w:p w14:paraId="5A3C40FF" w14:textId="08D9FDFD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The development of spontaneous neural activity in the zebrafish</w:t>
      </w:r>
      <w:r>
        <w:tab/>
        <w:t>2016-03 - 2017-02</w:t>
      </w:r>
    </w:p>
    <w:p w14:paraId="54966D06" w14:textId="197F72F4" w:rsidR="00202F97" w:rsidRDefault="000E15DD">
      <w:pPr>
        <w:widowControl w:val="0"/>
        <w:spacing w:line="240" w:lineRule="exact"/>
        <w:jc w:val="both"/>
        <w:rPr>
          <w:b/>
        </w:rPr>
      </w:pPr>
      <w:r>
        <w:rPr>
          <w:b/>
        </w:rPr>
        <w:t xml:space="preserve">Advisor: Prof. Geoffrey Goodhill, </w:t>
      </w:r>
    </w:p>
    <w:p w14:paraId="29E158B8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pipeline for laboratory automation and data analysis in Zebrafish neuron experiment with Arduino, LabVIEW, and MATLAB.</w:t>
      </w:r>
    </w:p>
    <w:p w14:paraId="45156701" w14:textId="0083ECB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Constructed PHANTOM toolbox for projecting visual stimulation with conformal transformation, used for zebrafish tectum research. </w:t>
      </w:r>
    </w:p>
    <w:p w14:paraId="611D7B3C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lastRenderedPageBreak/>
        <w:t>Developed algorithms for functional connectivity reconstruction using regularization method under scale-free assumption, correct the false positive correlation due to common input, transition connection, and latent common input.</w:t>
      </w:r>
    </w:p>
    <w:p w14:paraId="430D9FE3" w14:textId="77777777" w:rsidR="00202F97" w:rsidRDefault="00202F97">
      <w:pPr>
        <w:widowControl w:val="0"/>
        <w:spacing w:line="240" w:lineRule="exact"/>
        <w:jc w:val="both"/>
      </w:pPr>
    </w:p>
    <w:p w14:paraId="7CBBA14D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Internship, Feedback in AIY neurons in Thermotaxis behavior of C.elegans</w:t>
      </w:r>
      <w:r>
        <w:rPr>
          <w:b/>
        </w:rPr>
        <w:tab/>
      </w:r>
      <w:r>
        <w:t>2015-07 - 2015-12</w:t>
      </w:r>
    </w:p>
    <w:p w14:paraId="4527FF02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Advisor: Prof.Aravinthan D.T. Samuel, Center for Brain Science, Harvard University, Boston</w:t>
      </w:r>
    </w:p>
    <w:p w14:paraId="2A6EC944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Studied thermotaxis in C.elegans with tracking and multi-neuron fluorescent marked. </w:t>
      </w:r>
    </w:p>
    <w:p w14:paraId="772C11DD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Cross &amp; keep the worm, experiment using a spinning disk confocal microscope and the afterward data acquisition &amp; processing with the combination of ImageJ (Miji) and Matlab</w:t>
      </w:r>
    </w:p>
    <w:p w14:paraId="70B63528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Proved the derivation dependence between AFD neuron and temperature, designed and conducted the experiment to measure the parameters of the AFD-temperature relationship with temperature signal input under different shapes.</w:t>
      </w:r>
    </w:p>
    <w:p w14:paraId="192232B3" w14:textId="77777777" w:rsidR="00202F97" w:rsidRDefault="00202F97">
      <w:pPr>
        <w:widowControl w:val="0"/>
        <w:spacing w:line="240" w:lineRule="exact"/>
        <w:jc w:val="both"/>
      </w:pPr>
    </w:p>
    <w:p w14:paraId="4FFFB78C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Research Assistant, Locomotion and PH sensoring mechanism in C.elegans &amp; fast reaction tracking System development</w:t>
      </w:r>
    </w:p>
    <w:p w14:paraId="20314A61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ab/>
      </w:r>
      <w:r>
        <w:t>2012-07 - 2015-06</w:t>
      </w:r>
    </w:p>
    <w:p w14:paraId="1DFF40E2" w14:textId="3D6BCF84" w:rsidR="00202F97" w:rsidRDefault="000E15DD">
      <w:pPr>
        <w:widowControl w:val="0"/>
        <w:spacing w:line="240" w:lineRule="exact"/>
        <w:jc w:val="both"/>
      </w:pPr>
      <w:r>
        <w:t>Adviso</w:t>
      </w:r>
      <w:r w:rsidR="00661EDD">
        <w:t>s</w:t>
      </w:r>
      <w:r>
        <w:t>r: Dr. Louis Tao, Center for Bioinformatics, Peking University, Beijing</w:t>
      </w:r>
    </w:p>
    <w:p w14:paraId="6468E92E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Marked GCaMP6 into the C.elegans ASH, AWC, ASE neurons to testify and determine the neuron responsible for PH sensoring.</w:t>
      </w:r>
    </w:p>
    <w:p w14:paraId="27C663B4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neuro-muscle model of C.elegans motor system and proved the theoretical prediction of gait adaptation in C.elegans.</w:t>
      </w:r>
    </w:p>
    <w:p w14:paraId="00EBA9A4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Recorded and analyzed long-term locomotion parameters of C.elegans by using a tracking and photographing system.</w:t>
      </w:r>
    </w:p>
    <w:p w14:paraId="6BD7A35C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visualization tool with openGL to describe and simplify the neuron network in C.elegans, and enabled the tool to search the whole neural pathway through any two given neurons.</w:t>
      </w:r>
    </w:p>
    <w:p w14:paraId="4AA2F5C3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tracking system as one of the contributors, which could achieve high-precision (accuracy below 1 micron) tracking and photographing and simultaneous data collection &amp; processing</w:t>
      </w:r>
    </w:p>
    <w:p w14:paraId="68BB0A16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Modified and developed a “snake” model based algorithm for robust and precise C.elegans center line extraction.</w:t>
      </w:r>
    </w:p>
    <w:p w14:paraId="6A7EDC6F" w14:textId="77777777" w:rsidR="00202F97" w:rsidRDefault="00202F97">
      <w:pPr>
        <w:widowControl w:val="0"/>
        <w:spacing w:line="240" w:lineRule="exact"/>
        <w:jc w:val="both"/>
      </w:pPr>
    </w:p>
    <w:p w14:paraId="1FDB847D" w14:textId="77777777" w:rsidR="00202F97" w:rsidRDefault="00202F97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</w:p>
    <w:p w14:paraId="4376740B" w14:textId="77777777" w:rsidR="00202F97" w:rsidRDefault="000E15DD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324EB286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Algorithm Engineer Winter Intern</w:t>
      </w:r>
      <w:r>
        <w:rPr>
          <w:b/>
        </w:rPr>
        <w:tab/>
      </w:r>
      <w:r>
        <w:t>2019-01 - 2019-02</w:t>
      </w:r>
    </w:p>
    <w:p w14:paraId="10238112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  <w:bCs/>
        </w:rPr>
      </w:pPr>
      <w:r>
        <w:rPr>
          <w:b/>
          <w:bCs/>
        </w:rPr>
        <w:t>Alibaba, Hangzhou, China</w:t>
      </w:r>
    </w:p>
    <w:p w14:paraId="3D1B4078" w14:textId="77777777" w:rsidR="00202F97" w:rsidRDefault="000E15D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Intelligence cache prediction using deep learning model based on biometric information.</w:t>
      </w:r>
    </w:p>
    <w:p w14:paraId="59850685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</w:pPr>
    </w:p>
    <w:p w14:paraId="5F580EBB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Bioinformatics Engineer</w:t>
      </w:r>
    </w:p>
    <w:p w14:paraId="503A03C9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Novogene Europe, Beijing, China </w:t>
      </w:r>
      <w:r>
        <w:rPr>
          <w:b/>
        </w:rPr>
        <w:tab/>
      </w:r>
      <w:r>
        <w:t>2018-09 - 2019-01</w:t>
      </w:r>
    </w:p>
    <w:p w14:paraId="5CB0066B" w14:textId="77777777" w:rsidR="00202F97" w:rsidRDefault="000E15D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Optimized the human resequencing and laboratory automation pipeline.</w:t>
      </w:r>
    </w:p>
    <w:p w14:paraId="67F30CE3" w14:textId="77777777" w:rsidR="00202F97" w:rsidRDefault="000E15D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Designed and developed the long-read sequencing platform.</w:t>
      </w:r>
    </w:p>
    <w:p w14:paraId="72424E62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4C5F158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Senior Research Technician </w:t>
      </w:r>
    </w:p>
    <w:p w14:paraId="68C8C4F6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Institute for Molecular Bioscience, University of Queensland, Australia</w:t>
      </w:r>
      <w:r>
        <w:rPr>
          <w:b/>
        </w:rPr>
        <w:tab/>
      </w:r>
      <w:r>
        <w:t>2017-06 - 2018-07</w:t>
      </w:r>
    </w:p>
    <w:p w14:paraId="79390547" w14:textId="77777777" w:rsidR="00202F97" w:rsidRDefault="000E15D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Worked on Oxford Nanopore Technologies Long-read Nanopore direct RNA sequencing data processing, improve the sequencing accuracy and efficiency, improve the succeeded sequencing reads ratio by 15X compared to the original pipeline for long poly-A tail reads.</w:t>
      </w:r>
    </w:p>
    <w:p w14:paraId="1B8C74EC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66E4C96" w14:textId="77777777" w:rsidR="00202F97" w:rsidRDefault="000E15DD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</w:t>
      </w:r>
      <w:r>
        <w:rPr>
          <w:b/>
        </w:rPr>
        <w:tab/>
      </w:r>
      <w:r>
        <w:t>2014-07 - 2014-10</w:t>
      </w:r>
    </w:p>
    <w:p w14:paraId="007D01F2" w14:textId="77777777" w:rsidR="00202F97" w:rsidRDefault="000E15DD">
      <w:pPr>
        <w:widowControl w:val="0"/>
        <w:spacing w:line="240" w:lineRule="exact"/>
        <w:jc w:val="both"/>
      </w:pPr>
      <w:r>
        <w:rPr>
          <w:b/>
          <w:bCs/>
        </w:rPr>
        <w:t xml:space="preserve">Biodynamic Optical Imaging Center, PKU, Beijing, China </w:t>
      </w:r>
    </w:p>
    <w:p w14:paraId="56C0404F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Micro-fluid chip preparation and fabrication.</w:t>
      </w:r>
    </w:p>
    <w:p w14:paraId="286FF4AA" w14:textId="77777777" w:rsidR="00202F97" w:rsidRDefault="000E15DD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Computational Fluid Dynamics (CFD) module for the microfluid chips fluid field calculation in Fluent, which could draw the flow field from the CAD design sketch.</w:t>
      </w:r>
    </w:p>
    <w:p w14:paraId="6A09D427" w14:textId="77777777" w:rsidR="00202F97" w:rsidRDefault="00202F97">
      <w:pPr>
        <w:widowControl w:val="0"/>
        <w:spacing w:line="240" w:lineRule="exact"/>
        <w:jc w:val="both"/>
      </w:pPr>
    </w:p>
    <w:p w14:paraId="161CD76E" w14:textId="77777777" w:rsidR="00202F97" w:rsidRDefault="000E15DD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 w14:paraId="6B8142B7" w14:textId="77777777" w:rsidR="00202F97" w:rsidRDefault="000E15DD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Yuan, Y. and Bar-Joseph, Z., 2021. Clustering Spatial Transcriptomics Data.</w:t>
      </w:r>
      <w:r>
        <w:rPr>
          <w:rFonts w:ascii="Times New Roman" w:hAnsi="Times New Roman"/>
          <w:i/>
          <w:sz w:val="20"/>
          <w:szCs w:val="20"/>
        </w:rPr>
        <w:t> Bioinformatics.</w:t>
      </w:r>
    </w:p>
    <w:p w14:paraId="58E969AE" w14:textId="77777777" w:rsidR="00202F97" w:rsidRDefault="000E15DD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 w14:paraId="0D881427" w14:textId="77777777" w:rsidR="00202F97" w:rsidRDefault="000E15DD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 w14:paraId="3879CAC6" w14:textId="77777777" w:rsidR="00202F97" w:rsidRDefault="000E15DD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 w14:paraId="3364E705" w14:textId="77777777" w:rsidR="00202F97" w:rsidRDefault="000E15DD">
      <w:pPr>
        <w:pStyle w:val="af0"/>
        <w:widowControl w:val="0"/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6945AC7E" w14:textId="77777777" w:rsidR="00202F97" w:rsidRDefault="00202F97">
      <w:pPr>
        <w:widowControl w:val="0"/>
        <w:spacing w:line="240" w:lineRule="exact"/>
        <w:jc w:val="both"/>
      </w:pPr>
    </w:p>
    <w:p w14:paraId="30F749D2" w14:textId="77777777" w:rsidR="00202F97" w:rsidRDefault="000E15DD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 w14:paraId="19D7D449" w14:textId="77777777" w:rsidR="00202F97" w:rsidRDefault="000E15DD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1</w:t>
      </w:r>
      <w:r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Prize at 27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07F7A394" w14:textId="77777777" w:rsidR="00202F97" w:rsidRDefault="000E15DD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lastRenderedPageBreak/>
        <w:t>The Silver Medal at 27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Chinese Physics Olympiad, Finals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424B1AF0" w14:textId="77777777" w:rsidR="00202F97" w:rsidRDefault="000E15DD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1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Parts of the National College Students Physics Competition</w:t>
      </w:r>
      <w:r>
        <w:rPr>
          <w:rFonts w:ascii="Times New Roman" w:hAnsi="Times New Roman"/>
          <w:spacing w:val="-4"/>
          <w:sz w:val="20"/>
          <w:szCs w:val="20"/>
        </w:rPr>
        <w:tab/>
        <w:t>2012</w:t>
      </w:r>
    </w:p>
    <w:p w14:paraId="56554F8A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spacing w:val="-4"/>
        </w:rPr>
      </w:pPr>
    </w:p>
    <w:p w14:paraId="21D93F9F" w14:textId="77777777" w:rsidR="00202F97" w:rsidRDefault="000E15DD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 w14:paraId="266A6C1D" w14:textId="77777777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C, C++, Matlab, R, Linux, LaTeX,</w:t>
      </w:r>
    </w:p>
    <w:p w14:paraId="5BC25499" w14:textId="58D48130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 w14:paraId="31E67FB7" w14:textId="77777777" w:rsidR="00486787" w:rsidRDefault="00486787" w:rsidP="00486787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General Machine Learning: Linear Regression, Logistic Regression, SVM, Decision Tree, Random Forest, Probabilistic Graphical Models, RBM, GMM, KNN, K-Means, PCA, t-SNE, UMAP, Bagging, AdaBoost, Gradient Boosting.</w:t>
      </w:r>
    </w:p>
    <w:p w14:paraId="6B6CF2D7" w14:textId="12B25F91" w:rsidR="00486787" w:rsidRPr="00486787" w:rsidRDefault="00486787" w:rsidP="00486787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eep Learning: CNN, RNN, LSTM, GMM, Diffusion model, GAN, VAE, BERT, Transformer, deep Q-learning</w:t>
      </w:r>
    </w:p>
    <w:p w14:paraId="49345709" w14:textId="77777777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 w14:paraId="77FBCBDC" w14:textId="77777777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Wet-lab experiment skill: Molecular cloning, Microinjection</w:t>
      </w:r>
    </w:p>
    <w:p w14:paraId="11C89DBA" w14:textId="77777777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Language: Chinese(Mother Language), English(Fluent), Spanish(basic), German (Pizza-orderable)</w:t>
      </w:r>
    </w:p>
    <w:p w14:paraId="5857A423" w14:textId="77777777" w:rsidR="00202F97" w:rsidRDefault="000E15DD">
      <w:pPr>
        <w:pStyle w:val="af0"/>
        <w:widowControl w:val="0"/>
        <w:spacing w:line="240" w:lineRule="exact"/>
        <w:ind w:left="4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TOEFL: Cumulative 103 (R 29, L 29, S 23, W 22); GRE: V 150, Q 169, AW 3.0</w:t>
      </w:r>
    </w:p>
    <w:p w14:paraId="3540BC11" w14:textId="77777777" w:rsidR="00202F97" w:rsidRDefault="000E15DD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Piano playing, learned since 6 years old. Skillful in saxophone.</w:t>
      </w:r>
    </w:p>
    <w:sectPr w:rsidR="00202F97">
      <w:pgSz w:w="11906" w:h="16838"/>
      <w:pgMar w:top="720" w:right="720" w:bottom="720" w:left="720" w:header="0" w:footer="0" w:gutter="0"/>
      <w:cols w:space="720"/>
      <w:formProt w:val="0"/>
      <w:docGrid w:linePitch="312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1641" w14:textId="77777777" w:rsidR="009022B0" w:rsidRDefault="009022B0" w:rsidP="009022B0">
      <w:r>
        <w:separator/>
      </w:r>
    </w:p>
  </w:endnote>
  <w:endnote w:type="continuationSeparator" w:id="0">
    <w:p w14:paraId="40B7CDEB" w14:textId="77777777" w:rsidR="009022B0" w:rsidRDefault="009022B0" w:rsidP="0090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9A7E" w14:textId="77777777" w:rsidR="009022B0" w:rsidRDefault="009022B0" w:rsidP="009022B0">
      <w:r>
        <w:separator/>
      </w:r>
    </w:p>
  </w:footnote>
  <w:footnote w:type="continuationSeparator" w:id="0">
    <w:p w14:paraId="72FE6458" w14:textId="77777777" w:rsidR="009022B0" w:rsidRDefault="009022B0" w:rsidP="0090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EDD"/>
    <w:multiLevelType w:val="multilevel"/>
    <w:tmpl w:val="BBBCCDD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E92261"/>
    <w:multiLevelType w:val="multilevel"/>
    <w:tmpl w:val="37D2CD6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5CE5832"/>
    <w:multiLevelType w:val="multilevel"/>
    <w:tmpl w:val="71FEA4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1A2213F"/>
    <w:multiLevelType w:val="multilevel"/>
    <w:tmpl w:val="5A24A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82E3F42"/>
    <w:multiLevelType w:val="multilevel"/>
    <w:tmpl w:val="1D9EC1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BBD589C"/>
    <w:multiLevelType w:val="multilevel"/>
    <w:tmpl w:val="63EA9A5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20E5B74"/>
    <w:multiLevelType w:val="multilevel"/>
    <w:tmpl w:val="6180BFD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1219972746">
    <w:abstractNumId w:val="6"/>
  </w:num>
  <w:num w:numId="2" w16cid:durableId="978878344">
    <w:abstractNumId w:val="0"/>
  </w:num>
  <w:num w:numId="3" w16cid:durableId="1372612128">
    <w:abstractNumId w:val="5"/>
  </w:num>
  <w:num w:numId="4" w16cid:durableId="1148060056">
    <w:abstractNumId w:val="3"/>
  </w:num>
  <w:num w:numId="5" w16cid:durableId="1563442540">
    <w:abstractNumId w:val="4"/>
  </w:num>
  <w:num w:numId="6" w16cid:durableId="444350164">
    <w:abstractNumId w:val="2"/>
  </w:num>
  <w:num w:numId="7" w16cid:durableId="90946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F97"/>
    <w:rsid w:val="000672A2"/>
    <w:rsid w:val="000E15DD"/>
    <w:rsid w:val="000E37A4"/>
    <w:rsid w:val="00202F97"/>
    <w:rsid w:val="00422AE6"/>
    <w:rsid w:val="00486787"/>
    <w:rsid w:val="00572F66"/>
    <w:rsid w:val="00661EDD"/>
    <w:rsid w:val="008D5BA4"/>
    <w:rsid w:val="009022B0"/>
    <w:rsid w:val="00A018E8"/>
    <w:rsid w:val="00A672B8"/>
    <w:rsid w:val="00DC151B"/>
    <w:rsid w:val="00D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76EDC"/>
  <w15:docId w15:val="{CDD2FED0-22B5-4BE0-8BBD-380E7F1C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Noto Serif CJK SC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5">
    <w:name w:val="Emphasis"/>
    <w:basedOn w:val="a1"/>
    <w:uiPriority w:val="20"/>
    <w:qFormat/>
    <w:rsid w:val="003C3F34"/>
    <w:rPr>
      <w:i/>
      <w:iCs/>
    </w:rPr>
  </w:style>
  <w:style w:type="character" w:styleId="a6">
    <w:name w:val="annotation reference"/>
    <w:basedOn w:val="a1"/>
    <w:uiPriority w:val="99"/>
    <w:semiHidden/>
    <w:unhideWhenUsed/>
    <w:qFormat/>
    <w:rsid w:val="00026D95"/>
    <w:rPr>
      <w:sz w:val="18"/>
      <w:szCs w:val="18"/>
    </w:rPr>
  </w:style>
  <w:style w:type="character" w:customStyle="1" w:styleId="a7">
    <w:name w:val="批注文字 字符"/>
    <w:basedOn w:val="a1"/>
    <w:link w:val="a8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批注主题 字符"/>
    <w:basedOn w:val="a7"/>
    <w:link w:val="aa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b">
    <w:name w:val="批注框文本 字符"/>
    <w:basedOn w:val="a1"/>
    <w:link w:val="ac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sid w:val="00026D95"/>
    <w:rPr>
      <w:sz w:val="24"/>
      <w:szCs w:val="24"/>
    </w:rPr>
  </w:style>
  <w:style w:type="paragraph" w:styleId="aa">
    <w:name w:val="annotation subject"/>
    <w:basedOn w:val="a8"/>
    <w:link w:val="a9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c">
    <w:name w:val="Balloon Text"/>
    <w:basedOn w:val="a"/>
    <w:link w:val="ab"/>
    <w:uiPriority w:val="99"/>
    <w:semiHidden/>
    <w:unhideWhenUsed/>
    <w:qFormat/>
    <w:rsid w:val="00026D95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902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9022B0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9022B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tianten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vens.te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informatics/article/38/4/997/6384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1389</Words>
  <Characters>8646</Characters>
  <Application>Microsoft Office Word</Application>
  <DocSecurity>0</DocSecurity>
  <Lines>146</Lines>
  <Paragraphs>110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13</cp:revision>
  <cp:lastPrinted>2017-11-18T18:34:00Z</cp:lastPrinted>
  <dcterms:created xsi:type="dcterms:W3CDTF">2023-02-13T06:26:00Z</dcterms:created>
  <dcterms:modified xsi:type="dcterms:W3CDTF">2023-02-13T06:32:00Z</dcterms:modified>
  <dc:language>en-AU</dc:language>
</cp:coreProperties>
</file>